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FD6F" w14:textId="51E70561" w:rsidR="00AC4888" w:rsidRDefault="00AC4888" w:rsidP="00732D9A">
      <w:pPr>
        <w:ind w:left="708" w:hanging="708"/>
        <w:rPr>
          <w:rFonts w:ascii="Times New Roman" w:hAnsi="Times New Roman" w:cs="Times New Roman"/>
        </w:rPr>
      </w:pPr>
      <w:bookmarkStart w:id="0" w:name="_GoBack"/>
      <w:bookmarkEnd w:id="0"/>
    </w:p>
    <w:p w14:paraId="44E4DEBC" w14:textId="5FFDFEF6"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p>
    <w:p w14:paraId="1B41A492" w14:textId="33F0D6AE"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1" w:name="_Toc506982456"/>
      <w:bookmarkStart w:id="2" w:name="_Toc521424840"/>
      <w:bookmarkStart w:id="3"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5A6D95">
        <w:rPr>
          <w:rFonts w:ascii="Times New Roman" w:hAnsi="Times New Roman" w:cs="Times New Roman"/>
          <w:b/>
          <w:bCs/>
          <w:iCs/>
          <w:color w:val="0D0D0D" w:themeColor="text1" w:themeTint="F2"/>
          <w:sz w:val="22"/>
          <w:szCs w:val="22"/>
          <w:u w:val="single"/>
        </w:rPr>
        <w:t>I</w:t>
      </w:r>
      <w:r w:rsidR="006016A5">
        <w:rPr>
          <w:rFonts w:ascii="Times New Roman" w:hAnsi="Times New Roman" w:cs="Times New Roman"/>
          <w:b/>
          <w:bCs/>
          <w:iCs/>
          <w:color w:val="0D0D0D" w:themeColor="text1" w:themeTint="F2"/>
          <w:sz w:val="22"/>
          <w:szCs w:val="22"/>
          <w:u w:val="single"/>
        </w:rPr>
        <w:t>I</w:t>
      </w:r>
      <w:r w:rsidR="00DE6B5A">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1"/>
      <w:bookmarkEnd w:id="2"/>
      <w:bookmarkEnd w:id="3"/>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02E3AF09" w:rsidR="00C05064" w:rsidRDefault="003B12B2"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Sexto</w:t>
      </w:r>
      <w:r w:rsidR="006C6032">
        <w:rPr>
          <w:rFonts w:ascii="Times New Roman" w:hAnsi="Times New Roman" w:cs="Times New Roman"/>
          <w:b/>
          <w:color w:val="0D0D0D" w:themeColor="text1" w:themeTint="F2"/>
          <w:sz w:val="22"/>
          <w:szCs w:val="22"/>
        </w:rPr>
        <w:t xml:space="preserve"> </w:t>
      </w:r>
      <w:r w:rsidR="00055DB1">
        <w:rPr>
          <w:rFonts w:ascii="Times New Roman" w:hAnsi="Times New Roman" w:cs="Times New Roman"/>
          <w:b/>
          <w:color w:val="0D0D0D" w:themeColor="text1" w:themeTint="F2"/>
          <w:sz w:val="22"/>
          <w:szCs w:val="22"/>
        </w:rPr>
        <w:t>Fideicomiso</w:t>
      </w:r>
      <w:r w:rsidR="00C05064">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 xml:space="preserve">estadounidenses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7" w:name="_Toc506982458"/>
      <w:bookmarkStart w:id="8" w:name="_Toc521424842"/>
      <w:bookmarkStart w:id="9"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7"/>
      <w:bookmarkEnd w:id="8"/>
      <w:bookmarkEnd w:id="9"/>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0" w:name="_Toc506982463"/>
      <w:bookmarkStart w:id="11" w:name="_Toc521424847"/>
      <w:bookmarkStart w:id="12"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0"/>
      <w:bookmarkEnd w:id="11"/>
      <w:bookmarkEnd w:id="12"/>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3" w:name="_Toc506982464"/>
      <w:bookmarkStart w:id="14" w:name="_Toc521424848"/>
      <w:bookmarkStart w:id="15" w:name="_Toc20409062"/>
      <w:r w:rsidRPr="00506990">
        <w:rPr>
          <w:rFonts w:ascii="Times New Roman" w:hAnsi="Times New Roman" w:cs="Times New Roman"/>
          <w:b/>
          <w:bCs/>
          <w:iCs/>
          <w:color w:val="0D0D0D" w:themeColor="text1" w:themeTint="F2"/>
          <w:sz w:val="20"/>
          <w:szCs w:val="22"/>
          <w:lang w:val="es-AR"/>
        </w:rPr>
        <w:t>Organizador - Asesor Financiero</w:t>
      </w:r>
      <w:bookmarkEnd w:id="13"/>
      <w:bookmarkEnd w:id="14"/>
      <w:bookmarkEnd w:id="1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StoneX Securities S.A.</w:t>
      </w:r>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Organizador</w:t>
      </w:r>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506982465"/>
      <w:bookmarkStart w:id="17" w:name="_Toc521424849"/>
      <w:bookmarkStart w:id="18" w:name="_Toc20409063"/>
      <w:r w:rsidRPr="00506990">
        <w:rPr>
          <w:rFonts w:ascii="Times New Roman" w:hAnsi="Times New Roman" w:cs="Times New Roman"/>
          <w:b/>
          <w:bCs/>
          <w:iCs/>
          <w:color w:val="0D0D0D" w:themeColor="text1" w:themeTint="F2"/>
          <w:sz w:val="22"/>
          <w:szCs w:val="22"/>
          <w:lang w:val="es-AR"/>
        </w:rPr>
        <w:t>COLOCADORES</w:t>
      </w:r>
      <w:bookmarkEnd w:id="16"/>
      <w:bookmarkEnd w:id="17"/>
      <w:bookmarkEnd w:id="1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9" w:name="_Toc506982466"/>
            <w:bookmarkStart w:id="20" w:name="_Toc521424850"/>
            <w:bookmarkStart w:id="21"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19"/>
            <w:bookmarkEnd w:id="20"/>
            <w:bookmarkEnd w:id="21"/>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061F57"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2" w:name="_Toc506982470"/>
            <w:bookmarkStart w:id="23" w:name="_Toc521424854"/>
            <w:bookmarkStart w:id="24" w:name="_Toc20409066"/>
            <w:r w:rsidRPr="00F45A69">
              <w:rPr>
                <w:rFonts w:ascii="Times New Roman" w:hAnsi="Times New Roman" w:cs="Times New Roman"/>
                <w:b/>
                <w:bCs/>
                <w:iCs/>
                <w:color w:val="0D0D0D" w:themeColor="text1" w:themeTint="F2"/>
                <w:sz w:val="22"/>
                <w:szCs w:val="22"/>
                <w:lang w:val="es-AR"/>
              </w:rPr>
              <w:t xml:space="preserve">StoneX Securities S.A. </w:t>
            </w:r>
          </w:p>
          <w:bookmarkEnd w:id="22"/>
          <w:bookmarkEnd w:id="23"/>
          <w:bookmarkEnd w:id="24"/>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5" w:name="_Toc20409067"/>
            <w:bookmarkStart w:id="26" w:name="_Toc506982471"/>
            <w:bookmarkStart w:id="27" w:name="_Toc521424855"/>
          </w:p>
          <w:bookmarkEnd w:id="25"/>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28" w:name="_Toc506982472"/>
            <w:bookmarkStart w:id="29" w:name="_Toc521424856"/>
            <w:bookmarkStart w:id="30" w:name="_Toc20409068"/>
            <w:bookmarkEnd w:id="26"/>
            <w:bookmarkEnd w:id="27"/>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28"/>
            <w:bookmarkEnd w:id="29"/>
            <w:bookmarkEnd w:id="30"/>
            <w:r w:rsidR="00124841" w:rsidRPr="004D2DAB">
              <w:rPr>
                <w:rFonts w:ascii="Times New Roman" w:hAnsi="Times New Roman" w:cs="Times New Roman"/>
                <w:b/>
                <w:bCs/>
                <w:iCs/>
                <w:color w:val="0D0D0D" w:themeColor="text1" w:themeTint="F2"/>
                <w:sz w:val="22"/>
                <w:szCs w:val="22"/>
                <w:lang w:val="en-US"/>
              </w:rPr>
              <w:t>U.</w:t>
            </w:r>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034853CF"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1E7BB0">
        <w:rPr>
          <w:rFonts w:ascii="Times New Roman" w:hAnsi="Times New Roman" w:cs="Times New Roman"/>
          <w:b/>
          <w:bCs/>
          <w:iCs/>
          <w:color w:val="0D0D0D" w:themeColor="text1" w:themeTint="F2"/>
          <w:sz w:val="22"/>
          <w:szCs w:val="22"/>
        </w:rPr>
        <w:t xml:space="preserve"> 1.466.192.470 </w:t>
      </w:r>
      <w:r w:rsidR="00797D75">
        <w:rPr>
          <w:rFonts w:ascii="Times New Roman" w:hAnsi="Times New Roman" w:cs="Times New Roman"/>
          <w:b/>
          <w:bCs/>
          <w:iCs/>
          <w:color w:val="0D0D0D" w:themeColor="text1" w:themeTint="F2"/>
          <w:sz w:val="22"/>
          <w:szCs w:val="22"/>
        </w:rPr>
        <w:t xml:space="preserve"> </w:t>
      </w:r>
      <w:r w:rsidR="00E54225" w:rsidRPr="00E54225" w:rsidDel="00E54225">
        <w:rPr>
          <w:rFonts w:ascii="Times New Roman" w:hAnsi="Times New Roman" w:cs="Times New Roman"/>
          <w:b/>
          <w:bCs/>
          <w:iCs/>
          <w:color w:val="0D0D0D" w:themeColor="text1" w:themeTint="F2"/>
          <w:sz w:val="22"/>
          <w:szCs w:val="22"/>
          <w:highlight w:val="yellow"/>
        </w:rPr>
        <w:t xml:space="preserve"> </w:t>
      </w:r>
    </w:p>
    <w:tbl>
      <w:tblPr>
        <w:tblW w:w="8282" w:type="dxa"/>
        <w:tblLayout w:type="fixed"/>
        <w:tblLook w:val="0000" w:firstRow="0" w:lastRow="0" w:firstColumn="0" w:lastColumn="0" w:noHBand="0" w:noVBand="0"/>
      </w:tblPr>
      <w:tblGrid>
        <w:gridCol w:w="3999"/>
        <w:gridCol w:w="4283"/>
      </w:tblGrid>
      <w:tr w:rsidR="00B62265" w:rsidRPr="00506990" w14:paraId="5D039E95" w14:textId="77777777" w:rsidTr="009F3635">
        <w:trPr>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55F0398D" w:rsidR="00697C8B" w:rsidRPr="00E54225" w:rsidRDefault="00B62265" w:rsidP="006527BE">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w:t>
            </w:r>
            <w:r w:rsidRPr="00E54225">
              <w:rPr>
                <w:rFonts w:ascii="Times New Roman" w:hAnsi="Times New Roman"/>
                <w:b/>
                <w:bCs/>
                <w:iCs/>
                <w:color w:val="0D0D0D" w:themeColor="text1" w:themeTint="F2"/>
                <w:sz w:val="22"/>
                <w:szCs w:val="22"/>
                <w:u w:val="none"/>
              </w:rPr>
              <w:t xml:space="preserve">V/N </w:t>
            </w:r>
            <w:r w:rsidR="003C4376" w:rsidRPr="00E54225">
              <w:rPr>
                <w:rFonts w:ascii="Times New Roman" w:hAnsi="Times New Roman"/>
                <w:b/>
                <w:bCs/>
                <w:iCs/>
                <w:color w:val="0D0D0D" w:themeColor="text1" w:themeTint="F2"/>
                <w:sz w:val="22"/>
                <w:szCs w:val="22"/>
                <w:u w:val="none"/>
              </w:rPr>
              <w:t>$</w:t>
            </w:r>
            <w:r w:rsidR="003A6ADC">
              <w:rPr>
                <w:rFonts w:ascii="Times New Roman" w:hAnsi="Times New Roman"/>
                <w:b/>
                <w:bCs/>
                <w:iCs/>
                <w:color w:val="0D0D0D" w:themeColor="text1" w:themeTint="F2"/>
                <w:sz w:val="22"/>
                <w:szCs w:val="22"/>
                <w:u w:val="none"/>
              </w:rPr>
              <w:t>1.013.139.200</w:t>
            </w:r>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7BDCC9FC"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3A6ADC">
              <w:rPr>
                <w:rFonts w:ascii="Times New Roman" w:hAnsi="Times New Roman" w:cs="Times New Roman"/>
                <w:b/>
                <w:bCs/>
                <w:iCs/>
                <w:color w:val="0D0D0D" w:themeColor="text1" w:themeTint="F2"/>
                <w:sz w:val="22"/>
                <w:szCs w:val="22"/>
              </w:rPr>
              <w:t>453.053.270</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721638CD"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Pr="00506990">
        <w:rPr>
          <w:rFonts w:ascii="Times New Roman" w:hAnsi="Times New Roman"/>
          <w:i w:val="0"/>
          <w:color w:val="0D0D0D" w:themeColor="text1" w:themeTint="F2"/>
          <w:sz w:val="22"/>
          <w:szCs w:val="22"/>
        </w:rPr>
        <w:t xml:space="preserve">ública del Programa autorizada por Resolución Nº </w:t>
      </w:r>
      <w:r w:rsidR="0071322E" w:rsidRPr="001F0602">
        <w:rPr>
          <w:rFonts w:ascii="Times New Roman" w:hAnsi="Times New Roman"/>
          <w:color w:val="0D0D0D" w:themeColor="text1" w:themeTint="F2"/>
          <w:sz w:val="22"/>
          <w:szCs w:val="22"/>
        </w:rPr>
        <w:t>RESFC-2023-22154-APN-DIR#CNV</w:t>
      </w:r>
      <w:r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w:t>
      </w:r>
      <w:r w:rsidR="00C26598">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 xml:space="preserve">La oferta pública de la presente emisión fue </w:t>
      </w:r>
      <w:r w:rsidR="00D903B3" w:rsidRPr="00506990">
        <w:rPr>
          <w:rFonts w:ascii="Times New Roman" w:hAnsi="Times New Roman"/>
          <w:i w:val="0"/>
          <w:color w:val="0D0D0D" w:themeColor="text1" w:themeTint="F2"/>
          <w:sz w:val="22"/>
          <w:szCs w:val="22"/>
        </w:rPr>
        <w:t>autorizad</w:t>
      </w:r>
      <w:r w:rsidR="00D903B3">
        <w:rPr>
          <w:rFonts w:ascii="Times New Roman" w:hAnsi="Times New Roman"/>
          <w:i w:val="0"/>
          <w:color w:val="0D0D0D" w:themeColor="text1" w:themeTint="F2"/>
          <w:sz w:val="22"/>
          <w:szCs w:val="22"/>
        </w:rPr>
        <w:t>a</w:t>
      </w:r>
      <w:r w:rsidR="0071322E">
        <w:rPr>
          <w:rFonts w:ascii="Times New Roman" w:hAnsi="Times New Roman"/>
          <w:i w:val="0"/>
          <w:color w:val="0D0D0D" w:themeColor="text1" w:themeTint="F2"/>
          <w:sz w:val="22"/>
          <w:szCs w:val="22"/>
        </w:rPr>
        <w:t xml:space="preserve"> por</w:t>
      </w:r>
      <w:r w:rsidRPr="00506990">
        <w:rPr>
          <w:rFonts w:ascii="Times New Roman" w:hAnsi="Times New Roman"/>
          <w:i w:val="0"/>
          <w:color w:val="0D0D0D" w:themeColor="text1" w:themeTint="F2"/>
          <w:sz w:val="22"/>
          <w:szCs w:val="22"/>
        </w:rPr>
        <w:t xml:space="preserve"> la Gerencia de Fideicomisos Financieros en </w:t>
      </w:r>
      <w:r w:rsidRPr="00FD44AD">
        <w:rPr>
          <w:rFonts w:ascii="Times New Roman" w:hAnsi="Times New Roman"/>
          <w:i w:val="0"/>
          <w:color w:val="0D0D0D" w:themeColor="text1" w:themeTint="F2"/>
          <w:sz w:val="22"/>
          <w:szCs w:val="22"/>
        </w:rPr>
        <w:t xml:space="preserve">fecha </w:t>
      </w:r>
      <w:r w:rsidR="007771A9">
        <w:rPr>
          <w:rFonts w:ascii="Times New Roman" w:hAnsi="Times New Roman"/>
          <w:i w:val="0"/>
          <w:color w:val="0D0D0D" w:themeColor="text1" w:themeTint="F2"/>
          <w:sz w:val="22"/>
          <w:szCs w:val="22"/>
        </w:rPr>
        <w:t>30</w:t>
      </w:r>
      <w:r w:rsidR="008966DB" w:rsidRPr="00902490">
        <w:rPr>
          <w:rFonts w:ascii="Times New Roman" w:hAnsi="Times New Roman"/>
          <w:i w:val="0"/>
          <w:color w:val="0D0D0D" w:themeColor="text1" w:themeTint="F2"/>
          <w:sz w:val="22"/>
        </w:rPr>
        <w:t xml:space="preserve"> </w:t>
      </w:r>
      <w:r w:rsidRPr="00FD44AD">
        <w:rPr>
          <w:rFonts w:ascii="Times New Roman" w:hAnsi="Times New Roman"/>
          <w:i w:val="0"/>
          <w:color w:val="0D0D0D" w:themeColor="text1" w:themeTint="F2"/>
          <w:sz w:val="22"/>
          <w:szCs w:val="22"/>
        </w:rPr>
        <w:t xml:space="preserve">de </w:t>
      </w:r>
      <w:r w:rsidR="007771A9">
        <w:rPr>
          <w:rFonts w:ascii="Times New Roman" w:hAnsi="Times New Roman"/>
          <w:i w:val="0"/>
          <w:color w:val="0D0D0D" w:themeColor="text1" w:themeTint="F2"/>
          <w:sz w:val="22"/>
          <w:szCs w:val="22"/>
        </w:rPr>
        <w:t>noviembre</w:t>
      </w:r>
      <w:r w:rsidR="008966DB" w:rsidRPr="00902490">
        <w:rPr>
          <w:rFonts w:ascii="Times New Roman" w:hAnsi="Times New Roman"/>
          <w:i w:val="0"/>
          <w:color w:val="0D0D0D" w:themeColor="text1" w:themeTint="F2"/>
          <w:sz w:val="22"/>
        </w:rPr>
        <w:t xml:space="preserve"> </w:t>
      </w:r>
      <w:r w:rsidRPr="00FD44AD">
        <w:rPr>
          <w:rFonts w:ascii="Times New Roman" w:hAnsi="Times New Roman"/>
          <w:i w:val="0"/>
          <w:color w:val="0D0D0D" w:themeColor="text1" w:themeTint="F2"/>
          <w:sz w:val="22"/>
          <w:szCs w:val="22"/>
        </w:rPr>
        <w:t>de 20</w:t>
      </w:r>
      <w:r w:rsidR="00132FBE" w:rsidRPr="00FD44AD">
        <w:rPr>
          <w:rFonts w:ascii="Times New Roman" w:hAnsi="Times New Roman"/>
          <w:i w:val="0"/>
          <w:color w:val="0D0D0D" w:themeColor="text1" w:themeTint="F2"/>
          <w:sz w:val="22"/>
          <w:szCs w:val="22"/>
        </w:rPr>
        <w:t>2</w:t>
      </w:r>
      <w:r w:rsidR="006F7934" w:rsidRPr="00FD44AD">
        <w:rPr>
          <w:rFonts w:ascii="Times New Roman" w:hAnsi="Times New Roman"/>
          <w:i w:val="0"/>
          <w:color w:val="0D0D0D" w:themeColor="text1" w:themeTint="F2"/>
          <w:sz w:val="22"/>
          <w:szCs w:val="22"/>
        </w:rPr>
        <w:t>3</w:t>
      </w:r>
      <w:r w:rsidRPr="00506990">
        <w:rPr>
          <w:rFonts w:ascii="Times New Roman" w:hAnsi="Times New Roman"/>
          <w:i w:val="0"/>
          <w:color w:val="0D0D0D" w:themeColor="text1" w:themeTint="F2"/>
          <w:sz w:val="22"/>
          <w:szCs w:val="22"/>
        </w:rPr>
        <w:t xml:space="preserve">, </w:t>
      </w:r>
      <w:r w:rsidR="00C26598">
        <w:rPr>
          <w:rFonts w:ascii="Times New Roman" w:hAnsi="Times New Roman"/>
          <w:i w:val="0"/>
          <w:color w:val="0D0D0D" w:themeColor="text1" w:themeTint="F2"/>
          <w:sz w:val="22"/>
          <w:szCs w:val="22"/>
        </w:rPr>
        <w:t xml:space="preserve">todas </w:t>
      </w:r>
      <w:r w:rsidRPr="00506990">
        <w:rPr>
          <w:rFonts w:ascii="Times New Roman" w:hAnsi="Times New Roman"/>
          <w:i w:val="0"/>
          <w:color w:val="0D0D0D" w:themeColor="text1" w:themeTint="F2"/>
          <w:sz w:val="22"/>
          <w:szCs w:val="22"/>
        </w:rPr>
        <w:t>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2F0D2186"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VALORES DE DEUDA FIDUCIARIA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Pr>
          <w:rFonts w:ascii="Times New Roman" w:hAnsi="Times New Roman"/>
          <w:b/>
          <w:bCs/>
          <w:i w:val="0"/>
          <w:iCs w:val="0"/>
          <w:color w:val="0D0D0D" w:themeColor="text1" w:themeTint="F2"/>
          <w:sz w:val="22"/>
          <w:szCs w:val="22"/>
        </w:rPr>
        <w:t xml:space="preserve"> </w:t>
      </w:r>
      <w:r w:rsidR="007766A9">
        <w:rPr>
          <w:rFonts w:ascii="Times New Roman" w:hAnsi="Times New Roman"/>
          <w:b/>
          <w:bCs/>
          <w:i w:val="0"/>
          <w:iCs w:val="0"/>
          <w:color w:val="0D0D0D" w:themeColor="text1" w:themeTint="F2"/>
          <w:sz w:val="22"/>
          <w:szCs w:val="22"/>
        </w:rPr>
        <w:t>7</w:t>
      </w:r>
      <w:r w:rsidR="00C651E5">
        <w:rPr>
          <w:rFonts w:ascii="Times New Roman" w:hAnsi="Times New Roman"/>
          <w:i w:val="0"/>
          <w:color w:val="0D0D0D" w:themeColor="text1" w:themeTint="F2"/>
          <w:sz w:val="22"/>
          <w:szCs w:val="22"/>
        </w:rPr>
        <w:t xml:space="preserve"> </w:t>
      </w:r>
      <w:r w:rsidR="003C3041" w:rsidRPr="007B6576">
        <w:rPr>
          <w:rFonts w:ascii="Times New Roman" w:hAnsi="Times New Roman"/>
          <w:b/>
          <w:bCs/>
          <w:i w:val="0"/>
          <w:color w:val="0D0D0D" w:themeColor="text1" w:themeTint="F2"/>
          <w:sz w:val="22"/>
          <w:szCs w:val="22"/>
        </w:rPr>
        <w:t>DE</w:t>
      </w:r>
      <w:r w:rsidR="007766A9">
        <w:rPr>
          <w:rFonts w:ascii="Times New Roman" w:hAnsi="Times New Roman"/>
          <w:b/>
          <w:bCs/>
          <w:i w:val="0"/>
          <w:iCs w:val="0"/>
          <w:color w:val="0D0D0D" w:themeColor="text1" w:themeTint="F2"/>
          <w:sz w:val="22"/>
          <w:szCs w:val="22"/>
        </w:rPr>
        <w:t xml:space="preserve"> </w:t>
      </w:r>
      <w:r w:rsidR="003A6ADC">
        <w:rPr>
          <w:rFonts w:ascii="Times New Roman" w:hAnsi="Times New Roman"/>
          <w:b/>
          <w:bCs/>
          <w:i w:val="0"/>
          <w:iCs w:val="0"/>
          <w:color w:val="0D0D0D" w:themeColor="text1" w:themeTint="F2"/>
          <w:sz w:val="22"/>
          <w:szCs w:val="22"/>
        </w:rPr>
        <w:t>NOVIEMBRE</w:t>
      </w:r>
      <w:r w:rsidR="003A6ADC"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C05064">
        <w:rPr>
          <w:rFonts w:ascii="Times New Roman" w:hAnsi="Times New Roman"/>
          <w:b/>
          <w:bCs/>
          <w:i w:val="0"/>
          <w:color w:val="0D0D0D" w:themeColor="text1" w:themeTint="F2"/>
          <w:sz w:val="22"/>
          <w:szCs w:val="22"/>
        </w:rPr>
        <w:t>3</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447D3E" w:rsidRPr="003213C9">
        <w:rPr>
          <w:rFonts w:ascii="Times New Roman" w:hAnsi="Times New Roman"/>
          <w:b/>
          <w:bCs/>
          <w:i w:val="0"/>
          <w:iCs w:val="0"/>
          <w:color w:val="0D0D0D" w:themeColor="text1" w:themeTint="F2"/>
          <w:sz w:val="22"/>
          <w:szCs w:val="22"/>
        </w:rPr>
        <w:t xml:space="preserve"> </w:t>
      </w:r>
      <w:r w:rsidR="003A6ADC">
        <w:rPr>
          <w:rFonts w:ascii="Times New Roman" w:hAnsi="Times New Roman"/>
          <w:b/>
          <w:bCs/>
          <w:i w:val="0"/>
          <w:iCs w:val="0"/>
          <w:color w:val="0D0D0D" w:themeColor="text1" w:themeTint="F2"/>
          <w:sz w:val="22"/>
          <w:szCs w:val="22"/>
        </w:rPr>
        <w:t>SEPTIEMBRE</w:t>
      </w:r>
      <w:r w:rsidR="003A6ADC"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460589">
        <w:rPr>
          <w:rFonts w:ascii="Times New Roman" w:hAnsi="Times New Roman"/>
          <w:b/>
          <w:bCs/>
          <w:i w:val="0"/>
          <w:color w:val="0D0D0D" w:themeColor="text1" w:themeTint="F2"/>
          <w:sz w:val="22"/>
          <w:szCs w:val="22"/>
        </w:rPr>
        <w:t>3</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1F20F0D9" w:rsidR="000D2637"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w:t>
      </w:r>
      <w:r w:rsidR="00DE6B5A">
        <w:rPr>
          <w:rFonts w:ascii="Times New Roman" w:hAnsi="Times New Roman"/>
          <w:color w:val="0D0D0D" w:themeColor="text1" w:themeTint="F2"/>
          <w:sz w:val="22"/>
          <w:szCs w:val="22"/>
        </w:rPr>
        <w:t>Valores de Deuda Fiduciaria</w:t>
      </w:r>
      <w:r w:rsidR="00C26598"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 xml:space="preserve">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80210">
        <w:rPr>
          <w:rFonts w:ascii="Times New Roman" w:hAnsi="Times New Roman"/>
          <w:color w:val="0D0D0D" w:themeColor="text1" w:themeTint="F2"/>
          <w:sz w:val="22"/>
          <w:szCs w:val="22"/>
        </w:rPr>
        <w:t>X</w:t>
      </w:r>
      <w:r w:rsidR="006E3594">
        <w:rPr>
          <w:rFonts w:ascii="Times New Roman" w:hAnsi="Times New Roman"/>
          <w:color w:val="0D0D0D" w:themeColor="text1" w:themeTint="F2"/>
          <w:sz w:val="22"/>
          <w:szCs w:val="22"/>
        </w:rPr>
        <w:t>X</w:t>
      </w:r>
      <w:r w:rsidR="00E05EDF">
        <w:rPr>
          <w:rFonts w:ascii="Times New Roman" w:hAnsi="Times New Roman"/>
          <w:color w:val="0D0D0D" w:themeColor="text1" w:themeTint="F2"/>
          <w:sz w:val="22"/>
          <w:szCs w:val="22"/>
        </w:rPr>
        <w:t>I</w:t>
      </w:r>
      <w:r w:rsidR="005A6D95">
        <w:rPr>
          <w:rFonts w:ascii="Times New Roman" w:hAnsi="Times New Roman"/>
          <w:color w:val="0D0D0D" w:themeColor="text1" w:themeTint="F2"/>
          <w:sz w:val="22"/>
          <w:szCs w:val="22"/>
        </w:rPr>
        <w:t>I</w:t>
      </w:r>
      <w:r w:rsidR="006016A5">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w:t>
      </w:r>
      <w:r w:rsidR="00C05064">
        <w:rPr>
          <w:rFonts w:ascii="Times New Roman" w:hAnsi="Times New Roman"/>
          <w:color w:val="0D0D0D" w:themeColor="text1" w:themeTint="F2"/>
          <w:sz w:val="22"/>
          <w:szCs w:val="22"/>
        </w:rPr>
        <w:t xml:space="preserve"> como </w:t>
      </w:r>
      <w:r w:rsidR="006079F1">
        <w:rPr>
          <w:rFonts w:ascii="Times New Roman" w:hAnsi="Times New Roman"/>
          <w:color w:val="0D0D0D" w:themeColor="text1" w:themeTint="F2"/>
          <w:sz w:val="22"/>
          <w:szCs w:val="22"/>
        </w:rPr>
        <w:t xml:space="preserve">la </w:t>
      </w:r>
      <w:r w:rsidR="00284043">
        <w:rPr>
          <w:rFonts w:ascii="Times New Roman" w:hAnsi="Times New Roman"/>
          <w:color w:val="0D0D0D" w:themeColor="text1" w:themeTint="F2"/>
          <w:sz w:val="22"/>
          <w:szCs w:val="22"/>
        </w:rPr>
        <w:t xml:space="preserve">sexta </w:t>
      </w:r>
      <w:r w:rsidR="00C05064">
        <w:rPr>
          <w:rFonts w:ascii="Times New Roman" w:hAnsi="Times New Roman"/>
          <w:color w:val="0D0D0D" w:themeColor="text1" w:themeTint="F2"/>
          <w:sz w:val="22"/>
          <w:szCs w:val="22"/>
        </w:rPr>
        <w:t>serie</w:t>
      </w:r>
      <w:r w:rsidRPr="00506990">
        <w:rPr>
          <w:rFonts w:ascii="Times New Roman" w:hAnsi="Times New Roman"/>
          <w:color w:val="0D0D0D" w:themeColor="text1" w:themeTint="F2"/>
          <w:sz w:val="22"/>
          <w:szCs w:val="22"/>
        </w:rPr>
        <w:t xml:space="preserve"> bajo el Programa Global de Valores Fiduciarios “</w:t>
      </w:r>
      <w:r w:rsidR="007B30B6" w:rsidRPr="00506990">
        <w:rPr>
          <w:rFonts w:ascii="Times New Roman" w:hAnsi="Times New Roman"/>
          <w:color w:val="0D0D0D" w:themeColor="text1" w:themeTint="F2"/>
          <w:sz w:val="22"/>
          <w:szCs w:val="22"/>
        </w:rPr>
        <w:t>CONFIBONO</w:t>
      </w:r>
      <w:r w:rsidR="00C05064">
        <w:rPr>
          <w:rFonts w:ascii="Times New Roman" w:hAnsi="Times New Roman"/>
          <w:color w:val="0D0D0D" w:themeColor="text1" w:themeTint="F2"/>
          <w:sz w:val="22"/>
          <w:szCs w:val="22"/>
        </w:rPr>
        <w:t xml:space="preserve"> II</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l</w:t>
      </w:r>
      <w:r w:rsidR="00477E99">
        <w:rPr>
          <w:rFonts w:ascii="Times New Roman" w:hAnsi="Times New Roman"/>
          <w:color w:val="0D0D0D" w:themeColor="text1" w:themeTint="F2"/>
          <w:sz w:val="22"/>
          <w:szCs w:val="22"/>
        </w:rPr>
        <w:t>os</w:t>
      </w:r>
      <w:r w:rsidR="008A0685" w:rsidRPr="00506990">
        <w:rPr>
          <w:rFonts w:ascii="Times New Roman" w:hAnsi="Times New Roman"/>
          <w:color w:val="0D0D0D" w:themeColor="text1" w:themeTint="F2"/>
          <w:sz w:val="22"/>
          <w:szCs w:val="22"/>
        </w:rPr>
        <w:t xml:space="preserve"> </w:t>
      </w:r>
      <w:r w:rsidR="003C769E" w:rsidRPr="00506990">
        <w:rPr>
          <w:rFonts w:ascii="Times New Roman" w:hAnsi="Times New Roman"/>
          <w:color w:val="0D0D0D" w:themeColor="text1" w:themeTint="F2"/>
          <w:sz w:val="22"/>
          <w:szCs w:val="22"/>
        </w:rPr>
        <w:t>Organizador</w:t>
      </w:r>
      <w:r w:rsidR="00477E99">
        <w:rPr>
          <w:rFonts w:ascii="Times New Roman" w:hAnsi="Times New Roman"/>
          <w:color w:val="0D0D0D" w:themeColor="text1" w:themeTint="F2"/>
          <w:sz w:val="22"/>
          <w:szCs w:val="22"/>
        </w:rPr>
        <w:t>es</w:t>
      </w:r>
      <w:r w:rsidR="003C769E" w:rsidRPr="00506990">
        <w:rPr>
          <w:rFonts w:ascii="Times New Roman" w:hAnsi="Times New Roman"/>
          <w:color w:val="0D0D0D" w:themeColor="text1" w:themeTint="F2"/>
          <w:sz w:val="22"/>
          <w:szCs w:val="22"/>
        </w:rPr>
        <w:t xml:space="preserve">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5C3C3901" w14:textId="77777777" w:rsidR="00076993"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04975CB8"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lastRenderedPageBreak/>
        <w:t xml:space="preserve">Los </w:t>
      </w:r>
      <w:r w:rsidR="00DE6B5A" w:rsidRPr="002276F7">
        <w:rPr>
          <w:rFonts w:ascii="Times New Roman" w:hAnsi="Times New Roman"/>
          <w:b/>
          <w:i w:val="0"/>
          <w:color w:val="0D0D0D" w:themeColor="text1" w:themeTint="F2"/>
          <w:sz w:val="22"/>
          <w:szCs w:val="22"/>
        </w:rPr>
        <w:t>Valores de Deuda Fiduciaria</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598E0270" w:rsidR="00F02248" w:rsidRPr="006016A5"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es </w:t>
      </w:r>
      <w:r w:rsidR="007771A9">
        <w:rPr>
          <w:rFonts w:ascii="Times New Roman" w:hAnsi="Times New Roman" w:cs="Times New Roman"/>
          <w:b/>
          <w:i/>
          <w:color w:val="000000" w:themeColor="text1"/>
          <w:sz w:val="22"/>
          <w:szCs w:val="22"/>
        </w:rPr>
        <w:t>30</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D851EE">
        <w:rPr>
          <w:rFonts w:ascii="Times New Roman" w:hAnsi="Times New Roman" w:cs="Times New Roman"/>
          <w:b/>
          <w:i/>
          <w:color w:val="000000" w:themeColor="text1"/>
          <w:sz w:val="22"/>
          <w:szCs w:val="22"/>
        </w:rPr>
        <w:t>noviembre</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F7934">
        <w:rPr>
          <w:rFonts w:ascii="Times New Roman" w:hAnsi="Times New Roman" w:cs="Times New Roman"/>
          <w:b/>
          <w:i/>
          <w:color w:val="000000" w:themeColor="text1"/>
          <w:sz w:val="22"/>
          <w:szCs w:val="22"/>
        </w:rPr>
        <w:t>3</w:t>
      </w:r>
      <w:r w:rsidRPr="00506990">
        <w:rPr>
          <w:rFonts w:ascii="Times New Roman" w:hAnsi="Times New Roman" w:cs="Times New Roman"/>
          <w:b/>
          <w:i/>
          <w:color w:val="000000" w:themeColor="text1"/>
          <w:sz w:val="22"/>
          <w:szCs w:val="22"/>
        </w:rPr>
        <w:t xml:space="preserve"> y debe leerse juntamente con el Prospecto del Programa</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Valores de Deuda Fiduciaria</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sdt>
      <w:sdtPr>
        <w:rPr>
          <w:rFonts w:ascii="Times New Roman" w:eastAsia="Calibri" w:hAnsi="Times New Roman" w:cs="Times New Roman"/>
          <w:b w:val="0"/>
          <w:bCs w:val="0"/>
          <w:color w:val="auto"/>
          <w:sz w:val="24"/>
          <w:szCs w:val="24"/>
          <w:lang w:val="es-ES" w:eastAsia="es-ES"/>
        </w:rPr>
        <w:id w:val="586892718"/>
        <w:docPartObj>
          <w:docPartGallery w:val="Table of Contents"/>
          <w:docPartUnique/>
        </w:docPartObj>
      </w:sdtPr>
      <w:sdtEndPr/>
      <w:sdtContent>
        <w:p w14:paraId="0C9A02AE" w14:textId="77777777" w:rsidR="00B228F5" w:rsidRPr="00506990" w:rsidRDefault="00B228F5">
          <w:pPr>
            <w:pStyle w:val="TtulodeTDC"/>
            <w:rPr>
              <w:rFonts w:ascii="Times New Roman" w:hAnsi="Times New Roman" w:cs="Times New Roman"/>
              <w:sz w:val="24"/>
              <w:szCs w:val="24"/>
            </w:rPr>
          </w:pPr>
          <w:r w:rsidRPr="00506990">
            <w:rPr>
              <w:rFonts w:ascii="Times New Roman" w:hAnsi="Times New Roman" w:cs="Times New Roman"/>
              <w:sz w:val="24"/>
              <w:szCs w:val="24"/>
              <w:lang w:val="es-ES"/>
            </w:rPr>
            <w:t>ÍNDICE</w:t>
          </w:r>
        </w:p>
        <w:p w14:paraId="0B657DD8" w14:textId="77777777" w:rsidR="00B228F5" w:rsidRPr="002276F7" w:rsidRDefault="007A2747" w:rsidP="0010742D">
          <w:pPr>
            <w:pStyle w:val="TDC1"/>
            <w:rPr>
              <w:rFonts w:ascii="Times New Roman" w:eastAsiaTheme="minorEastAsia" w:hAnsi="Times New Roman" w:cs="Times New Roman"/>
              <w:noProof/>
              <w:sz w:val="24"/>
              <w:szCs w:val="24"/>
              <w:lang w:val="es-AR" w:eastAsia="es-AR"/>
            </w:rPr>
          </w:pPr>
          <w:r w:rsidRPr="00463985">
            <w:fldChar w:fldCharType="begin"/>
          </w:r>
          <w:r w:rsidR="00B228F5" w:rsidRPr="00506990">
            <w:instrText xml:space="preserve"> TOC \o "1-3" \h \z \u </w:instrText>
          </w:r>
          <w:r w:rsidRPr="00463985">
            <w:fldChar w:fldCharType="separate"/>
          </w:r>
        </w:p>
        <w:p w14:paraId="4F997686" w14:textId="637ABE26" w:rsidR="00B228F5" w:rsidRPr="002276F7" w:rsidRDefault="00EA0675" w:rsidP="0010742D">
          <w:pPr>
            <w:pStyle w:val="TDC1"/>
            <w:rPr>
              <w:rFonts w:ascii="Times New Roman" w:eastAsiaTheme="minorEastAsia" w:hAnsi="Times New Roman" w:cs="Times New Roman"/>
              <w:noProof/>
              <w:sz w:val="24"/>
              <w:szCs w:val="24"/>
              <w:lang w:val="es-AR" w:eastAsia="es-AR"/>
            </w:rPr>
          </w:pPr>
          <w:hyperlink w:anchor="_Toc20409069" w:history="1">
            <w:r w:rsidR="00DE6B5A" w:rsidRPr="00DE6B5A">
              <w:rPr>
                <w:rStyle w:val="Hipervnculo"/>
                <w:rFonts w:ascii="Times New Roman" w:hAnsi="Times New Roman"/>
                <w:noProof/>
                <w:sz w:val="24"/>
                <w:szCs w:val="24"/>
              </w:rPr>
              <w:t>I.- ADVERTENCIAS</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_Toc20409069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5</w:t>
            </w:r>
            <w:r w:rsidR="007A2747" w:rsidRPr="002276F7">
              <w:rPr>
                <w:rFonts w:ascii="Times New Roman" w:hAnsi="Times New Roman" w:cs="Times New Roman"/>
                <w:noProof/>
                <w:webHidden/>
                <w:sz w:val="24"/>
                <w:szCs w:val="24"/>
              </w:rPr>
              <w:fldChar w:fldCharType="end"/>
            </w:r>
          </w:hyperlink>
        </w:p>
        <w:p w14:paraId="4D64CF37" w14:textId="2CF62DFE" w:rsidR="00B228F5" w:rsidRPr="002276F7" w:rsidRDefault="00EA0675" w:rsidP="0010742D">
          <w:pPr>
            <w:pStyle w:val="TDC1"/>
            <w:rPr>
              <w:rFonts w:ascii="Times New Roman" w:hAnsi="Times New Roman" w:cs="Times New Roman"/>
              <w:noProof/>
              <w:sz w:val="24"/>
              <w:szCs w:val="24"/>
              <w:lang w:val="es-AR"/>
            </w:rPr>
          </w:pPr>
          <w:hyperlink w:anchor="_Toc20409070" w:history="1">
            <w:r w:rsidR="00DE6B5A" w:rsidRPr="00DE6B5A">
              <w:rPr>
                <w:rStyle w:val="Hipervnculo"/>
                <w:rFonts w:ascii="Times New Roman" w:hAnsi="Times New Roman"/>
                <w:noProof/>
                <w:sz w:val="24"/>
                <w:szCs w:val="24"/>
              </w:rPr>
              <w:t>II.- CONSIDERACIONES DE RIESGO PARA LA INVERSIÓN</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_Toc20409070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9</w:t>
            </w:r>
            <w:r w:rsidR="007A2747" w:rsidRPr="002276F7">
              <w:rPr>
                <w:rFonts w:ascii="Times New Roman" w:hAnsi="Times New Roman" w:cs="Times New Roman"/>
                <w:noProof/>
                <w:webHidden/>
                <w:sz w:val="24"/>
                <w:szCs w:val="24"/>
              </w:rPr>
              <w:fldChar w:fldCharType="end"/>
            </w:r>
          </w:hyperlink>
        </w:p>
        <w:p w14:paraId="2F6E5755" w14:textId="3A34BDE9" w:rsidR="00B228F5" w:rsidRPr="002276F7" w:rsidRDefault="00EA0675" w:rsidP="0010742D">
          <w:pPr>
            <w:pStyle w:val="TDC1"/>
            <w:rPr>
              <w:rFonts w:ascii="Times New Roman" w:hAnsi="Times New Roman" w:cs="Times New Roman"/>
              <w:noProof/>
              <w:sz w:val="24"/>
              <w:szCs w:val="24"/>
              <w:lang w:val="es-AR"/>
            </w:rPr>
          </w:pPr>
          <w:hyperlink w:anchor="_Toc20409080" w:history="1">
            <w:r w:rsidR="00DE6B5A" w:rsidRPr="00DE6B5A">
              <w:rPr>
                <w:rStyle w:val="Hipervnculo"/>
                <w:rFonts w:ascii="Times New Roman" w:hAnsi="Times New Roman"/>
                <w:noProof/>
                <w:sz w:val="24"/>
                <w:szCs w:val="24"/>
              </w:rPr>
              <w:t xml:space="preserve">III.- RESUMEN DE TÉRMINOS Y CONDICIONES DE LOS </w:t>
            </w:r>
            <w:r w:rsidR="00DE6B5A" w:rsidRPr="002276F7">
              <w:rPr>
                <w:rFonts w:ascii="Times New Roman" w:hAnsi="Times New Roman" w:cs="Times New Roman"/>
                <w:noProof/>
                <w:color w:val="0D0D0D" w:themeColor="text1" w:themeTint="F2"/>
                <w:sz w:val="24"/>
                <w:szCs w:val="24"/>
              </w:rPr>
              <w:t>VALORES DE DEUDA FIDUCIARIA</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_Toc20409080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14</w:t>
            </w:r>
            <w:r w:rsidR="007A2747" w:rsidRPr="002276F7">
              <w:rPr>
                <w:rFonts w:ascii="Times New Roman" w:hAnsi="Times New Roman" w:cs="Times New Roman"/>
                <w:noProof/>
                <w:webHidden/>
                <w:sz w:val="24"/>
                <w:szCs w:val="24"/>
              </w:rPr>
              <w:fldChar w:fldCharType="end"/>
            </w:r>
          </w:hyperlink>
        </w:p>
        <w:p w14:paraId="3719365D" w14:textId="1CD03107" w:rsidR="00B228F5" w:rsidRPr="002276F7" w:rsidRDefault="00EA0675" w:rsidP="0010742D">
          <w:pPr>
            <w:pStyle w:val="TDC1"/>
            <w:rPr>
              <w:rFonts w:ascii="Times New Roman" w:hAnsi="Times New Roman" w:cs="Times New Roman"/>
              <w:noProof/>
              <w:sz w:val="24"/>
              <w:szCs w:val="24"/>
              <w:lang w:val="es-AR"/>
            </w:rPr>
          </w:pPr>
          <w:hyperlink w:anchor="_Toc20409082" w:history="1">
            <w:r w:rsidR="00DE6B5A" w:rsidRPr="00DE6B5A">
              <w:rPr>
                <w:rStyle w:val="Hipervnculo"/>
                <w:rFonts w:ascii="Times New Roman" w:hAnsi="Times New Roman"/>
                <w:noProof/>
                <w:sz w:val="24"/>
                <w:szCs w:val="24"/>
              </w:rPr>
              <w:t>IV.- DESCRIPCIÓN DEL FIDUCIARIO</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_Toc20409082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20</w:t>
            </w:r>
            <w:r w:rsidR="007A2747" w:rsidRPr="002276F7">
              <w:rPr>
                <w:rFonts w:ascii="Times New Roman" w:hAnsi="Times New Roman" w:cs="Times New Roman"/>
                <w:noProof/>
                <w:webHidden/>
                <w:sz w:val="24"/>
                <w:szCs w:val="24"/>
              </w:rPr>
              <w:fldChar w:fldCharType="end"/>
            </w:r>
          </w:hyperlink>
        </w:p>
        <w:p w14:paraId="5D47697F" w14:textId="2E9112E3" w:rsidR="00B228F5" w:rsidRPr="002276F7" w:rsidRDefault="00EA0675" w:rsidP="0010742D">
          <w:pPr>
            <w:pStyle w:val="TDC1"/>
            <w:rPr>
              <w:rFonts w:ascii="Times New Roman" w:hAnsi="Times New Roman" w:cs="Times New Roman"/>
              <w:noProof/>
              <w:sz w:val="24"/>
              <w:szCs w:val="24"/>
              <w:lang w:val="es-AR"/>
            </w:rPr>
          </w:pPr>
          <w:hyperlink w:anchor="_Toc20409084" w:history="1">
            <w:r w:rsidR="00DE6B5A" w:rsidRPr="00DE6B5A">
              <w:rPr>
                <w:rStyle w:val="Hipervnculo"/>
                <w:rFonts w:ascii="Times New Roman" w:hAnsi="Times New Roman"/>
                <w:noProof/>
                <w:sz w:val="24"/>
                <w:szCs w:val="24"/>
              </w:rPr>
              <w:t>V.- DECLARACIONES DEL FIDUCIARIO Y DE LOS FIDUCIANTES</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_Toc20409084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24</w:t>
            </w:r>
            <w:r w:rsidR="007A2747" w:rsidRPr="002276F7">
              <w:rPr>
                <w:rFonts w:ascii="Times New Roman" w:hAnsi="Times New Roman" w:cs="Times New Roman"/>
                <w:noProof/>
                <w:webHidden/>
                <w:sz w:val="24"/>
                <w:szCs w:val="24"/>
              </w:rPr>
              <w:fldChar w:fldCharType="end"/>
            </w:r>
          </w:hyperlink>
        </w:p>
        <w:p w14:paraId="17A71391" w14:textId="0FDC6669" w:rsidR="00B228F5" w:rsidRPr="002276F7" w:rsidRDefault="00EA0675" w:rsidP="0010742D">
          <w:pPr>
            <w:pStyle w:val="TDC1"/>
            <w:rPr>
              <w:rFonts w:ascii="Times New Roman" w:hAnsi="Times New Roman" w:cs="Times New Roman"/>
              <w:noProof/>
              <w:sz w:val="24"/>
              <w:szCs w:val="24"/>
              <w:lang w:val="es-AR"/>
            </w:rPr>
          </w:pPr>
          <w:hyperlink w:anchor="_Toc20409085" w:history="1">
            <w:r w:rsidR="00DE6B5A" w:rsidRPr="00DE6B5A">
              <w:rPr>
                <w:rStyle w:val="Hipervnculo"/>
                <w:rFonts w:ascii="Times New Roman" w:hAnsi="Times New Roman"/>
                <w:noProof/>
                <w:sz w:val="24"/>
                <w:szCs w:val="24"/>
              </w:rPr>
              <w:t>VI.- DESCRIPCIÓN DE LOS FIDUCIANTES, ADMINISTRADORES Y AGENTES DE COBRO</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_Toc20409085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24</w:t>
            </w:r>
            <w:r w:rsidR="007A2747" w:rsidRPr="002276F7">
              <w:rPr>
                <w:rFonts w:ascii="Times New Roman" w:hAnsi="Times New Roman" w:cs="Times New Roman"/>
                <w:noProof/>
                <w:webHidden/>
                <w:sz w:val="24"/>
                <w:szCs w:val="24"/>
              </w:rPr>
              <w:fldChar w:fldCharType="end"/>
            </w:r>
          </w:hyperlink>
        </w:p>
        <w:p w14:paraId="7FA660C3" w14:textId="7B4ADC27" w:rsidR="00B228F5" w:rsidRPr="002276F7" w:rsidRDefault="00EA0675" w:rsidP="0010742D">
          <w:pPr>
            <w:pStyle w:val="TDC1"/>
            <w:rPr>
              <w:rFonts w:ascii="Times New Roman" w:hAnsi="Times New Roman" w:cs="Times New Roman"/>
              <w:noProof/>
              <w:sz w:val="24"/>
              <w:szCs w:val="24"/>
              <w:lang w:val="es-AR"/>
            </w:rPr>
          </w:pPr>
          <w:hyperlink w:anchor="_Toc20409086" w:history="1">
            <w:r w:rsidR="00DE6B5A" w:rsidRPr="00DE6B5A">
              <w:rPr>
                <w:rStyle w:val="Hipervnculo"/>
                <w:rFonts w:ascii="Times New Roman" w:hAnsi="Times New Roman"/>
                <w:noProof/>
                <w:sz w:val="24"/>
                <w:szCs w:val="24"/>
              </w:rPr>
              <w:t>VII.- DESCRIPCIÓN DE LOS ORGANIZADORES Y ASESOR FINANCIERO</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_Toc20409086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45</w:t>
            </w:r>
            <w:r w:rsidR="007A2747" w:rsidRPr="002276F7">
              <w:rPr>
                <w:rFonts w:ascii="Times New Roman" w:hAnsi="Times New Roman" w:cs="Times New Roman"/>
                <w:noProof/>
                <w:webHidden/>
                <w:sz w:val="24"/>
                <w:szCs w:val="24"/>
              </w:rPr>
              <w:fldChar w:fldCharType="end"/>
            </w:r>
          </w:hyperlink>
        </w:p>
        <w:p w14:paraId="2CDB16CC" w14:textId="32F1B75E" w:rsidR="00B228F5" w:rsidRPr="002276F7" w:rsidRDefault="00EA0675" w:rsidP="0010742D">
          <w:pPr>
            <w:pStyle w:val="TDC1"/>
            <w:rPr>
              <w:rFonts w:ascii="Times New Roman" w:hAnsi="Times New Roman" w:cs="Times New Roman"/>
              <w:noProof/>
              <w:sz w:val="24"/>
              <w:szCs w:val="24"/>
              <w:lang w:val="es-AR"/>
            </w:rPr>
          </w:pPr>
          <w:hyperlink w:anchor="_Toc20409087" w:history="1">
            <w:r w:rsidR="00DE6B5A" w:rsidRPr="00DE6B5A">
              <w:rPr>
                <w:rStyle w:val="Hipervnculo"/>
                <w:rFonts w:ascii="Times New Roman" w:hAnsi="Times New Roman"/>
                <w:noProof/>
                <w:sz w:val="24"/>
                <w:szCs w:val="24"/>
              </w:rPr>
              <w:t>VIII.- DESCRIPCIÓN DEL AGENTE RECAUDADOR</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_Toc20409087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48</w:t>
            </w:r>
            <w:r w:rsidR="007A2747" w:rsidRPr="002276F7">
              <w:rPr>
                <w:rFonts w:ascii="Times New Roman" w:hAnsi="Times New Roman" w:cs="Times New Roman"/>
                <w:noProof/>
                <w:webHidden/>
                <w:sz w:val="24"/>
                <w:szCs w:val="24"/>
              </w:rPr>
              <w:fldChar w:fldCharType="end"/>
            </w:r>
          </w:hyperlink>
        </w:p>
        <w:p w14:paraId="6C06509F" w14:textId="4E4DBD1A" w:rsidR="00B228F5" w:rsidRPr="002276F7" w:rsidRDefault="00EA0675" w:rsidP="0010742D">
          <w:pPr>
            <w:pStyle w:val="TDC1"/>
            <w:rPr>
              <w:rFonts w:ascii="Times New Roman" w:hAnsi="Times New Roman" w:cs="Times New Roman"/>
              <w:noProof/>
              <w:sz w:val="24"/>
              <w:szCs w:val="24"/>
              <w:lang w:val="es-AR"/>
            </w:rPr>
          </w:pPr>
          <w:hyperlink w:anchor="_Toc20409088" w:history="1">
            <w:r w:rsidR="00DE6B5A" w:rsidRPr="00DE6B5A">
              <w:rPr>
                <w:rStyle w:val="Hipervnculo"/>
                <w:rFonts w:ascii="Times New Roman" w:hAnsi="Times New Roman"/>
                <w:noProof/>
                <w:sz w:val="24"/>
                <w:szCs w:val="24"/>
              </w:rPr>
              <w:t>IX. DESCRIPCIÓN DEL AGENTE DE CUSTODIA</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_Toc20409088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50</w:t>
            </w:r>
            <w:r w:rsidR="007A2747" w:rsidRPr="002276F7">
              <w:rPr>
                <w:rFonts w:ascii="Times New Roman" w:hAnsi="Times New Roman" w:cs="Times New Roman"/>
                <w:noProof/>
                <w:webHidden/>
                <w:sz w:val="24"/>
                <w:szCs w:val="24"/>
              </w:rPr>
              <w:fldChar w:fldCharType="end"/>
            </w:r>
          </w:hyperlink>
        </w:p>
        <w:p w14:paraId="494FCCA9" w14:textId="29EF57E0" w:rsidR="00B228F5" w:rsidRPr="002276F7" w:rsidRDefault="00EA0675" w:rsidP="0010742D">
          <w:pPr>
            <w:pStyle w:val="TDC1"/>
            <w:rPr>
              <w:rFonts w:ascii="Times New Roman" w:hAnsi="Times New Roman" w:cs="Times New Roman"/>
              <w:noProof/>
              <w:sz w:val="24"/>
              <w:szCs w:val="24"/>
              <w:lang w:val="es-AR"/>
            </w:rPr>
          </w:pPr>
          <w:hyperlink w:anchor="_Toc20409089" w:history="1">
            <w:r w:rsidR="00DE6B5A" w:rsidRPr="00DE6B5A">
              <w:rPr>
                <w:rStyle w:val="Hipervnculo"/>
                <w:rFonts w:ascii="Times New Roman" w:hAnsi="Times New Roman"/>
                <w:noProof/>
                <w:sz w:val="24"/>
                <w:szCs w:val="24"/>
              </w:rPr>
              <w:t>X.- DESCRIPCIÓN DEL AGENTE DE CONTROL Y REVISIÓN</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_Toc20409089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50</w:t>
            </w:r>
            <w:r w:rsidR="007A2747" w:rsidRPr="002276F7">
              <w:rPr>
                <w:rFonts w:ascii="Times New Roman" w:hAnsi="Times New Roman" w:cs="Times New Roman"/>
                <w:noProof/>
                <w:webHidden/>
                <w:sz w:val="24"/>
                <w:szCs w:val="24"/>
              </w:rPr>
              <w:fldChar w:fldCharType="end"/>
            </w:r>
          </w:hyperlink>
        </w:p>
        <w:p w14:paraId="156B54A0" w14:textId="76C5CB70" w:rsidR="00B228F5" w:rsidRPr="002276F7" w:rsidRDefault="00EA0675" w:rsidP="0010742D">
          <w:pPr>
            <w:pStyle w:val="TDC1"/>
            <w:rPr>
              <w:rFonts w:ascii="Times New Roman" w:hAnsi="Times New Roman" w:cs="Times New Roman"/>
              <w:noProof/>
              <w:sz w:val="24"/>
              <w:szCs w:val="24"/>
              <w:lang w:val="es-AR"/>
            </w:rPr>
          </w:pPr>
          <w:hyperlink w:anchor="_Toc20409090" w:history="1">
            <w:r w:rsidR="00DE6B5A" w:rsidRPr="00DE6B5A">
              <w:rPr>
                <w:rStyle w:val="Hipervnculo"/>
                <w:rFonts w:ascii="Times New Roman" w:hAnsi="Times New Roman"/>
                <w:noProof/>
                <w:sz w:val="24"/>
                <w:szCs w:val="24"/>
              </w:rPr>
              <w:t>XI.- DESCRIPCIÓN DE LOS BIENES FIDEICOMITIDOS</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_Toc20409090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51</w:t>
            </w:r>
            <w:r w:rsidR="007A2747" w:rsidRPr="002276F7">
              <w:rPr>
                <w:rFonts w:ascii="Times New Roman" w:hAnsi="Times New Roman" w:cs="Times New Roman"/>
                <w:noProof/>
                <w:webHidden/>
                <w:sz w:val="24"/>
                <w:szCs w:val="24"/>
              </w:rPr>
              <w:fldChar w:fldCharType="end"/>
            </w:r>
          </w:hyperlink>
        </w:p>
        <w:p w14:paraId="519A40CF" w14:textId="2571B1A9" w:rsidR="00B228F5" w:rsidRPr="002276F7" w:rsidRDefault="00EA0675" w:rsidP="0010742D">
          <w:pPr>
            <w:pStyle w:val="TDC1"/>
            <w:rPr>
              <w:rFonts w:ascii="Times New Roman" w:hAnsi="Times New Roman" w:cs="Times New Roman"/>
              <w:noProof/>
              <w:sz w:val="24"/>
              <w:szCs w:val="24"/>
              <w:lang w:val="es-AR"/>
            </w:rPr>
          </w:pPr>
          <w:hyperlink w:anchor="_Toc20409091" w:history="1">
            <w:r w:rsidR="00DE6B5A" w:rsidRPr="00DE6B5A">
              <w:rPr>
                <w:rStyle w:val="Hipervnculo"/>
                <w:rFonts w:ascii="Times New Roman" w:hAnsi="Times New Roman"/>
                <w:noProof/>
                <w:sz w:val="24"/>
                <w:szCs w:val="24"/>
              </w:rPr>
              <w:t>XII.- FLUJO DE FONDOS TEÓRICO</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_Toc20409091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63</w:t>
            </w:r>
            <w:r w:rsidR="007A2747" w:rsidRPr="002276F7">
              <w:rPr>
                <w:rFonts w:ascii="Times New Roman" w:hAnsi="Times New Roman" w:cs="Times New Roman"/>
                <w:noProof/>
                <w:webHidden/>
                <w:sz w:val="24"/>
                <w:szCs w:val="24"/>
              </w:rPr>
              <w:fldChar w:fldCharType="end"/>
            </w:r>
          </w:hyperlink>
        </w:p>
        <w:p w14:paraId="25B5385E" w14:textId="000BBF79" w:rsidR="00B228F5" w:rsidRPr="002276F7" w:rsidRDefault="00EA0675" w:rsidP="0010742D">
          <w:pPr>
            <w:pStyle w:val="TDC1"/>
            <w:rPr>
              <w:rFonts w:ascii="Times New Roman" w:hAnsi="Times New Roman" w:cs="Times New Roman"/>
              <w:noProof/>
              <w:sz w:val="24"/>
              <w:szCs w:val="24"/>
              <w:lang w:val="es-AR"/>
            </w:rPr>
          </w:pPr>
          <w:hyperlink w:anchor="_Toc20409092" w:history="1">
            <w:r w:rsidR="00DE6B5A" w:rsidRPr="00DE6B5A">
              <w:rPr>
                <w:rStyle w:val="Hipervnculo"/>
                <w:rFonts w:ascii="Times New Roman" w:hAnsi="Times New Roman"/>
                <w:noProof/>
                <w:sz w:val="24"/>
                <w:szCs w:val="24"/>
                <w:lang w:val="es-AR"/>
              </w:rPr>
              <w:t>XIII.- CRONOGRAMA DE PAGOS DE SERVICIOS</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_Toc20409092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64</w:t>
            </w:r>
            <w:r w:rsidR="007A2747" w:rsidRPr="002276F7">
              <w:rPr>
                <w:rFonts w:ascii="Times New Roman" w:hAnsi="Times New Roman" w:cs="Times New Roman"/>
                <w:noProof/>
                <w:webHidden/>
                <w:sz w:val="24"/>
                <w:szCs w:val="24"/>
              </w:rPr>
              <w:fldChar w:fldCharType="end"/>
            </w:r>
          </w:hyperlink>
        </w:p>
        <w:p w14:paraId="34402898" w14:textId="5DE3B678" w:rsidR="00B228F5" w:rsidRPr="002276F7" w:rsidRDefault="00EA0675" w:rsidP="0010742D">
          <w:pPr>
            <w:pStyle w:val="TDC1"/>
            <w:rPr>
              <w:rFonts w:ascii="Times New Roman" w:hAnsi="Times New Roman" w:cs="Times New Roman"/>
              <w:noProof/>
              <w:sz w:val="24"/>
              <w:szCs w:val="24"/>
              <w:lang w:val="es-AR"/>
            </w:rPr>
          </w:pPr>
          <w:hyperlink w:anchor="_Toc20409093" w:history="1">
            <w:r w:rsidR="00DE6B5A" w:rsidRPr="00DE6B5A">
              <w:rPr>
                <w:rStyle w:val="Hipervnculo"/>
                <w:rFonts w:ascii="Times New Roman" w:hAnsi="Times New Roman"/>
                <w:noProof/>
                <w:sz w:val="24"/>
                <w:szCs w:val="24"/>
              </w:rPr>
              <w:t>XIV.- ESQUEMA GRÁFICO DEL FIDEICOMISO</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_Toc20409093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66</w:t>
            </w:r>
            <w:r w:rsidR="007A2747" w:rsidRPr="002276F7">
              <w:rPr>
                <w:rFonts w:ascii="Times New Roman" w:hAnsi="Times New Roman" w:cs="Times New Roman"/>
                <w:noProof/>
                <w:webHidden/>
                <w:sz w:val="24"/>
                <w:szCs w:val="24"/>
              </w:rPr>
              <w:fldChar w:fldCharType="end"/>
            </w:r>
          </w:hyperlink>
        </w:p>
        <w:p w14:paraId="1C621CC6" w14:textId="339CE8E7" w:rsidR="00B228F5" w:rsidRPr="002276F7" w:rsidRDefault="00EA0675" w:rsidP="0010742D">
          <w:pPr>
            <w:pStyle w:val="TDC1"/>
            <w:rPr>
              <w:rFonts w:ascii="Times New Roman" w:hAnsi="Times New Roman" w:cs="Times New Roman"/>
              <w:noProof/>
              <w:sz w:val="24"/>
              <w:szCs w:val="24"/>
              <w:lang w:val="es-AR"/>
            </w:rPr>
          </w:pPr>
          <w:hyperlink w:anchor="_Toc20409094" w:history="1">
            <w:r w:rsidR="00DE6B5A" w:rsidRPr="00DE6B5A">
              <w:rPr>
                <w:rStyle w:val="Hipervnculo"/>
                <w:rFonts w:ascii="Times New Roman" w:hAnsi="Times New Roman"/>
                <w:noProof/>
                <w:sz w:val="24"/>
                <w:szCs w:val="24"/>
              </w:rPr>
              <w:t xml:space="preserve">XV.- PROCEDIMIENTO DE COLOCACIÓN Y NEGOCIACIÓN DE LOS </w:t>
            </w:r>
            <w:r w:rsidR="00DE6B5A" w:rsidRPr="002276F7">
              <w:rPr>
                <w:rFonts w:ascii="Times New Roman" w:hAnsi="Times New Roman" w:cs="Times New Roman"/>
                <w:noProof/>
                <w:color w:val="0D0D0D" w:themeColor="text1" w:themeTint="F2"/>
                <w:sz w:val="24"/>
                <w:szCs w:val="24"/>
              </w:rPr>
              <w:t>VALORES DE DEUDA FIDUCIARIA</w:t>
            </w:r>
            <w:r w:rsidR="00DE6B5A" w:rsidRPr="00DE6B5A">
              <w:rPr>
                <w:rStyle w:val="Hipervnculo"/>
                <w:rFonts w:ascii="Times New Roman" w:hAnsi="Times New Roman"/>
                <w:noProof/>
                <w:sz w:val="24"/>
                <w:szCs w:val="24"/>
              </w:rPr>
              <w:t>.</w:t>
            </w:r>
            <w:r w:rsidR="00DE6B5A"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_Toc20409094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67</w:t>
            </w:r>
            <w:r w:rsidR="007A2747" w:rsidRPr="002276F7">
              <w:rPr>
                <w:rFonts w:ascii="Times New Roman" w:hAnsi="Times New Roman" w:cs="Times New Roman"/>
                <w:noProof/>
                <w:webHidden/>
                <w:sz w:val="24"/>
                <w:szCs w:val="24"/>
              </w:rPr>
              <w:fldChar w:fldCharType="end"/>
            </w:r>
          </w:hyperlink>
        </w:p>
        <w:p w14:paraId="7AF68B54" w14:textId="7F5E7B70" w:rsidR="00B228F5" w:rsidRPr="00EE5CF2" w:rsidRDefault="00EA0675" w:rsidP="0010742D">
          <w:pPr>
            <w:pStyle w:val="TDC1"/>
            <w:rPr>
              <w:noProof/>
              <w:lang w:val="es-AR"/>
            </w:rPr>
          </w:pPr>
          <w:hyperlink w:anchor="_Toc20409095" w:history="1">
            <w:r w:rsidR="00B228F5" w:rsidRPr="00DE6B5A">
              <w:rPr>
                <w:rStyle w:val="Hipervnculo"/>
                <w:rFonts w:ascii="Times New Roman" w:hAnsi="Times New Roman"/>
                <w:noProof/>
                <w:sz w:val="24"/>
                <w:szCs w:val="24"/>
              </w:rPr>
              <w:t>XVI.- DESCRIPCIÓN DEL TRATAMIENTO IMPOSITIVO</w:t>
            </w:r>
            <w:r w:rsidR="00B228F5" w:rsidRPr="002276F7">
              <w:rPr>
                <w:rFonts w:ascii="Times New Roman" w:hAnsi="Times New Roman" w:cs="Times New Roman"/>
                <w:noProof/>
                <w:webHidden/>
                <w:sz w:val="24"/>
                <w:szCs w:val="24"/>
              </w:rPr>
              <w:tab/>
            </w:r>
            <w:r w:rsidR="007A2747" w:rsidRPr="002276F7">
              <w:rPr>
                <w:rFonts w:ascii="Times New Roman" w:hAnsi="Times New Roman" w:cs="Times New Roman"/>
                <w:noProof/>
                <w:webHidden/>
                <w:sz w:val="24"/>
                <w:szCs w:val="24"/>
              </w:rPr>
              <w:fldChar w:fldCharType="begin"/>
            </w:r>
            <w:r w:rsidR="00B228F5" w:rsidRPr="002276F7">
              <w:rPr>
                <w:rFonts w:ascii="Times New Roman" w:hAnsi="Times New Roman" w:cs="Times New Roman"/>
                <w:noProof/>
                <w:webHidden/>
                <w:sz w:val="24"/>
                <w:szCs w:val="24"/>
              </w:rPr>
              <w:instrText xml:space="preserve"> PAGEREF _Toc20409095 \h </w:instrText>
            </w:r>
            <w:r w:rsidR="007A2747" w:rsidRPr="002276F7">
              <w:rPr>
                <w:rFonts w:ascii="Times New Roman" w:hAnsi="Times New Roman" w:cs="Times New Roman"/>
                <w:noProof/>
                <w:webHidden/>
                <w:sz w:val="24"/>
                <w:szCs w:val="24"/>
              </w:rPr>
            </w:r>
            <w:r w:rsidR="007A2747" w:rsidRPr="002276F7">
              <w:rPr>
                <w:rFonts w:ascii="Times New Roman" w:hAnsi="Times New Roman" w:cs="Times New Roman"/>
                <w:noProof/>
                <w:webHidden/>
                <w:sz w:val="24"/>
                <w:szCs w:val="24"/>
              </w:rPr>
              <w:fldChar w:fldCharType="separate"/>
            </w:r>
            <w:r w:rsidR="007471E4">
              <w:rPr>
                <w:rFonts w:ascii="Times New Roman" w:hAnsi="Times New Roman" w:cs="Times New Roman"/>
                <w:noProof/>
                <w:webHidden/>
                <w:sz w:val="24"/>
                <w:szCs w:val="24"/>
              </w:rPr>
              <w:t>71</w:t>
            </w:r>
            <w:r w:rsidR="007A2747" w:rsidRPr="002276F7">
              <w:rPr>
                <w:rFonts w:ascii="Times New Roman" w:hAnsi="Times New Roman" w:cs="Times New Roman"/>
                <w:noProof/>
                <w:webHidden/>
                <w:sz w:val="24"/>
                <w:szCs w:val="24"/>
              </w:rPr>
              <w:fldChar w:fldCharType="end"/>
            </w:r>
          </w:hyperlink>
        </w:p>
        <w:p w14:paraId="5F4C0695" w14:textId="760BB1DB" w:rsidR="00B228F5" w:rsidRPr="00EE5CF2" w:rsidRDefault="00EA0675" w:rsidP="0010742D">
          <w:pPr>
            <w:pStyle w:val="TDC1"/>
            <w:rPr>
              <w:noProof/>
              <w:lang w:val="es-AR"/>
            </w:rPr>
          </w:pPr>
          <w:hyperlink w:anchor="_Toc20409097" w:history="1">
            <w:r w:rsidR="00B228F5" w:rsidRPr="00585996">
              <w:rPr>
                <w:rStyle w:val="Hipervnculo"/>
                <w:rFonts w:ascii="Times New Roman" w:hAnsi="Times New Roman"/>
                <w:noProof/>
                <w:sz w:val="24"/>
                <w:szCs w:val="24"/>
              </w:rPr>
              <w:t>XVII.- TRANSCRIPCIÓN DEL CONTRATO SUPLEMENTARIO DEL FIDEICOMISO FINANCIERO CONFIBONO L</w:t>
            </w:r>
            <w:r w:rsidR="002E5039" w:rsidRPr="00585996">
              <w:rPr>
                <w:rStyle w:val="Hipervnculo"/>
                <w:rFonts w:ascii="Times New Roman" w:hAnsi="Times New Roman"/>
                <w:noProof/>
                <w:sz w:val="24"/>
                <w:szCs w:val="24"/>
              </w:rPr>
              <w:t>X</w:t>
            </w:r>
            <w:r w:rsidR="006E3594" w:rsidRPr="00585996">
              <w:rPr>
                <w:rStyle w:val="Hipervnculo"/>
                <w:rFonts w:ascii="Times New Roman" w:hAnsi="Times New Roman"/>
                <w:noProof/>
                <w:sz w:val="24"/>
                <w:szCs w:val="24"/>
              </w:rPr>
              <w:t>X</w:t>
            </w:r>
            <w:r w:rsidR="00585BF3" w:rsidRPr="00585996">
              <w:rPr>
                <w:rStyle w:val="Hipervnculo"/>
                <w:rFonts w:ascii="Times New Roman" w:hAnsi="Times New Roman"/>
                <w:noProof/>
                <w:sz w:val="24"/>
                <w:szCs w:val="24"/>
              </w:rPr>
              <w:t>I</w:t>
            </w:r>
            <w:r w:rsidR="009D6E2B">
              <w:rPr>
                <w:rStyle w:val="Hipervnculo"/>
                <w:rFonts w:ascii="Times New Roman" w:hAnsi="Times New Roman"/>
                <w:noProof/>
                <w:sz w:val="24"/>
                <w:szCs w:val="24"/>
              </w:rPr>
              <w:t>I</w:t>
            </w:r>
            <w:r w:rsidR="00E05EDF">
              <w:rPr>
                <w:rStyle w:val="Hipervnculo"/>
                <w:rFonts w:ascii="Times New Roman" w:hAnsi="Times New Roman"/>
                <w:noProof/>
                <w:sz w:val="24"/>
                <w:szCs w:val="24"/>
              </w:rPr>
              <w:t>I</w:t>
            </w:r>
            <w:r w:rsidR="00B228F5" w:rsidRPr="00EE5CF2">
              <w:rPr>
                <w:noProof/>
                <w:webHidden/>
              </w:rPr>
              <w:tab/>
            </w:r>
            <w:r w:rsidR="007A2747" w:rsidRPr="00EE5CF2">
              <w:rPr>
                <w:noProof/>
                <w:webHidden/>
              </w:rPr>
              <w:fldChar w:fldCharType="begin"/>
            </w:r>
            <w:r w:rsidR="00B228F5" w:rsidRPr="004A11DF">
              <w:rPr>
                <w:noProof/>
                <w:webHidden/>
              </w:rPr>
              <w:instrText xml:space="preserve"> PAGEREF _Toc20409097 \h </w:instrText>
            </w:r>
            <w:r w:rsidR="007A2747" w:rsidRPr="00EE5CF2">
              <w:rPr>
                <w:noProof/>
                <w:webHidden/>
              </w:rPr>
            </w:r>
            <w:r w:rsidR="007A2747" w:rsidRPr="00EE5CF2">
              <w:rPr>
                <w:noProof/>
                <w:webHidden/>
              </w:rPr>
              <w:fldChar w:fldCharType="separate"/>
            </w:r>
            <w:r w:rsidR="007471E4">
              <w:rPr>
                <w:noProof/>
                <w:webHidden/>
              </w:rPr>
              <w:t>88</w:t>
            </w:r>
            <w:r w:rsidR="007A2747" w:rsidRPr="00EE5CF2">
              <w:rPr>
                <w:noProof/>
                <w:webHidden/>
              </w:rPr>
              <w:fldChar w:fldCharType="end"/>
            </w:r>
          </w:hyperlink>
        </w:p>
        <w:p w14:paraId="02A55FB8" w14:textId="3F3B0FDC" w:rsidR="00B228F5" w:rsidRPr="00506990" w:rsidRDefault="007A2747">
          <w:pPr>
            <w:rPr>
              <w:rFonts w:ascii="Times New Roman" w:hAnsi="Times New Roman" w:cs="Times New Roman"/>
              <w:sz w:val="24"/>
              <w:szCs w:val="24"/>
            </w:rPr>
          </w:pPr>
          <w:r w:rsidRPr="00463985">
            <w:rPr>
              <w:rFonts w:ascii="Times New Roman" w:hAnsi="Times New Roman" w:cs="Times New Roman"/>
              <w:b/>
              <w:bCs/>
              <w:sz w:val="24"/>
              <w:szCs w:val="24"/>
              <w:lang w:val="es-ES"/>
            </w:rPr>
            <w:fldChar w:fldCharType="end"/>
          </w:r>
        </w:p>
      </w:sdtContent>
    </w:sdt>
    <w:p w14:paraId="1D55C44D" w14:textId="77777777" w:rsidR="006B6B5E" w:rsidRPr="00506990" w:rsidRDefault="006B6B5E">
      <w:pPr>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1" w:name="_Toc521424857"/>
      <w:bookmarkStart w:id="32" w:name="_Toc20409069"/>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31"/>
      <w:bookmarkEnd w:id="3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29A7DC26" w:rsidR="0050339C" w:rsidRPr="00585996" w:rsidRDefault="00DE6B5A"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 xml:space="preserve">FIDEICOMISO -DE CONFORMIDAD CON LO PREVISTO EN EL SUPLEMENTO DE PROSPECTO- SERÁN OFRECIDOS POR OFERTA PÚBLICA A POTENCIALES INVERSORES SOLO EN LA REPÚBLICA ARGENTINA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27B57253"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76EFAFCB"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6437F030"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w:t>
      </w:r>
      <w:r w:rsidRPr="00506990">
        <w:rPr>
          <w:rFonts w:ascii="Times New Roman" w:hAnsi="Times New Roman"/>
          <w:iCs/>
          <w:caps/>
          <w:color w:val="0D0D0D" w:themeColor="text1" w:themeTint="F2"/>
          <w:sz w:val="22"/>
          <w:szCs w:val="22"/>
        </w:rPr>
        <w:lastRenderedPageBreak/>
        <w:t>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lastRenderedPageBreak/>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26C0B014" w14:textId="7F96946F"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797D75">
        <w:rPr>
          <w:rFonts w:ascii="Times New Roman" w:hAnsi="Times New Roman"/>
          <w:color w:val="0D0D0D" w:themeColor="text1" w:themeTint="F2"/>
          <w:sz w:val="22"/>
          <w:szCs w:val="22"/>
        </w:rPr>
        <w:t>3</w:t>
      </w:r>
      <w:r w:rsidR="003A6ADC">
        <w:rPr>
          <w:rFonts w:ascii="Times New Roman" w:hAnsi="Times New Roman"/>
          <w:color w:val="0D0D0D" w:themeColor="text1" w:themeTint="F2"/>
          <w:sz w:val="22"/>
          <w:szCs w:val="22"/>
        </w:rPr>
        <w:t>0</w:t>
      </w:r>
      <w:r w:rsidR="00E54225">
        <w:rPr>
          <w:rFonts w:ascii="Times New Roman" w:hAnsi="Times New Roman"/>
          <w:color w:val="0D0D0D" w:themeColor="text1" w:themeTint="F2"/>
          <w:sz w:val="22"/>
          <w:szCs w:val="22"/>
        </w:rPr>
        <w:t>/</w:t>
      </w:r>
      <w:r w:rsidR="00797D75">
        <w:rPr>
          <w:rFonts w:ascii="Times New Roman" w:hAnsi="Times New Roman"/>
          <w:color w:val="0D0D0D" w:themeColor="text1" w:themeTint="F2"/>
          <w:sz w:val="22"/>
          <w:szCs w:val="22"/>
        </w:rPr>
        <w:t>0</w:t>
      </w:r>
      <w:r w:rsidR="003A6ADC">
        <w:rPr>
          <w:rFonts w:ascii="Times New Roman" w:hAnsi="Times New Roman"/>
          <w:color w:val="0D0D0D" w:themeColor="text1" w:themeTint="F2"/>
          <w:sz w:val="22"/>
          <w:szCs w:val="22"/>
        </w:rPr>
        <w:t>9</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F1ED8">
        <w:rPr>
          <w:rFonts w:ascii="Times New Roman" w:hAnsi="Times New Roman"/>
          <w:color w:val="0D0D0D" w:themeColor="text1" w:themeTint="F2"/>
          <w:sz w:val="22"/>
          <w:szCs w:val="22"/>
        </w:rPr>
        <w:t>6,8</w:t>
      </w:r>
      <w:r w:rsidR="00F3335D" w:rsidRPr="00DB405C">
        <w:rPr>
          <w:rFonts w:ascii="Times New Roman" w:hAnsi="Times New Roman"/>
          <w:color w:val="0D0D0D" w:themeColor="text1" w:themeTint="F2"/>
          <w:sz w:val="22"/>
          <w:szCs w:val="22"/>
        </w:rPr>
        <w:t xml:space="preserve">% DEL SALDO EN PESOS Y EL </w:t>
      </w:r>
      <w:r w:rsidR="00FF1ED8">
        <w:rPr>
          <w:rFonts w:ascii="Times New Roman" w:hAnsi="Times New Roman"/>
          <w:color w:val="0D0D0D" w:themeColor="text1" w:themeTint="F2"/>
          <w:sz w:val="22"/>
          <w:szCs w:val="22"/>
        </w:rPr>
        <w:t>12,5</w:t>
      </w:r>
      <w:r w:rsidR="00F3335D" w:rsidRPr="00DB405C">
        <w:rPr>
          <w:rFonts w:ascii="Times New Roman" w:hAnsi="Times New Roman"/>
          <w:color w:val="0D0D0D" w:themeColor="text1" w:themeTint="F2"/>
          <w:sz w:val="22"/>
          <w:szCs w:val="22"/>
        </w:rPr>
        <w:t>% EN DÓLARES.</w:t>
      </w:r>
      <w:r w:rsidR="00F3335D" w:rsidRPr="00421E12">
        <w:rPr>
          <w:rFonts w:ascii="Times New Roman" w:hAnsi="Times New Roman"/>
          <w:color w:val="0D0D0D" w:themeColor="text1" w:themeTint="F2"/>
          <w:sz w:val="22"/>
          <w:szCs w:val="22"/>
        </w:rPr>
        <w:t xml:space="preserve"> </w:t>
      </w:r>
      <w:r w:rsidRPr="00421E12">
        <w:rPr>
          <w:rFonts w:ascii="Times New Roman" w:hAnsi="Times New Roman"/>
          <w:color w:val="0D0D0D" w:themeColor="text1" w:themeTint="F2"/>
          <w:sz w:val="22"/>
          <w:szCs w:val="22"/>
        </w:rPr>
        <w:t>EL VENCIMIENTO FINAL DEL SALDO PENDIENTE DE CANCELACIÓN SE ENCUENTRA PREVISTO PARA EL AÑO 2024.</w:t>
      </w:r>
      <w:r w:rsidR="00813740" w:rsidRPr="00421E12">
        <w:rPr>
          <w:rFonts w:ascii="Times New Roman" w:hAnsi="Times New Roman"/>
          <w:color w:val="0D0D0D" w:themeColor="text1" w:themeTint="F2"/>
          <w:sz w:val="22"/>
          <w:szCs w:val="22"/>
        </w:rPr>
        <w:t xml:space="preserve"> ASIMISMO, CON FECHA 29 DE DICIEMBRE DE 2009 CONSUMO </w:t>
      </w:r>
      <w:r w:rsidR="003E57D5" w:rsidRPr="00421E12">
        <w:rPr>
          <w:rFonts w:ascii="Times New Roman" w:hAnsi="Times New Roman"/>
          <w:color w:val="0D0D0D" w:themeColor="text1" w:themeTint="F2"/>
          <w:sz w:val="22"/>
          <w:szCs w:val="22"/>
        </w:rPr>
        <w:t xml:space="preserve">S.A. </w:t>
      </w:r>
      <w:r w:rsidR="00813740" w:rsidRPr="00421E12">
        <w:rPr>
          <w:rFonts w:ascii="Times New Roman" w:hAnsi="Times New Roman"/>
          <w:color w:val="0D0D0D" w:themeColor="text1" w:themeTint="F2"/>
          <w:sz w:val="22"/>
          <w:szCs w:val="22"/>
        </w:rPr>
        <w:t xml:space="preserve">SOLICITÓ SU CONCURSO PREVENTIVO ANTE EL </w:t>
      </w:r>
      <w:r w:rsidR="00813740" w:rsidRPr="00421E12">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00813740"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00813740"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797D75">
        <w:rPr>
          <w:rFonts w:ascii="Times New Roman" w:hAnsi="Times New Roman"/>
          <w:color w:val="0D0D0D" w:themeColor="text1" w:themeTint="F2"/>
          <w:sz w:val="22"/>
          <w:szCs w:val="22"/>
        </w:rPr>
        <w:t>3</w:t>
      </w:r>
      <w:r w:rsidR="003A6ADC">
        <w:rPr>
          <w:rFonts w:ascii="Times New Roman" w:hAnsi="Times New Roman"/>
          <w:color w:val="0D0D0D" w:themeColor="text1" w:themeTint="F2"/>
          <w:sz w:val="22"/>
          <w:szCs w:val="22"/>
        </w:rPr>
        <w:t>0</w:t>
      </w:r>
      <w:r w:rsidR="00E54225">
        <w:rPr>
          <w:rFonts w:ascii="Times New Roman" w:hAnsi="Times New Roman"/>
          <w:color w:val="0D0D0D" w:themeColor="text1" w:themeTint="F2"/>
          <w:sz w:val="22"/>
          <w:szCs w:val="22"/>
        </w:rPr>
        <w:t>/</w:t>
      </w:r>
      <w:r w:rsidR="00797D75">
        <w:rPr>
          <w:rFonts w:ascii="Times New Roman" w:hAnsi="Times New Roman"/>
          <w:color w:val="0D0D0D" w:themeColor="text1" w:themeTint="F2"/>
          <w:sz w:val="22"/>
          <w:szCs w:val="22"/>
        </w:rPr>
        <w:t>0</w:t>
      </w:r>
      <w:r w:rsidR="003A6ADC">
        <w:rPr>
          <w:rFonts w:ascii="Times New Roman" w:hAnsi="Times New Roman"/>
          <w:color w:val="0D0D0D" w:themeColor="text1" w:themeTint="F2"/>
          <w:sz w:val="22"/>
          <w:szCs w:val="22"/>
        </w:rPr>
        <w:t>9</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F1ED8">
        <w:rPr>
          <w:rFonts w:ascii="Times New Roman" w:hAnsi="Times New Roman"/>
          <w:color w:val="0D0D0D" w:themeColor="text1" w:themeTint="F2"/>
          <w:sz w:val="22"/>
          <w:szCs w:val="22"/>
        </w:rPr>
        <w:t>2,6</w:t>
      </w:r>
      <w:r w:rsidR="00F3335D" w:rsidRPr="00DB405C">
        <w:rPr>
          <w:rFonts w:ascii="Times New Roman" w:hAnsi="Times New Roman"/>
          <w:color w:val="0D0D0D" w:themeColor="text1" w:themeTint="F2"/>
          <w:sz w:val="22"/>
          <w:szCs w:val="22"/>
        </w:rPr>
        <w:t>% DEL SALDO EN PESOS.</w:t>
      </w:r>
      <w:r w:rsidR="00F3335D" w:rsidRPr="00421E12">
        <w:rPr>
          <w:rFonts w:ascii="Times New Roman" w:hAnsi="Times New Roman"/>
          <w:color w:val="0D0D0D" w:themeColor="text1" w:themeTint="F2"/>
          <w:sz w:val="22"/>
          <w:szCs w:val="22"/>
        </w:rPr>
        <w:t xml:space="preserve"> </w:t>
      </w:r>
      <w:r w:rsidR="00813740" w:rsidRPr="00421E12">
        <w:rPr>
          <w:rFonts w:ascii="Times New Roman" w:hAnsi="Times New Roman"/>
          <w:color w:val="0D0D0D" w:themeColor="text1" w:themeTint="F2"/>
          <w:sz w:val="22"/>
          <w:szCs w:val="22"/>
        </w:rPr>
        <w:t>EL VENCIMIENTO FINAL DEL</w:t>
      </w:r>
      <w:r w:rsidR="00813740" w:rsidRPr="00506990">
        <w:rPr>
          <w:rFonts w:ascii="Times New Roman" w:hAnsi="Times New Roman"/>
          <w:color w:val="0D0D0D" w:themeColor="text1" w:themeTint="F2"/>
          <w:sz w:val="22"/>
          <w:szCs w:val="22"/>
        </w:rPr>
        <w:t xml:space="preserve">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099DE0D1"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w:t>
      </w:r>
      <w:r w:rsidR="00585996" w:rsidRPr="00585996">
        <w:rPr>
          <w:rFonts w:ascii="Times New Roman" w:hAnsi="Times New Roman"/>
          <w:color w:val="0D0D0D" w:themeColor="text1" w:themeTint="F2"/>
          <w:sz w:val="22"/>
          <w:szCs w:val="22"/>
        </w:rPr>
        <w:lastRenderedPageBreak/>
        <w:t>TENIENDO EN CUENTA ESPECIALMENTE LA CONSIDERACIÓN DEL PUNTO “Ñ”.</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33E9A4B6" w:rsidR="005D65D9" w:rsidRPr="00585996" w:rsidRDefault="00585996" w:rsidP="009B2C34">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584E04">
        <w:rPr>
          <w:rFonts w:ascii="Times New Roman" w:hAnsi="Times New Roman"/>
          <w:color w:val="0D0D0D" w:themeColor="text1" w:themeTint="F2"/>
          <w:sz w:val="22"/>
          <w:szCs w:val="22"/>
        </w:rPr>
        <w:t>0,4</w:t>
      </w:r>
      <w:r w:rsidRPr="00585996">
        <w:rPr>
          <w:rFonts w:ascii="Times New Roman" w:hAnsi="Times New Roman"/>
          <w:color w:val="0D0D0D" w:themeColor="text1" w:themeTint="F2"/>
          <w:sz w:val="22"/>
          <w:szCs w:val="22"/>
        </w:rPr>
        <w:t xml:space="preserve">% DE LA CARTERA A OPERACIONES REFINANCIADAS. </w:t>
      </w:r>
    </w:p>
    <w:p w14:paraId="6D355897"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09422BE4" w14:textId="77777777" w:rsidR="002911A2" w:rsidRDefault="002911A2" w:rsidP="000579E7">
      <w:pPr>
        <w:pStyle w:val="Textoindependiente"/>
        <w:keepNext w:val="0"/>
        <w:widowControl w:val="0"/>
        <w:suppressAutoHyphens/>
        <w:jc w:val="both"/>
        <w:rPr>
          <w:rFonts w:ascii="Times New Roman" w:hAnsi="Times New Roman"/>
          <w:color w:val="0D0D0D" w:themeColor="text1" w:themeTint="F2"/>
          <w:sz w:val="22"/>
          <w:szCs w:val="22"/>
          <w:lang w:val="es-AR"/>
        </w:rPr>
      </w:pPr>
    </w:p>
    <w:p w14:paraId="3DE9AA76" w14:textId="77777777" w:rsidR="00303C70" w:rsidRPr="0065404B" w:rsidRDefault="00303C70" w:rsidP="000579E7">
      <w:pPr>
        <w:pStyle w:val="Textoindependiente"/>
        <w:keepNext w:val="0"/>
        <w:widowControl w:val="0"/>
        <w:suppressAutoHyphens/>
        <w:jc w:val="both"/>
        <w:rPr>
          <w:rFonts w:ascii="Times New Roman" w:hAnsi="Times New Roman"/>
          <w:color w:val="0D0D0D" w:themeColor="text1" w:themeTint="F2"/>
          <w:sz w:val="22"/>
          <w:szCs w:val="22"/>
          <w:lang w:val="es-AR"/>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33" w:name="_Toc521424858"/>
      <w:bookmarkStart w:id="34" w:name="_Toc20409070"/>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33"/>
      <w:bookmarkEnd w:id="34"/>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5CC2C5C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0D89C5B2"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dictado </w:t>
      </w:r>
      <w:r w:rsidRPr="00506990">
        <w:rPr>
          <w:rFonts w:ascii="Times New Roman" w:hAnsi="Times New Roman" w:cs="Times New Roman"/>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XLV a L</w:t>
      </w:r>
      <w:r w:rsidR="003551C4" w:rsidRPr="0057541E">
        <w:rPr>
          <w:rFonts w:ascii="Times New Roman" w:hAnsi="Times New Roman" w:cs="Times New Roman"/>
          <w:iCs/>
          <w:color w:val="0D0D0D" w:themeColor="text1" w:themeTint="F2"/>
          <w:sz w:val="22"/>
          <w:szCs w:val="22"/>
        </w:rPr>
        <w:t>X</w:t>
      </w:r>
      <w:r w:rsidR="002D2459">
        <w:rPr>
          <w:rFonts w:ascii="Times New Roman" w:hAnsi="Times New Roman" w:cs="Times New Roman"/>
          <w:iCs/>
          <w:color w:val="0D0D0D" w:themeColor="text1" w:themeTint="F2"/>
          <w:sz w:val="22"/>
          <w:szCs w:val="22"/>
        </w:rPr>
        <w:t>X</w:t>
      </w:r>
      <w:r w:rsidR="00974180">
        <w:rPr>
          <w:rFonts w:ascii="Times New Roman" w:hAnsi="Times New Roman" w:cs="Times New Roman"/>
          <w:iCs/>
          <w:color w:val="0D0D0D" w:themeColor="text1" w:themeTint="F2"/>
          <w:sz w:val="22"/>
          <w:szCs w:val="22"/>
        </w:rPr>
        <w:t>I</w:t>
      </w:r>
      <w:r w:rsidR="00284043">
        <w:rPr>
          <w:rFonts w:ascii="Times New Roman" w:hAnsi="Times New Roman" w:cs="Times New Roman"/>
          <w:iCs/>
          <w:color w:val="0D0D0D" w:themeColor="text1" w:themeTint="F2"/>
          <w:sz w:val="22"/>
          <w:szCs w:val="22"/>
        </w:rPr>
        <w:t>I</w:t>
      </w:r>
      <w:r w:rsidR="0089639F" w:rsidRPr="0057541E">
        <w:rPr>
          <w:rFonts w:ascii="Times New Roman" w:hAnsi="Times New Roman" w:cs="Times New Roman"/>
          <w:iCs/>
          <w:color w:val="0D0D0D" w:themeColor="text1" w:themeTint="F2"/>
          <w:sz w:val="22"/>
          <w:szCs w:val="22"/>
        </w:rPr>
        <w:t xml:space="preserve"> de los</w:t>
      </w:r>
      <w:r w:rsidR="0089639F">
        <w:rPr>
          <w:rFonts w:ascii="Times New Roman" w:hAnsi="Times New Roman" w:cs="Times New Roman"/>
          <w:iCs/>
          <w:color w:val="0D0D0D" w:themeColor="text1" w:themeTint="F2"/>
          <w:sz w:val="22"/>
          <w:szCs w:val="22"/>
        </w:rPr>
        <w:t xml:space="preserve"> fideicomisos “CONFIBONO”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fideicomisos. En relación al Fideicomiso Financiero CONFIBONO LX</w:t>
      </w:r>
      <w:r w:rsidR="0087742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9D6E2B">
        <w:rPr>
          <w:rFonts w:ascii="Times New Roman" w:hAnsi="Times New Roman" w:cs="Times New Roman"/>
          <w:iCs/>
          <w:color w:val="0D0D0D" w:themeColor="text1" w:themeTint="F2"/>
          <w:sz w:val="22"/>
          <w:szCs w:val="22"/>
        </w:rPr>
        <w:t>I</w:t>
      </w:r>
      <w:r w:rsidR="00E05EDF">
        <w:rPr>
          <w:rFonts w:ascii="Times New Roman" w:hAnsi="Times New Roman" w:cs="Times New Roman"/>
          <w:iCs/>
          <w:color w:val="0D0D0D" w:themeColor="text1" w:themeTint="F2"/>
          <w:sz w:val="22"/>
          <w:szCs w:val="22"/>
        </w:rPr>
        <w:t>I</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e informa que con fecha</w:t>
      </w:r>
      <w:r w:rsidR="00900C58" w:rsidRPr="00050168">
        <w:rPr>
          <w:rFonts w:ascii="Times New Roman" w:hAnsi="Times New Roman" w:cs="Times New Roman"/>
          <w:b/>
          <w:bCs/>
          <w:iCs/>
          <w:color w:val="0D0D0D" w:themeColor="text1" w:themeTint="F2"/>
          <w:sz w:val="22"/>
          <w:szCs w:val="22"/>
        </w:rPr>
        <w:t xml:space="preserve"> </w:t>
      </w:r>
      <w:r w:rsidR="00797D75" w:rsidRPr="002276F7">
        <w:rPr>
          <w:rFonts w:ascii="Times New Roman" w:hAnsi="Times New Roman" w:cs="Times New Roman"/>
          <w:bCs/>
          <w:iCs/>
          <w:color w:val="0D0D0D" w:themeColor="text1" w:themeTint="F2"/>
          <w:sz w:val="22"/>
          <w:szCs w:val="22"/>
        </w:rPr>
        <w:t>04</w:t>
      </w:r>
      <w:r w:rsidR="00E14887">
        <w:rPr>
          <w:rFonts w:ascii="Times New Roman" w:hAnsi="Times New Roman" w:cs="Times New Roman"/>
          <w:bCs/>
          <w:iCs/>
          <w:color w:val="0D0D0D" w:themeColor="text1" w:themeTint="F2"/>
          <w:sz w:val="22"/>
          <w:szCs w:val="22"/>
        </w:rPr>
        <w:t>/</w:t>
      </w:r>
      <w:r w:rsidR="00797D75">
        <w:rPr>
          <w:rFonts w:ascii="Times New Roman" w:hAnsi="Times New Roman" w:cs="Times New Roman"/>
          <w:bCs/>
          <w:iCs/>
          <w:color w:val="0D0D0D" w:themeColor="text1" w:themeTint="F2"/>
          <w:sz w:val="22"/>
          <w:szCs w:val="22"/>
        </w:rPr>
        <w:t>09</w:t>
      </w:r>
      <w:r w:rsidR="003C2750" w:rsidRPr="00EA5C6B">
        <w:rPr>
          <w:rFonts w:ascii="Times New Roman" w:hAnsi="Times New Roman" w:cs="Times New Roman"/>
          <w:bCs/>
          <w:iCs/>
          <w:color w:val="0D0D0D" w:themeColor="text1" w:themeTint="F2"/>
          <w:sz w:val="22"/>
          <w:szCs w:val="22"/>
        </w:rPr>
        <w:t>/</w:t>
      </w:r>
      <w:r w:rsidR="003C2750">
        <w:rPr>
          <w:rFonts w:ascii="Times New Roman" w:hAnsi="Times New Roman" w:cs="Times New Roman"/>
          <w:bCs/>
          <w:iCs/>
          <w:color w:val="0D0D0D" w:themeColor="text1" w:themeTint="F2"/>
          <w:sz w:val="22"/>
          <w:szCs w:val="22"/>
        </w:rPr>
        <w:t>20</w:t>
      </w:r>
      <w:r w:rsidR="003C2750" w:rsidRPr="00EA5C6B">
        <w:rPr>
          <w:rFonts w:ascii="Times New Roman" w:hAnsi="Times New Roman" w:cs="Times New Roman"/>
          <w:bCs/>
          <w:iCs/>
          <w:color w:val="0D0D0D" w:themeColor="text1" w:themeTint="F2"/>
          <w:sz w:val="22"/>
          <w:szCs w:val="22"/>
        </w:rPr>
        <w:t>23</w:t>
      </w:r>
      <w:r w:rsidR="005E5B3A" w:rsidRPr="00421E12">
        <w:rPr>
          <w:rFonts w:ascii="Times New Roman" w:hAnsi="Times New Roman" w:cs="Times New Roman"/>
          <w:iCs/>
          <w:color w:val="0D0D0D" w:themeColor="text1" w:themeTint="F2"/>
          <w:sz w:val="22"/>
          <w:szCs w:val="22"/>
        </w:rPr>
        <w:t xml:space="preserve"> </w:t>
      </w:r>
      <w:r w:rsidR="001D44BF" w:rsidRPr="00421E12">
        <w:rPr>
          <w:rFonts w:ascii="Times New Roman" w:hAnsi="Times New Roman" w:cs="Times New Roman"/>
          <w:iCs/>
          <w:color w:val="0D0D0D" w:themeColor="text1" w:themeTint="F2"/>
          <w:sz w:val="22"/>
          <w:szCs w:val="22"/>
        </w:rPr>
        <w:t>se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w:t>
      </w:r>
      <w:r w:rsidR="00CF0DDF" w:rsidRPr="00421E12">
        <w:rPr>
          <w:rFonts w:ascii="Times New Roman" w:hAnsi="Times New Roman"/>
          <w:color w:val="0D0D0D" w:themeColor="text1" w:themeTint="F2"/>
          <w:sz w:val="22"/>
        </w:rPr>
        <w:t xml:space="preserve">Al </w:t>
      </w:r>
      <w:r w:rsidR="00797D75">
        <w:rPr>
          <w:rFonts w:ascii="Times New Roman" w:hAnsi="Times New Roman"/>
          <w:color w:val="0D0D0D" w:themeColor="text1" w:themeTint="F2"/>
          <w:sz w:val="22"/>
        </w:rPr>
        <w:t>3</w:t>
      </w:r>
      <w:r w:rsidR="003A6ADC">
        <w:rPr>
          <w:rFonts w:ascii="Times New Roman" w:hAnsi="Times New Roman"/>
          <w:color w:val="0D0D0D" w:themeColor="text1" w:themeTint="F2"/>
          <w:sz w:val="22"/>
        </w:rPr>
        <w:t>0</w:t>
      </w:r>
      <w:r w:rsidR="00E54225">
        <w:rPr>
          <w:rFonts w:ascii="Times New Roman" w:hAnsi="Times New Roman"/>
          <w:color w:val="0D0D0D" w:themeColor="text1" w:themeTint="F2"/>
          <w:sz w:val="22"/>
        </w:rPr>
        <w:t>/</w:t>
      </w:r>
      <w:r w:rsidR="00797D75">
        <w:rPr>
          <w:rFonts w:ascii="Times New Roman" w:hAnsi="Times New Roman"/>
          <w:color w:val="0D0D0D" w:themeColor="text1" w:themeTint="F2"/>
          <w:sz w:val="22"/>
        </w:rPr>
        <w:t>0</w:t>
      </w:r>
      <w:r w:rsidR="003A6ADC">
        <w:rPr>
          <w:rFonts w:ascii="Times New Roman" w:hAnsi="Times New Roman"/>
          <w:color w:val="0D0D0D" w:themeColor="text1" w:themeTint="F2"/>
          <w:sz w:val="22"/>
        </w:rPr>
        <w:t>9</w:t>
      </w:r>
      <w:r w:rsidR="005E5B3A" w:rsidRPr="00DB474F">
        <w:rPr>
          <w:rFonts w:ascii="Times New Roman" w:hAnsi="Times New Roman"/>
          <w:color w:val="0D0D0D" w:themeColor="text1" w:themeTint="F2"/>
          <w:sz w:val="22"/>
        </w:rPr>
        <w:t>/202</w:t>
      </w:r>
      <w:r w:rsidR="00285F79" w:rsidRPr="00DB474F">
        <w:rPr>
          <w:rFonts w:ascii="Times New Roman" w:hAnsi="Times New Roman"/>
          <w:color w:val="0D0D0D" w:themeColor="text1" w:themeTint="F2"/>
          <w:sz w:val="22"/>
        </w:rPr>
        <w:t>3</w:t>
      </w:r>
      <w:r w:rsidR="00CF0DDF" w:rsidRPr="00421E12">
        <w:rPr>
          <w:rFonts w:ascii="Times New Roman" w:hAnsi="Times New Roman"/>
          <w:color w:val="0D0D0D" w:themeColor="text1" w:themeTint="F2"/>
          <w:sz w:val="22"/>
        </w:rPr>
        <w:t xml:space="preserve">, cumplió con todos los pagos en tiempo y forma restando el </w:t>
      </w:r>
      <w:r w:rsidR="00FF1ED8">
        <w:rPr>
          <w:rFonts w:ascii="Times New Roman" w:hAnsi="Times New Roman"/>
          <w:color w:val="0D0D0D" w:themeColor="text1" w:themeTint="F2"/>
          <w:sz w:val="22"/>
        </w:rPr>
        <w:t>6,8</w:t>
      </w:r>
      <w:r w:rsidR="00CF0DDF" w:rsidRPr="00421E12">
        <w:rPr>
          <w:rFonts w:ascii="Times New Roman" w:hAnsi="Times New Roman"/>
          <w:color w:val="0D0D0D" w:themeColor="text1" w:themeTint="F2"/>
          <w:sz w:val="22"/>
        </w:rPr>
        <w:t xml:space="preserve">% del saldo en pesos y el </w:t>
      </w:r>
      <w:r w:rsidR="00FF1ED8">
        <w:rPr>
          <w:rFonts w:ascii="Times New Roman" w:hAnsi="Times New Roman"/>
          <w:color w:val="0D0D0D" w:themeColor="text1" w:themeTint="F2"/>
          <w:sz w:val="22"/>
        </w:rPr>
        <w:t>12,5</w:t>
      </w:r>
      <w:r w:rsidR="00CF0DDF" w:rsidRPr="00421E12">
        <w:rPr>
          <w:rFonts w:ascii="Times New Roman" w:hAnsi="Times New Roman"/>
          <w:color w:val="0D0D0D" w:themeColor="text1" w:themeTint="F2"/>
          <w:sz w:val="22"/>
        </w:rPr>
        <w:t>% en dólares.</w:t>
      </w:r>
      <w:r w:rsidR="00CF0DDF" w:rsidRPr="00C47E16">
        <w:rPr>
          <w:rFonts w:ascii="Times New Roman" w:hAnsi="Times New Roman"/>
          <w:color w:val="0D0D0D" w:themeColor="text1" w:themeTint="F2"/>
          <w:sz w:val="22"/>
        </w:rPr>
        <w:t xml:space="preserve"> El vencimiento final del saldo está previsto para 2024. La sociedad calificadora</w:t>
      </w:r>
      <w:r w:rsidR="00CF0DDF" w:rsidRPr="00A9046E">
        <w:rPr>
          <w:rFonts w:ascii="Times New Roman" w:hAnsi="Times New Roman"/>
          <w:color w:val="0D0D0D" w:themeColor="text1" w:themeTint="F2"/>
          <w:sz w:val="22"/>
        </w:rPr>
        <w:t xml:space="preserve">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24539735"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421E12">
        <w:rPr>
          <w:rFonts w:ascii="Times New Roman" w:hAnsi="Times New Roman"/>
          <w:color w:val="0D0D0D" w:themeColor="text1" w:themeTint="F2"/>
          <w:sz w:val="22"/>
        </w:rPr>
        <w:t xml:space="preserve">Al </w:t>
      </w:r>
      <w:r w:rsidR="00797D75">
        <w:rPr>
          <w:rFonts w:ascii="Times New Roman" w:hAnsi="Times New Roman"/>
          <w:color w:val="0D0D0D" w:themeColor="text1" w:themeTint="F2"/>
          <w:sz w:val="22"/>
        </w:rPr>
        <w:t>3</w:t>
      </w:r>
      <w:r w:rsidR="003A6ADC">
        <w:rPr>
          <w:rFonts w:ascii="Times New Roman" w:hAnsi="Times New Roman"/>
          <w:color w:val="0D0D0D" w:themeColor="text1" w:themeTint="F2"/>
          <w:sz w:val="22"/>
        </w:rPr>
        <w:t>0</w:t>
      </w:r>
      <w:r w:rsidR="00E54225">
        <w:rPr>
          <w:rFonts w:ascii="Times New Roman" w:hAnsi="Times New Roman"/>
          <w:color w:val="0D0D0D" w:themeColor="text1" w:themeTint="F2"/>
          <w:sz w:val="22"/>
        </w:rPr>
        <w:t>/</w:t>
      </w:r>
      <w:r w:rsidR="00797D75">
        <w:rPr>
          <w:rFonts w:ascii="Times New Roman" w:hAnsi="Times New Roman"/>
          <w:color w:val="0D0D0D" w:themeColor="text1" w:themeTint="F2"/>
          <w:sz w:val="22"/>
        </w:rPr>
        <w:t>0</w:t>
      </w:r>
      <w:r w:rsidR="003A6ADC">
        <w:rPr>
          <w:rFonts w:ascii="Times New Roman" w:hAnsi="Times New Roman"/>
          <w:color w:val="0D0D0D" w:themeColor="text1" w:themeTint="F2"/>
          <w:sz w:val="22"/>
        </w:rPr>
        <w:t>9</w:t>
      </w:r>
      <w:r w:rsidR="005E5B3A" w:rsidRPr="00421E12">
        <w:rPr>
          <w:rFonts w:ascii="Times New Roman" w:hAnsi="Times New Roman"/>
          <w:color w:val="0D0D0D" w:themeColor="text1" w:themeTint="F2"/>
          <w:sz w:val="22"/>
        </w:rPr>
        <w:t>/202</w:t>
      </w:r>
      <w:r w:rsidR="00285F79">
        <w:rPr>
          <w:rFonts w:ascii="Times New Roman" w:hAnsi="Times New Roman"/>
          <w:color w:val="0D0D0D" w:themeColor="text1" w:themeTint="F2"/>
          <w:sz w:val="22"/>
        </w:rPr>
        <w:t>3</w:t>
      </w:r>
      <w:r w:rsidR="005F533D" w:rsidRPr="00421E12">
        <w:rPr>
          <w:rFonts w:ascii="Times New Roman" w:hAnsi="Times New Roman"/>
          <w:color w:val="0D0D0D" w:themeColor="text1" w:themeTint="F2"/>
          <w:sz w:val="22"/>
        </w:rPr>
        <w:t xml:space="preserve">, cumplió con todos los pagos en tiempo y forma restando el </w:t>
      </w:r>
      <w:r w:rsidR="00FF1ED8">
        <w:rPr>
          <w:rFonts w:ascii="Times New Roman" w:hAnsi="Times New Roman"/>
          <w:color w:val="0D0D0D" w:themeColor="text1" w:themeTint="F2"/>
          <w:sz w:val="22"/>
        </w:rPr>
        <w:t>2,6</w:t>
      </w:r>
      <w:r w:rsidR="005F533D" w:rsidRPr="00421E12">
        <w:rPr>
          <w:rFonts w:ascii="Times New Roman" w:hAnsi="Times New Roman"/>
          <w:color w:val="0D0D0D" w:themeColor="text1" w:themeTint="F2"/>
          <w:sz w:val="22"/>
        </w:rPr>
        <w:t>% del saldo en pesos.</w:t>
      </w:r>
      <w:r w:rsidR="005F533D" w:rsidRPr="00636384">
        <w:rPr>
          <w:rFonts w:ascii="Times New Roman" w:hAnsi="Times New Roman"/>
          <w:color w:val="0D0D0D" w:themeColor="text1" w:themeTint="F2"/>
          <w:sz w:val="22"/>
        </w:rPr>
        <w:t xml:space="preserve"> El vencimiento</w:t>
      </w:r>
      <w:r w:rsidR="005F533D" w:rsidRPr="00A9046E">
        <w:rPr>
          <w:rFonts w:ascii="Times New Roman" w:hAnsi="Times New Roman"/>
          <w:color w:val="0D0D0D" w:themeColor="text1" w:themeTint="F2"/>
          <w:sz w:val="22"/>
        </w:rPr>
        <w:t xml:space="preserve">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63433E83"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L</w:t>
      </w:r>
      <w:r w:rsidR="00216308" w:rsidRPr="007B47E1">
        <w:rPr>
          <w:rFonts w:ascii="Times New Roman" w:hAnsi="Times New Roman" w:cs="Times New Roman"/>
          <w:iCs/>
          <w:color w:val="0D0D0D" w:themeColor="text1" w:themeTint="F2"/>
          <w:sz w:val="22"/>
          <w:szCs w:val="22"/>
        </w:rPr>
        <w:t>X</w:t>
      </w:r>
      <w:r w:rsidR="002D2459" w:rsidRPr="007B47E1">
        <w:rPr>
          <w:rFonts w:ascii="Times New Roman" w:hAnsi="Times New Roman" w:cs="Times New Roman"/>
          <w:iCs/>
          <w:color w:val="0D0D0D" w:themeColor="text1" w:themeTint="F2"/>
          <w:sz w:val="22"/>
          <w:szCs w:val="22"/>
        </w:rPr>
        <w:t>X</w:t>
      </w:r>
      <w:r w:rsidR="007B47E1" w:rsidRPr="009E2BE5">
        <w:rPr>
          <w:rFonts w:ascii="Times New Roman" w:hAnsi="Times New Roman" w:cs="Times New Roman"/>
          <w:iCs/>
          <w:color w:val="0D0D0D" w:themeColor="text1" w:themeTint="F2"/>
          <w:sz w:val="22"/>
          <w:szCs w:val="22"/>
        </w:rPr>
        <w:t>I</w:t>
      </w:r>
      <w:r w:rsidR="00284043">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xml:space="preserve"> 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LXXI</w:t>
      </w:r>
      <w:r w:rsidR="009D6E2B" w:rsidRPr="007B47E1">
        <w:rPr>
          <w:rFonts w:ascii="Times New Roman" w:hAnsi="Times New Roman" w:cs="Times New Roman"/>
          <w:iCs/>
          <w:color w:val="0D0D0D" w:themeColor="text1" w:themeTint="F2"/>
          <w:sz w:val="22"/>
          <w:szCs w:val="22"/>
        </w:rPr>
        <w:t>I</w:t>
      </w:r>
      <w:r w:rsidR="00E05EDF">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134595">
        <w:rPr>
          <w:rFonts w:ascii="Times New Roman" w:hAnsi="Times New Roman" w:cs="Times New Roman"/>
          <w:iCs/>
          <w:color w:val="0D0D0D" w:themeColor="text1" w:themeTint="F2"/>
          <w:sz w:val="22"/>
          <w:szCs w:val="22"/>
        </w:rPr>
        <w:t xml:space="preserve"> </w:t>
      </w:r>
      <w:r w:rsidR="00797D75">
        <w:rPr>
          <w:rFonts w:ascii="Times New Roman" w:hAnsi="Times New Roman" w:cs="Times New Roman"/>
          <w:iCs/>
          <w:color w:val="0D0D0D" w:themeColor="text1" w:themeTint="F2"/>
          <w:sz w:val="22"/>
          <w:szCs w:val="22"/>
        </w:rPr>
        <w:t>04</w:t>
      </w:r>
      <w:r w:rsidR="00E14887" w:rsidRPr="007B47E1">
        <w:rPr>
          <w:rFonts w:ascii="Times New Roman" w:hAnsi="Times New Roman" w:cs="Times New Roman"/>
          <w:iCs/>
          <w:color w:val="0D0D0D" w:themeColor="text1" w:themeTint="F2"/>
          <w:sz w:val="22"/>
          <w:szCs w:val="22"/>
        </w:rPr>
        <w:t>/</w:t>
      </w:r>
      <w:r w:rsidR="00797D75">
        <w:rPr>
          <w:rFonts w:ascii="Times New Roman" w:hAnsi="Times New Roman" w:cs="Times New Roman"/>
          <w:iCs/>
          <w:color w:val="0D0D0D" w:themeColor="text1" w:themeTint="F2"/>
          <w:sz w:val="22"/>
          <w:szCs w:val="22"/>
        </w:rPr>
        <w:t>09</w:t>
      </w:r>
      <w:r w:rsidR="003C2750" w:rsidRPr="007B47E1">
        <w:rPr>
          <w:rFonts w:ascii="Times New Roman" w:hAnsi="Times New Roman" w:cs="Times New Roman"/>
          <w:iCs/>
          <w:color w:val="0D0D0D" w:themeColor="text1" w:themeTint="F2"/>
          <w:sz w:val="22"/>
          <w:szCs w:val="22"/>
        </w:rPr>
        <w:t>/2023</w:t>
      </w:r>
      <w:r w:rsidR="00900C58" w:rsidRPr="007B47E1">
        <w:rPr>
          <w:rFonts w:ascii="Times New Roman" w:hAnsi="Times New Roman" w:cs="Times New Roman"/>
          <w:b/>
          <w:bCs/>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w:t>
      </w:r>
      <w:r w:rsidRPr="00506990">
        <w:rPr>
          <w:rFonts w:ascii="Times New Roman" w:hAnsi="Times New Roman" w:cs="Times New Roman"/>
          <w:iCs/>
          <w:color w:val="0D0D0D" w:themeColor="text1" w:themeTint="F2"/>
          <w:sz w:val="22"/>
          <w:szCs w:val="22"/>
          <w:lang w:val="es-AR"/>
        </w:rPr>
        <w:lastRenderedPageBreak/>
        <w:t xml:space="preserve">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77777777"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lastRenderedPageBreak/>
        <w:t>l.          Posible afectación de condiciones de los Valores de Deuda Fiduciaria Clase B por decisión de una mayoría de Beneficiarios</w:t>
      </w:r>
    </w:p>
    <w:p w14:paraId="5CE8713F" w14:textId="77777777" w:rsidR="00DE6B5A" w:rsidRPr="00506990" w:rsidRDefault="00DE6B5A" w:rsidP="00DE6B5A">
      <w:pPr>
        <w:pStyle w:val="Ttulo1"/>
        <w:spacing w:before="0"/>
        <w:rPr>
          <w:rFonts w:ascii="Times New Roman" w:hAnsi="Times New Roman"/>
          <w:b w:val="0"/>
          <w:bCs w:val="0"/>
          <w:iCs/>
          <w:color w:val="0D0D0D" w:themeColor="text1" w:themeTint="F2"/>
          <w:sz w:val="22"/>
          <w:szCs w:val="22"/>
          <w:u w:val="none"/>
        </w:rPr>
      </w:pPr>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5C4D5AF2" w14:textId="77777777" w:rsidR="00DE6B5A" w:rsidRPr="00506990" w:rsidRDefault="00DE6B5A" w:rsidP="00DE6B5A">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3DD3827" w14:textId="120AB202" w:rsidR="00416156" w:rsidRPr="00A90903" w:rsidRDefault="00416156" w:rsidP="00416156">
      <w:pPr>
        <w:rPr>
          <w:rFonts w:ascii="Times New Roman" w:hAnsi="Times New Roman" w:cs="Times New Roman"/>
          <w:sz w:val="22"/>
          <w:szCs w:val="22"/>
        </w:rPr>
      </w:pPr>
      <w:bookmarkStart w:id="35"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w:t>
      </w:r>
      <w:r w:rsidR="00CD5501" w:rsidRPr="00C00C15">
        <w:rPr>
          <w:rFonts w:ascii="Times New Roman" w:hAnsi="Times New Roman" w:cs="Times New Roman"/>
          <w:sz w:val="22"/>
          <w:szCs w:val="22"/>
        </w:rPr>
        <w:t xml:space="preserve">  año 2020</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36,1%</w:t>
      </w:r>
      <w:r w:rsidR="00FC0BF2">
        <w:rPr>
          <w:rFonts w:ascii="Times New Roman" w:hAnsi="Times New Roman" w:cs="Times New Roman"/>
          <w:sz w:val="22"/>
          <w:szCs w:val="22"/>
        </w:rPr>
        <w:t>,</w:t>
      </w:r>
      <w:r w:rsidR="00CD5501" w:rsidRPr="00C00C15">
        <w:rPr>
          <w:rFonts w:ascii="Times New Roman" w:hAnsi="Times New Roman" w:cs="Times New Roman"/>
          <w:sz w:val="22"/>
          <w:szCs w:val="22"/>
        </w:rPr>
        <w:t xml:space="preserve"> la del año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FC0BF2">
        <w:rPr>
          <w:rFonts w:ascii="Times New Roman" w:hAnsi="Times New Roman" w:cs="Times New Roman"/>
          <w:sz w:val="22"/>
          <w:szCs w:val="22"/>
        </w:rPr>
        <w:t xml:space="preserve"> </w:t>
      </w:r>
      <w:r w:rsidR="00FC0BF2" w:rsidRPr="00027B75">
        <w:rPr>
          <w:rFonts w:ascii="Times New Roman" w:hAnsi="Times New Roman" w:cs="Times New Roman"/>
          <w:sz w:val="22"/>
          <w:szCs w:val="22"/>
        </w:rPr>
        <w:t>y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 El IPC registró </w:t>
      </w:r>
      <w:r w:rsidR="007D2276">
        <w:rPr>
          <w:rFonts w:ascii="Times New Roman" w:hAnsi="Times New Roman" w:cs="Times New Roman"/>
          <w:sz w:val="22"/>
          <w:szCs w:val="22"/>
        </w:rPr>
        <w:t xml:space="preserve">hasta el mes de </w:t>
      </w:r>
      <w:r w:rsidR="007A28D1">
        <w:rPr>
          <w:rFonts w:ascii="Times New Roman" w:hAnsi="Times New Roman" w:cs="Times New Roman"/>
          <w:sz w:val="22"/>
          <w:szCs w:val="22"/>
        </w:rPr>
        <w:t xml:space="preserve">agosto </w:t>
      </w:r>
      <w:r w:rsidR="00002E18">
        <w:rPr>
          <w:rFonts w:ascii="Times New Roman" w:hAnsi="Times New Roman" w:cs="Times New Roman"/>
          <w:sz w:val="22"/>
          <w:szCs w:val="22"/>
        </w:rPr>
        <w:t xml:space="preserve">del año 2023 </w:t>
      </w:r>
      <w:r w:rsidR="007D2276">
        <w:rPr>
          <w:rFonts w:ascii="Times New Roman" w:hAnsi="Times New Roman" w:cs="Times New Roman"/>
          <w:sz w:val="22"/>
          <w:szCs w:val="22"/>
        </w:rPr>
        <w:t xml:space="preserve">inclusive </w:t>
      </w:r>
      <w:r w:rsidR="00002E18">
        <w:rPr>
          <w:rFonts w:ascii="Times New Roman" w:hAnsi="Times New Roman" w:cs="Times New Roman"/>
          <w:sz w:val="22"/>
          <w:szCs w:val="22"/>
        </w:rPr>
        <w:t>una variación</w:t>
      </w:r>
      <w:r w:rsidR="007D2276">
        <w:rPr>
          <w:rFonts w:ascii="Times New Roman" w:hAnsi="Times New Roman" w:cs="Times New Roman"/>
          <w:sz w:val="22"/>
          <w:szCs w:val="22"/>
        </w:rPr>
        <w:t xml:space="preserve"> </w:t>
      </w:r>
      <w:r w:rsidR="00002E18">
        <w:rPr>
          <w:rFonts w:ascii="Times New Roman" w:hAnsi="Times New Roman" w:cs="Times New Roman"/>
          <w:sz w:val="22"/>
          <w:szCs w:val="22"/>
        </w:rPr>
        <w:t xml:space="preserve">acumulada del </w:t>
      </w:r>
      <w:r w:rsidR="007A28D1">
        <w:rPr>
          <w:rFonts w:ascii="Times New Roman" w:hAnsi="Times New Roman" w:cs="Times New Roman"/>
          <w:sz w:val="22"/>
          <w:szCs w:val="22"/>
        </w:rPr>
        <w:t>80,2</w:t>
      </w:r>
      <w:r w:rsidR="00002E18">
        <w:rPr>
          <w:rFonts w:ascii="Times New Roman" w:hAnsi="Times New Roman" w:cs="Times New Roman"/>
          <w:sz w:val="22"/>
          <w:szCs w:val="22"/>
        </w:rPr>
        <w:t xml:space="preserve">%.  </w:t>
      </w:r>
    </w:p>
    <w:bookmarkEnd w:id="35"/>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Ello, sumado a una merma en la originación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7D5B78C1"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w:t>
      </w:r>
      <w:r w:rsidRPr="00FB75ED">
        <w:rPr>
          <w:rFonts w:ascii="Times New Roman" w:hAnsi="Times New Roman" w:cs="Times New Roman"/>
          <w:sz w:val="22"/>
          <w:szCs w:val="22"/>
        </w:rPr>
        <w:lastRenderedPageBreak/>
        <w:t xml:space="preserve">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2B3979EC" w:rsidR="000D2637" w:rsidRPr="00506990" w:rsidRDefault="007C062B" w:rsidP="00B228F5">
      <w:pPr>
        <w:pStyle w:val="Ttulo1"/>
        <w:jc w:val="center"/>
        <w:rPr>
          <w:rFonts w:ascii="Times New Roman" w:hAnsi="Times New Roman"/>
          <w:sz w:val="22"/>
          <w:szCs w:val="22"/>
        </w:rPr>
      </w:pPr>
      <w:bookmarkStart w:id="36" w:name="_Toc521424864"/>
      <w:bookmarkStart w:id="37"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36"/>
      <w:bookmarkEnd w:id="37"/>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71B66E04" w:rsidR="00DE2DD2" w:rsidRDefault="00345035" w:rsidP="00284043">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543695">
              <w:rPr>
                <w:rFonts w:ascii="Times New Roman" w:hAnsi="Times New Roman" w:cs="Times New Roman"/>
                <w:iCs/>
                <w:color w:val="0D0D0D" w:themeColor="text1" w:themeTint="F2"/>
                <w:sz w:val="22"/>
                <w:szCs w:val="22"/>
              </w:rPr>
              <w:t>I</w:t>
            </w:r>
            <w:r w:rsidR="006016A5">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w:t>
            </w:r>
            <w:r w:rsidR="006079F1">
              <w:rPr>
                <w:rFonts w:ascii="Times New Roman" w:hAnsi="Times New Roman" w:cs="Times New Roman"/>
                <w:iCs/>
                <w:color w:val="0D0D0D" w:themeColor="text1" w:themeTint="F2"/>
                <w:sz w:val="22"/>
                <w:szCs w:val="22"/>
              </w:rPr>
              <w:t xml:space="preserve">la </w:t>
            </w:r>
            <w:r w:rsidR="00284043">
              <w:rPr>
                <w:rFonts w:ascii="Times New Roman" w:hAnsi="Times New Roman" w:cs="Times New Roman"/>
                <w:iCs/>
                <w:color w:val="0D0D0D" w:themeColor="text1" w:themeTint="F2"/>
                <w:sz w:val="22"/>
                <w:szCs w:val="22"/>
              </w:rPr>
              <w:t xml:space="preserve">sexta </w:t>
            </w:r>
            <w:r w:rsidR="00C05064">
              <w:rPr>
                <w:rFonts w:ascii="Times New Roman" w:hAnsi="Times New Roman" w:cs="Times New Roman"/>
                <w:iCs/>
                <w:color w:val="0D0D0D" w:themeColor="text1" w:themeTint="F2"/>
                <w:sz w:val="22"/>
                <w:szCs w:val="22"/>
              </w:rPr>
              <w:t xml:space="preserve">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r w:rsidR="007C062B" w:rsidRPr="00506990">
              <w:rPr>
                <w:rFonts w:ascii="Times New Roman" w:hAnsi="Times New Roman" w:cs="Times New Roman"/>
                <w:b/>
                <w:bCs/>
                <w:color w:val="0D0D0D" w:themeColor="text1" w:themeTint="F2"/>
                <w:sz w:val="22"/>
                <w:szCs w:val="22"/>
              </w:rPr>
              <w:t>Confibono</w:t>
            </w:r>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04D60A84" w:rsidR="00DE2DD2" w:rsidRDefault="00BD6597" w:rsidP="006527BE">
            <w:pPr>
              <w:suppressAutoHyphens/>
              <w:spacing w:line="240" w:lineRule="atLeast"/>
              <w:rPr>
                <w:rFonts w:ascii="Times New Roman" w:hAnsi="Times New Roman" w:cs="Times New Roman"/>
                <w:b/>
                <w:bCs/>
                <w:iCs/>
                <w:color w:val="0D0D0D" w:themeColor="text1" w:themeTint="F2"/>
                <w:sz w:val="22"/>
                <w:szCs w:val="22"/>
              </w:rPr>
            </w:pPr>
            <w:r w:rsidRPr="00DB474F">
              <w:rPr>
                <w:rFonts w:ascii="Times New Roman" w:hAnsi="Times New Roman" w:cs="Times New Roman"/>
                <w:bCs/>
                <w:iCs/>
                <w:color w:val="0D0D0D" w:themeColor="text1" w:themeTint="F2"/>
                <w:sz w:val="22"/>
                <w:szCs w:val="22"/>
              </w:rPr>
              <w:t xml:space="preserve">Valor Nominal </w:t>
            </w:r>
            <w:r w:rsidR="004D02D5" w:rsidRPr="00DB474F">
              <w:rPr>
                <w:rFonts w:ascii="Times New Roman" w:hAnsi="Times New Roman" w:cs="Times New Roman"/>
                <w:bCs/>
                <w:iCs/>
                <w:color w:val="0D0D0D" w:themeColor="text1" w:themeTint="F2"/>
                <w:sz w:val="22"/>
                <w:szCs w:val="22"/>
              </w:rPr>
              <w:t>$</w:t>
            </w:r>
            <w:r w:rsidR="00797D75">
              <w:rPr>
                <w:rFonts w:ascii="Times New Roman" w:hAnsi="Times New Roman" w:cs="Times New Roman"/>
                <w:bCs/>
                <w:iCs/>
                <w:color w:val="0D0D0D" w:themeColor="text1" w:themeTint="F2"/>
                <w:sz w:val="22"/>
                <w:szCs w:val="22"/>
              </w:rPr>
              <w:t xml:space="preserve"> </w:t>
            </w:r>
            <w:r w:rsidR="001E7BB0">
              <w:rPr>
                <w:rFonts w:ascii="Times New Roman" w:hAnsi="Times New Roman" w:cs="Times New Roman"/>
                <w:bCs/>
                <w:iCs/>
                <w:color w:val="0D0D0D" w:themeColor="text1" w:themeTint="F2"/>
                <w:sz w:val="22"/>
                <w:szCs w:val="22"/>
              </w:rPr>
              <w:t xml:space="preserve"> 1.466.192.470 </w:t>
            </w:r>
            <w:r w:rsidR="00797D75">
              <w:rPr>
                <w:rFonts w:ascii="Times New Roman" w:hAnsi="Times New Roman" w:cs="Times New Roman"/>
                <w:bCs/>
                <w:iCs/>
                <w:color w:val="0D0D0D" w:themeColor="text1" w:themeTint="F2"/>
                <w:sz w:val="22"/>
                <w:szCs w:val="22"/>
              </w:rPr>
              <w:t xml:space="preserve"> </w:t>
            </w:r>
            <w:r w:rsidR="0073694A">
              <w:rPr>
                <w:rFonts w:ascii="Times New Roman" w:hAnsi="Times New Roman" w:cs="Times New Roman"/>
                <w:bCs/>
                <w:iCs/>
                <w:color w:val="0D0D0D" w:themeColor="text1" w:themeTint="F2"/>
                <w:sz w:val="22"/>
                <w:szCs w:val="22"/>
              </w:rPr>
              <w:t xml:space="preserve"> </w:t>
            </w:r>
            <w:r w:rsidR="00AF3AD5">
              <w:rPr>
                <w:rFonts w:ascii="Times New Roman" w:hAnsi="Times New Roman" w:cs="Times New Roman"/>
                <w:bCs/>
                <w:iCs/>
                <w:color w:val="0D0D0D" w:themeColor="text1" w:themeTint="F2"/>
                <w:sz w:val="22"/>
                <w:szCs w:val="22"/>
              </w:rPr>
              <w:t>(</w:t>
            </w:r>
            <w:r w:rsidR="00F024DF">
              <w:rPr>
                <w:rFonts w:ascii="Times New Roman" w:hAnsi="Times New Roman" w:cs="Times New Roman"/>
                <w:bCs/>
                <w:iCs/>
                <w:color w:val="0D0D0D" w:themeColor="text1" w:themeTint="F2"/>
                <w:sz w:val="22"/>
                <w:szCs w:val="22"/>
              </w:rPr>
              <w:t xml:space="preserve">pesos </w:t>
            </w:r>
            <w:r w:rsidR="001E7BB0">
              <w:rPr>
                <w:rFonts w:ascii="Times New Roman" w:hAnsi="Times New Roman" w:cs="Times New Roman"/>
                <w:bCs/>
                <w:iCs/>
                <w:color w:val="0D0D0D" w:themeColor="text1" w:themeTint="F2"/>
                <w:sz w:val="22"/>
                <w:szCs w:val="22"/>
              </w:rPr>
              <w:t>mil cuatrocientos sesenta y seis millones ciento noventa y dos mil cuatrocientos setenta</w:t>
            </w:r>
            <w:r w:rsidR="00AF3AD5">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061F57"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r w:rsidR="00477E99" w:rsidRPr="004D2DAB">
              <w:rPr>
                <w:rFonts w:ascii="Times New Roman" w:hAnsi="Times New Roman"/>
                <w:bCs/>
                <w:sz w:val="22"/>
                <w:szCs w:val="22"/>
                <w:lang w:val="en-US"/>
              </w:rPr>
              <w:t>StoneX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58F5BC59"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C.P.C.E.C.A.B.A. T° 139 F°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061F57"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704CE779" w14:textId="51BA07D2"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3D226895" w14:textId="59F87E7A"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w:t>
            </w:r>
            <w:r w:rsidRPr="00DB474F">
              <w:rPr>
                <w:rFonts w:ascii="Times New Roman" w:hAnsi="Times New Roman"/>
                <w:iCs/>
                <w:color w:val="0D0D0D" w:themeColor="text1" w:themeTint="F2"/>
                <w:sz w:val="22"/>
                <w:szCs w:val="22"/>
              </w:rPr>
              <w:t xml:space="preserve">equivalente al </w:t>
            </w:r>
            <w:r w:rsidR="003A6ADC">
              <w:rPr>
                <w:rFonts w:ascii="Times New Roman" w:hAnsi="Times New Roman"/>
                <w:iCs/>
                <w:color w:val="0D0D0D" w:themeColor="text1" w:themeTint="F2"/>
                <w:sz w:val="22"/>
                <w:szCs w:val="22"/>
              </w:rPr>
              <w:t>69,10</w:t>
            </w:r>
            <w:r w:rsidR="00112A3E">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del valor fideicomitido de los Créditos transferidos al Fideicomiso</w:t>
            </w:r>
            <w:r w:rsidRPr="006B3F77">
              <w:rPr>
                <w:rFonts w:ascii="Times New Roman" w:hAnsi="Times New Roman"/>
                <w:iCs/>
                <w:color w:val="0D0D0D" w:themeColor="text1" w:themeTint="F2"/>
                <w:sz w:val="22"/>
                <w:szCs w:val="22"/>
              </w:rPr>
              <w:t>, es decir</w:t>
            </w:r>
            <w:r w:rsidRPr="00DB474F">
              <w:rPr>
                <w:rFonts w:ascii="Times New Roman" w:hAnsi="Times New Roman"/>
                <w:iCs/>
                <w:color w:val="0D0D0D" w:themeColor="text1" w:themeTint="F2"/>
                <w:sz w:val="22"/>
                <w:szCs w:val="22"/>
              </w:rPr>
              <w:t>, $</w:t>
            </w:r>
            <w:r w:rsidR="003A6ADC">
              <w:rPr>
                <w:rFonts w:ascii="Times New Roman" w:hAnsi="Times New Roman"/>
                <w:iCs/>
                <w:color w:val="0D0D0D" w:themeColor="text1" w:themeTint="F2"/>
                <w:sz w:val="22"/>
                <w:szCs w:val="22"/>
              </w:rPr>
              <w:t>1.013.139.200</w:t>
            </w:r>
            <w:r w:rsidR="00C530E2" w:rsidRPr="00C530E2" w:rsidDel="00C530E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3A6ADC">
              <w:rPr>
                <w:rFonts w:ascii="Times New Roman" w:hAnsi="Times New Roman"/>
                <w:bCs/>
                <w:iCs/>
                <w:color w:val="0D0D0D" w:themeColor="text1" w:themeTint="F2"/>
                <w:sz w:val="22"/>
                <w:szCs w:val="22"/>
              </w:rPr>
              <w:t>mil trece millones ciento treinta y nueve mil doscientos</w:t>
            </w:r>
            <w:r w:rsidR="00BF7B0D">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con derecho a pa</w:t>
            </w:r>
            <w:r w:rsidRPr="00642266">
              <w:rPr>
                <w:rFonts w:ascii="Times New Roman" w:hAnsi="Times New Roman"/>
                <w:iCs/>
                <w:color w:val="0D0D0D" w:themeColor="text1" w:themeTint="F2"/>
                <w:sz w:val="22"/>
                <w:szCs w:val="22"/>
              </w:rPr>
              <w:t xml:space="preserve">gos mensuales de los siguientes Servicios, </w:t>
            </w:r>
            <w:r w:rsidRPr="00DB474F">
              <w:rPr>
                <w:rFonts w:ascii="Times New Roman" w:hAnsi="Times New Roman"/>
                <w:iCs/>
                <w:color w:val="0D0D0D" w:themeColor="text1" w:themeTint="F2"/>
                <w:sz w:val="22"/>
                <w:szCs w:val="22"/>
              </w:rPr>
              <w:t xml:space="preserve">una vez deducidas las contribuciones al Fondo de Gastos - de corresponder-: (i) en concepto de interés, una tasa variable equivalente a la Tasa BADLAR  más </w:t>
            </w:r>
            <w:r w:rsidR="00F024DF">
              <w:rPr>
                <w:rFonts w:ascii="Times New Roman" w:hAnsi="Times New Roman"/>
                <w:iCs/>
                <w:color w:val="0D0D0D" w:themeColor="text1" w:themeTint="F2"/>
                <w:sz w:val="22"/>
                <w:szCs w:val="22"/>
              </w:rPr>
              <w:t>100</w:t>
            </w:r>
            <w:r w:rsidRPr="00DB474F">
              <w:rPr>
                <w:rFonts w:ascii="Times New Roman" w:hAnsi="Times New Roman"/>
                <w:iCs/>
                <w:color w:val="0D0D0D" w:themeColor="text1" w:themeTint="F2"/>
                <w:sz w:val="22"/>
                <w:szCs w:val="22"/>
              </w:rPr>
              <w:t xml:space="preserve"> puntos básicos anuales, con un mínimo de </w:t>
            </w:r>
            <w:r w:rsidR="00F024DF">
              <w:rPr>
                <w:rFonts w:ascii="Times New Roman" w:hAnsi="Times New Roman"/>
                <w:iCs/>
                <w:color w:val="0D0D0D" w:themeColor="text1" w:themeTint="F2"/>
                <w:sz w:val="22"/>
                <w:szCs w:val="22"/>
              </w:rPr>
              <w:t>1</w:t>
            </w:r>
            <w:r w:rsidR="003A6ADC">
              <w:rPr>
                <w:rFonts w:ascii="Times New Roman" w:hAnsi="Times New Roman"/>
                <w:iCs/>
                <w:color w:val="0D0D0D" w:themeColor="text1" w:themeTint="F2"/>
                <w:sz w:val="22"/>
                <w:szCs w:val="22"/>
              </w:rPr>
              <w:t>25</w:t>
            </w:r>
            <w:r w:rsidRPr="00DB474F">
              <w:rPr>
                <w:rFonts w:ascii="Times New Roman" w:hAnsi="Times New Roman"/>
                <w:iCs/>
                <w:color w:val="0D0D0D" w:themeColor="text1" w:themeTint="F2"/>
                <w:sz w:val="22"/>
                <w:szCs w:val="22"/>
              </w:rPr>
              <w:t xml:space="preserve">% nominal anual y con un máximo de </w:t>
            </w:r>
            <w:r w:rsidR="001E7BB0">
              <w:rPr>
                <w:rFonts w:ascii="Times New Roman" w:hAnsi="Times New Roman"/>
                <w:iCs/>
                <w:color w:val="0D0D0D" w:themeColor="text1" w:themeTint="F2"/>
                <w:sz w:val="22"/>
                <w:szCs w:val="22"/>
              </w:rPr>
              <w:t>1</w:t>
            </w:r>
            <w:r w:rsidR="003A6ADC">
              <w:rPr>
                <w:rFonts w:ascii="Times New Roman" w:hAnsi="Times New Roman"/>
                <w:iCs/>
                <w:color w:val="0D0D0D" w:themeColor="text1" w:themeTint="F2"/>
                <w:sz w:val="22"/>
                <w:szCs w:val="22"/>
              </w:rPr>
              <w:t>75</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Valores de Deuda Fiduciaria Clase B (“VDFB”) </w:t>
            </w:r>
          </w:p>
        </w:tc>
        <w:tc>
          <w:tcPr>
            <w:tcW w:w="6184" w:type="dxa"/>
            <w:tcBorders>
              <w:bottom w:val="single" w:sz="4" w:space="0" w:color="auto"/>
            </w:tcBorders>
          </w:tcPr>
          <w:p w14:paraId="010191D4" w14:textId="6980BE04"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3A6ADC">
              <w:rPr>
                <w:rFonts w:ascii="Times New Roman" w:hAnsi="Times New Roman"/>
                <w:iCs/>
                <w:color w:val="0D0D0D" w:themeColor="text1" w:themeTint="F2"/>
                <w:sz w:val="22"/>
                <w:szCs w:val="22"/>
              </w:rPr>
              <w:t>30,90</w:t>
            </w:r>
            <w:r w:rsidRPr="000D1197">
              <w:rPr>
                <w:rFonts w:ascii="Times New Roman" w:hAnsi="Times New Roman"/>
                <w:iCs/>
                <w:color w:val="0D0D0D" w:themeColor="text1" w:themeTint="F2"/>
                <w:sz w:val="22"/>
                <w:szCs w:val="22"/>
              </w:rPr>
              <w:t>% del valor fideicomitido de los Créditos transferidos al Fideicomiso, es decir $</w:t>
            </w:r>
            <w:r w:rsidR="003A6ADC">
              <w:rPr>
                <w:rFonts w:ascii="Times New Roman" w:hAnsi="Times New Roman"/>
                <w:iCs/>
                <w:color w:val="0D0D0D" w:themeColor="text1" w:themeTint="F2"/>
                <w:sz w:val="22"/>
                <w:szCs w:val="22"/>
              </w:rPr>
              <w:t>453.053.270</w:t>
            </w:r>
            <w:r w:rsidR="006016A5" w:rsidDel="006016A5">
              <w:rPr>
                <w:rFonts w:ascii="Times New Roman" w:hAnsi="Times New Roman"/>
                <w:iCs/>
                <w:color w:val="0D0D0D" w:themeColor="text1" w:themeTint="F2"/>
                <w:sz w:val="22"/>
                <w:szCs w:val="22"/>
              </w:rPr>
              <w:t xml:space="preserve"> </w:t>
            </w:r>
            <w:r w:rsidR="006016A5">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3A6ADC">
              <w:rPr>
                <w:rFonts w:ascii="Times New Roman" w:hAnsi="Times New Roman"/>
                <w:iCs/>
                <w:color w:val="0D0D0D" w:themeColor="text1" w:themeTint="F2"/>
                <w:sz w:val="22"/>
                <w:szCs w:val="22"/>
              </w:rPr>
              <w:t>cuatrocientos cincuenta y tres millones cincuenta y tres mil doscientos setenta</w:t>
            </w:r>
            <w:r w:rsidR="00BF7B0D">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A y una vez deducidas las contribuciones la Fondo de Gastos - de corresponder-: (i) en concepto </w:t>
            </w:r>
            <w:r w:rsidRPr="000D1197">
              <w:rPr>
                <w:rFonts w:ascii="Times New Roman" w:hAnsi="Times New Roman"/>
                <w:iCs/>
                <w:color w:val="0D0D0D" w:themeColor="text1" w:themeTint="F2"/>
                <w:sz w:val="22"/>
                <w:szCs w:val="22"/>
              </w:rPr>
              <w:t xml:space="preserve">de interés, una tasa variable equivalente a la Tasa BADLAR  más </w:t>
            </w:r>
            <w:r w:rsidR="006527BE">
              <w:rPr>
                <w:rFonts w:ascii="Times New Roman" w:hAnsi="Times New Roman"/>
                <w:iCs/>
                <w:color w:val="0D0D0D" w:themeColor="text1" w:themeTint="F2"/>
                <w:sz w:val="22"/>
                <w:szCs w:val="22"/>
              </w:rPr>
              <w:t>200</w:t>
            </w:r>
            <w:r w:rsidRPr="000D1197">
              <w:rPr>
                <w:rFonts w:ascii="Times New Roman" w:hAnsi="Times New Roman"/>
                <w:iCs/>
                <w:color w:val="0D0D0D" w:themeColor="text1" w:themeTint="F2"/>
                <w:sz w:val="22"/>
                <w:szCs w:val="22"/>
              </w:rPr>
              <w:t xml:space="preserve"> puntos básicos anuales, con un mínimo de </w:t>
            </w:r>
            <w:r w:rsidR="006527BE">
              <w:rPr>
                <w:rFonts w:ascii="Times New Roman" w:hAnsi="Times New Roman"/>
                <w:iCs/>
                <w:color w:val="0D0D0D" w:themeColor="text1" w:themeTint="F2"/>
                <w:sz w:val="22"/>
                <w:szCs w:val="22"/>
              </w:rPr>
              <w:t>1</w:t>
            </w:r>
            <w:r w:rsidR="003A6ADC">
              <w:rPr>
                <w:rFonts w:ascii="Times New Roman" w:hAnsi="Times New Roman"/>
                <w:iCs/>
                <w:color w:val="0D0D0D" w:themeColor="text1" w:themeTint="F2"/>
                <w:sz w:val="22"/>
                <w:szCs w:val="22"/>
              </w:rPr>
              <w:t>26</w:t>
            </w:r>
            <w:r w:rsidRPr="000D1197">
              <w:rPr>
                <w:rFonts w:ascii="Times New Roman" w:hAnsi="Times New Roman"/>
                <w:iCs/>
                <w:color w:val="0D0D0D" w:themeColor="text1" w:themeTint="F2"/>
                <w:sz w:val="22"/>
                <w:szCs w:val="22"/>
              </w:rPr>
              <w:t xml:space="preserve">% nominal anual y con un máximo de </w:t>
            </w:r>
            <w:r w:rsidR="001E7BB0">
              <w:rPr>
                <w:rFonts w:ascii="Times New Roman" w:hAnsi="Times New Roman"/>
                <w:iCs/>
                <w:color w:val="0D0D0D" w:themeColor="text1" w:themeTint="F2"/>
                <w:sz w:val="22"/>
                <w:szCs w:val="22"/>
              </w:rPr>
              <w:t>1</w:t>
            </w:r>
            <w:r w:rsidR="003A6ADC">
              <w:rPr>
                <w:rFonts w:ascii="Times New Roman" w:hAnsi="Times New Roman"/>
                <w:iCs/>
                <w:color w:val="0D0D0D" w:themeColor="text1" w:themeTint="F2"/>
                <w:sz w:val="22"/>
                <w:szCs w:val="22"/>
              </w:rPr>
              <w:t>76</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4DA8CC59" w:rsidR="00697C8B" w:rsidRPr="000D1197" w:rsidRDefault="006527BE" w:rsidP="00826738">
            <w:pPr>
              <w:suppressAutoHyphens/>
              <w:rPr>
                <w:rStyle w:val="Textoennegrita"/>
                <w:rFonts w:ascii="Times New Roman" w:hAnsi="Times New Roman"/>
                <w:b w:val="0"/>
                <w:iCs/>
                <w:color w:val="0D0D0D" w:themeColor="text1" w:themeTint="F2"/>
                <w:sz w:val="22"/>
                <w:szCs w:val="22"/>
              </w:rPr>
            </w:pPr>
            <w:r w:rsidRPr="002276F7">
              <w:rPr>
                <w:rFonts w:ascii="Times New Roman" w:hAnsi="Times New Roman" w:cs="Times New Roman"/>
                <w:bCs/>
                <w:iCs/>
                <w:color w:val="0D0D0D" w:themeColor="text1" w:themeTint="F2"/>
                <w:sz w:val="22"/>
                <w:szCs w:val="22"/>
              </w:rPr>
              <w:t>31</w:t>
            </w:r>
            <w:r w:rsidR="00900C58" w:rsidRPr="00EA5C6B">
              <w:rPr>
                <w:rFonts w:ascii="Times New Roman" w:hAnsi="Times New Roman" w:cs="Times New Roman"/>
                <w:bCs/>
                <w:iCs/>
                <w:color w:val="0D0D0D" w:themeColor="text1" w:themeTint="F2"/>
                <w:sz w:val="22"/>
                <w:szCs w:val="22"/>
              </w:rPr>
              <w:t xml:space="preserve"> </w:t>
            </w:r>
            <w:r w:rsidR="004D7449" w:rsidRPr="00900C58">
              <w:rPr>
                <w:rFonts w:ascii="Times New Roman" w:hAnsi="Times New Roman" w:cs="Times New Roman"/>
                <w:bCs/>
                <w:iCs/>
                <w:color w:val="0D0D0D" w:themeColor="text1" w:themeTint="F2"/>
                <w:sz w:val="22"/>
                <w:szCs w:val="22"/>
              </w:rPr>
              <w:t>de</w:t>
            </w:r>
            <w:r w:rsidR="006016A5">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octubre</w:t>
            </w:r>
            <w:r w:rsidR="0073694A" w:rsidRPr="000D1197">
              <w:rPr>
                <w:rFonts w:ascii="Times New Roman" w:hAnsi="Times New Roman" w:cs="Times New Roman"/>
                <w:bCs/>
                <w:iCs/>
                <w:color w:val="0D0D0D" w:themeColor="text1" w:themeTint="F2"/>
                <w:sz w:val="22"/>
                <w:szCs w:val="22"/>
              </w:rPr>
              <w:t xml:space="preserve"> </w:t>
            </w:r>
            <w:r w:rsidR="004D7449" w:rsidRPr="000D1197">
              <w:rPr>
                <w:rFonts w:ascii="Times New Roman" w:hAnsi="Times New Roman" w:cs="Times New Roman"/>
                <w:bCs/>
                <w:iCs/>
                <w:color w:val="0D0D0D" w:themeColor="text1" w:themeTint="F2"/>
                <w:sz w:val="22"/>
                <w:szCs w:val="22"/>
              </w:rPr>
              <w:t>de 20</w:t>
            </w:r>
            <w:r w:rsidR="00656C52" w:rsidRPr="000D1197">
              <w:rPr>
                <w:rFonts w:ascii="Times New Roman" w:hAnsi="Times New Roman" w:cs="Times New Roman"/>
                <w:bCs/>
                <w:iCs/>
                <w:color w:val="0D0D0D" w:themeColor="text1" w:themeTint="F2"/>
                <w:sz w:val="22"/>
                <w:szCs w:val="22"/>
              </w:rPr>
              <w:t>2</w:t>
            </w:r>
            <w:r w:rsidR="00B87B0D" w:rsidRPr="000D1197">
              <w:rPr>
                <w:rFonts w:ascii="Times New Roman" w:hAnsi="Times New Roman" w:cs="Times New Roman"/>
                <w:bCs/>
                <w:iCs/>
                <w:color w:val="0D0D0D" w:themeColor="text1" w:themeTint="F2"/>
                <w:sz w:val="22"/>
                <w:szCs w:val="22"/>
              </w:rPr>
              <w:t>3</w:t>
            </w:r>
            <w:r>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Plazo del Fideicomiso</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25C4A420" w:rsidR="000157B5" w:rsidRPr="00506990" w:rsidRDefault="00B866E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sidR="000D40C5">
              <w:rPr>
                <w:rFonts w:ascii="Times New Roman" w:hAnsi="Times New Roman" w:cs="Times New Roman"/>
                <w:iCs/>
                <w:color w:val="0D0D0D" w:themeColor="text1" w:themeTint="F2"/>
                <w:sz w:val="22"/>
                <w:szCs w:val="22"/>
              </w:rPr>
              <w:t>.</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Sociedad Calificadora de Riesgo. Calificaciones de Riesgo</w:t>
            </w:r>
          </w:p>
        </w:tc>
        <w:tc>
          <w:tcPr>
            <w:tcW w:w="6184" w:type="dxa"/>
          </w:tcPr>
          <w:p w14:paraId="149C4481" w14:textId="19BFC280"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CC2BB4" w:rsidRPr="007D10B1">
              <w:rPr>
                <w:rFonts w:ascii="Times New Roman" w:hAnsi="Times New Roman" w:cs="Times New Roman"/>
                <w:bCs/>
                <w:iCs/>
                <w:color w:val="0D0D0D" w:themeColor="text1" w:themeTint="F2"/>
                <w:sz w:val="22"/>
                <w:szCs w:val="22"/>
              </w:rPr>
              <w:t>7</w:t>
            </w:r>
            <w:r w:rsidR="00C651E5"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 xml:space="preserve">de </w:t>
            </w:r>
            <w:r w:rsidR="003A6ADC">
              <w:rPr>
                <w:rFonts w:ascii="Times New Roman" w:hAnsi="Times New Roman" w:cs="Times New Roman"/>
                <w:bCs/>
                <w:iCs/>
                <w:color w:val="0D0D0D" w:themeColor="text1" w:themeTint="F2"/>
                <w:sz w:val="22"/>
                <w:szCs w:val="22"/>
              </w:rPr>
              <w:t xml:space="preserve">noviembre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202</w:t>
            </w:r>
            <w:r w:rsidR="006A5294">
              <w:rPr>
                <w:rFonts w:ascii="Times New Roman" w:hAnsi="Times New Roman" w:cs="Times New Roman"/>
                <w:bCs/>
                <w:iCs/>
                <w:color w:val="0D0D0D" w:themeColor="text1" w:themeTint="F2"/>
                <w:sz w:val="22"/>
                <w:szCs w:val="22"/>
              </w:rPr>
              <w:t>3</w:t>
            </w:r>
            <w:r w:rsidRPr="008650DB">
              <w:rPr>
                <w:rFonts w:ascii="Times New Roman" w:hAnsi="Times New Roman" w:cs="Times New Roman"/>
                <w:bCs/>
                <w:iCs/>
                <w:color w:val="0D0D0D" w:themeColor="text1" w:themeTint="F2"/>
                <w:sz w:val="22"/>
                <w:szCs w:val="22"/>
              </w:rPr>
              <w:t xml:space="preserve"> - FIX SCR S.A Agente de Calificación de Riesgo “Afiliada de Fitch Ratings” - Reg. CNV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318029C0" w:rsidR="008650DB" w:rsidRPr="00421E12" w:rsidRDefault="008650DB" w:rsidP="00421E12">
            <w:pPr>
              <w:suppressAutoHyphens/>
              <w:rPr>
                <w:rFonts w:ascii="Times New Roman" w:hAnsi="Times New Roman" w:cs="Times New Roman"/>
                <w:bCs/>
                <w:iCs/>
                <w:color w:val="0D0D0D" w:themeColor="text1" w:themeTint="F2"/>
                <w:sz w:val="22"/>
                <w:szCs w:val="22"/>
              </w:rPr>
            </w:pPr>
            <w:r w:rsidRPr="00902490">
              <w:rPr>
                <w:rFonts w:ascii="Times New Roman" w:hAnsi="Times New Roman"/>
                <w:b/>
                <w:color w:val="0D0D0D" w:themeColor="text1" w:themeTint="F2"/>
                <w:sz w:val="22"/>
              </w:rPr>
              <w:t xml:space="preserve">VDFA: </w:t>
            </w:r>
            <w:r w:rsidR="00C651E5" w:rsidRPr="00902490">
              <w:rPr>
                <w:rFonts w:ascii="Times New Roman" w:hAnsi="Times New Roman"/>
                <w:b/>
                <w:color w:val="0D0D0D" w:themeColor="text1" w:themeTint="F2"/>
                <w:sz w:val="22"/>
              </w:rPr>
              <w:t xml:space="preserve">AAAsf(arg) </w:t>
            </w:r>
            <w:r w:rsidR="00421E12" w:rsidRPr="00902490">
              <w:rPr>
                <w:rFonts w:ascii="Times New Roman" w:hAnsi="Times New Roman"/>
                <w:b/>
                <w:color w:val="0D0D0D" w:themeColor="text1" w:themeTint="F2"/>
                <w:sz w:val="22"/>
              </w:rPr>
              <w:t xml:space="preserve">Categoría </w:t>
            </w:r>
            <w:r w:rsidR="00C651E5" w:rsidRPr="00902490">
              <w:rPr>
                <w:rFonts w:ascii="Times New Roman" w:hAnsi="Times New Roman"/>
                <w:b/>
                <w:color w:val="0D0D0D" w:themeColor="text1" w:themeTint="F2"/>
                <w:sz w:val="22"/>
              </w:rPr>
              <w:t>AAAsf(arg):</w:t>
            </w:r>
            <w:r w:rsidR="00C651E5" w:rsidRPr="00DB405C">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r w:rsidR="00421E12" w:rsidRPr="00DB405C">
              <w:rPr>
                <w:rFonts w:ascii="Times New Roman" w:hAnsi="Times New Roman" w:cs="Times New Roman"/>
                <w:bCs/>
                <w:iCs/>
                <w:color w:val="0D0D0D" w:themeColor="text1" w:themeTint="F2"/>
                <w:sz w:val="22"/>
                <w:szCs w:val="22"/>
              </w:rPr>
              <w:t>.</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4EE4E4B2" w14:textId="678629EA" w:rsidR="008650DB" w:rsidRDefault="008650DB" w:rsidP="00BF7B0D">
            <w:pPr>
              <w:suppressAutoHyphens/>
              <w:rPr>
                <w:rFonts w:ascii="Times New Roman" w:hAnsi="Times New Roman" w:cs="Times New Roman"/>
                <w:bCs/>
                <w:iCs/>
                <w:color w:val="0D0D0D" w:themeColor="text1" w:themeTint="F2"/>
                <w:sz w:val="22"/>
                <w:szCs w:val="22"/>
                <w:lang w:val="es-ES"/>
              </w:rPr>
            </w:pPr>
            <w:r w:rsidRPr="00902490">
              <w:rPr>
                <w:rFonts w:ascii="Times New Roman" w:hAnsi="Times New Roman"/>
                <w:b/>
                <w:color w:val="0D0D0D" w:themeColor="text1" w:themeTint="F2"/>
                <w:sz w:val="22"/>
              </w:rPr>
              <w:t xml:space="preserve">VDFB: </w:t>
            </w:r>
            <w:r w:rsidR="00112A3E">
              <w:rPr>
                <w:rFonts w:ascii="Times New Roman" w:hAnsi="Times New Roman" w:cs="Times New Roman"/>
                <w:b/>
                <w:bCs/>
                <w:iCs/>
                <w:color w:val="0D0D0D" w:themeColor="text1" w:themeTint="F2"/>
                <w:sz w:val="22"/>
                <w:szCs w:val="22"/>
              </w:rPr>
              <w:t>BB</w:t>
            </w:r>
            <w:r w:rsidR="00C651E5" w:rsidRPr="009E2BE5">
              <w:rPr>
                <w:rFonts w:ascii="Times New Roman" w:hAnsi="Times New Roman" w:cs="Times New Roman"/>
                <w:b/>
                <w:bCs/>
                <w:iCs/>
                <w:color w:val="0D0D0D" w:themeColor="text1" w:themeTint="F2"/>
                <w:sz w:val="22"/>
                <w:szCs w:val="22"/>
              </w:rPr>
              <w:t>sf</w:t>
            </w:r>
            <w:r w:rsidR="00C651E5" w:rsidRPr="00902490">
              <w:rPr>
                <w:rFonts w:ascii="Times New Roman" w:hAnsi="Times New Roman"/>
                <w:b/>
                <w:color w:val="0D0D0D" w:themeColor="text1" w:themeTint="F2"/>
                <w:sz w:val="22"/>
              </w:rPr>
              <w:t>(arg)</w:t>
            </w:r>
            <w:r w:rsidR="008936E7" w:rsidRPr="00902490">
              <w:rPr>
                <w:rFonts w:ascii="Times New Roman" w:hAnsi="Times New Roman"/>
                <w:b/>
                <w:color w:val="0D0D0D" w:themeColor="text1" w:themeTint="F2"/>
                <w:sz w:val="22"/>
              </w:rPr>
              <w:t xml:space="preserve"> </w:t>
            </w:r>
            <w:r w:rsidRPr="00902490">
              <w:rPr>
                <w:rFonts w:ascii="Times New Roman" w:hAnsi="Times New Roman"/>
                <w:b/>
                <w:color w:val="0D0D0D" w:themeColor="text1" w:themeTint="F2"/>
                <w:sz w:val="22"/>
                <w:lang w:val="es-ES"/>
              </w:rPr>
              <w:t xml:space="preserve">Categoría </w:t>
            </w:r>
            <w:r w:rsidR="00112A3E">
              <w:rPr>
                <w:rFonts w:ascii="Times New Roman" w:hAnsi="Times New Roman"/>
                <w:b/>
                <w:color w:val="0D0D0D" w:themeColor="text1" w:themeTint="F2"/>
                <w:sz w:val="22"/>
                <w:lang w:val="es-ES"/>
              </w:rPr>
              <w:t>BB</w:t>
            </w:r>
            <w:r w:rsidR="00C651E5" w:rsidRPr="00902490">
              <w:rPr>
                <w:rFonts w:ascii="Times New Roman" w:hAnsi="Times New Roman"/>
                <w:b/>
                <w:color w:val="0D0D0D" w:themeColor="text1" w:themeTint="F2"/>
                <w:sz w:val="22"/>
                <w:lang w:val="es-ES"/>
              </w:rPr>
              <w:t>sf(arg):</w:t>
            </w:r>
            <w:r w:rsidR="00C651E5" w:rsidRPr="008936E7">
              <w:rPr>
                <w:rFonts w:ascii="Times New Roman" w:hAnsi="Times New Roman" w:cs="Times New Roman"/>
                <w:bCs/>
                <w:iCs/>
                <w:color w:val="0D0D0D" w:themeColor="text1" w:themeTint="F2"/>
                <w:sz w:val="22"/>
                <w:szCs w:val="22"/>
                <w:lang w:val="es-ES"/>
              </w:rPr>
              <w:t xml:space="preserve"> </w:t>
            </w:r>
            <w:r w:rsidR="003A6ADC" w:rsidRPr="003A6ADC">
              <w:rPr>
                <w:rFonts w:ascii="Times New Roman" w:hAnsi="Times New Roman" w:cs="Times New Roman"/>
                <w:bCs/>
                <w:iCs/>
                <w:color w:val="0D0D0D" w:themeColor="text1" w:themeTint="F2"/>
                <w:sz w:val="22"/>
                <w:szCs w:val="22"/>
                <w:lang w:val="es-ES"/>
              </w:rPr>
              <w:t>"BB" nacional implica riesgo cr</w:t>
            </w:r>
            <w:r w:rsidR="003A6ADC">
              <w:rPr>
                <w:rFonts w:ascii="Times New Roman" w:hAnsi="Times New Roman" w:cs="Times New Roman"/>
                <w:bCs/>
                <w:iCs/>
                <w:color w:val="0D0D0D" w:themeColor="text1" w:themeTint="F2"/>
                <w:sz w:val="22"/>
                <w:szCs w:val="22"/>
                <w:lang w:val="es-ES"/>
              </w:rPr>
              <w:t>e</w:t>
            </w:r>
            <w:r w:rsidR="003A6ADC" w:rsidRPr="003A6ADC">
              <w:rPr>
                <w:rFonts w:ascii="Times New Roman" w:hAnsi="Times New Roman" w:cs="Times New Roman"/>
                <w:bCs/>
                <w:iCs/>
                <w:color w:val="0D0D0D" w:themeColor="text1" w:themeTint="F2"/>
                <w:sz w:val="22"/>
                <w:szCs w:val="22"/>
                <w:lang w:val="es-ES"/>
              </w:rPr>
              <w:t>diticio relativamente vulnerable respecto a otros emisores o emisiones del país. Dentro del contexto del país, el pago de estas obligaciones financieras implica cierto grado de incertidumbre y la capacidad de pago en tiempo y forma es más vulnerable al desarrollo de cambios económicos adversos.</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38" w:name="_Toc506982480"/>
            <w:bookmarkStart w:id="39" w:name="_Toc521424865"/>
            <w:bookmarkStart w:id="40" w:name="_Toc20409081"/>
            <w:r w:rsidRPr="00506990">
              <w:rPr>
                <w:rFonts w:ascii="Times New Roman" w:hAnsi="Times New Roman"/>
                <w:iCs/>
                <w:color w:val="0D0D0D" w:themeColor="text1" w:themeTint="F2"/>
                <w:sz w:val="22"/>
                <w:szCs w:val="22"/>
                <w:u w:val="none"/>
              </w:rPr>
              <w:t>Resoluciones Sociales</w:t>
            </w:r>
            <w:bookmarkEnd w:id="38"/>
            <w:bookmarkEnd w:id="39"/>
            <w:bookmarkEnd w:id="40"/>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63A2E325"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w:t>
            </w:r>
            <w:r w:rsidR="00D851EE">
              <w:rPr>
                <w:rFonts w:ascii="Times New Roman" w:hAnsi="Times New Roman"/>
                <w:color w:val="0D0D0D" w:themeColor="text1" w:themeTint="F2"/>
                <w:sz w:val="22"/>
                <w:szCs w:val="22"/>
              </w:rPr>
              <w:t xml:space="preserve">agosto </w:t>
            </w:r>
            <w:r w:rsidR="0095048A">
              <w:rPr>
                <w:rFonts w:ascii="Times New Roman" w:hAnsi="Times New Roman"/>
                <w:color w:val="0D0D0D" w:themeColor="text1" w:themeTint="F2"/>
                <w:sz w:val="22"/>
                <w:szCs w:val="22"/>
              </w:rPr>
              <w:t>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D851EE">
              <w:rPr>
                <w:rFonts w:ascii="Times New Roman" w:hAnsi="Times New Roman" w:cs="Times New Roman"/>
                <w:bCs/>
                <w:iCs/>
                <w:color w:val="0D0D0D" w:themeColor="text1" w:themeTint="F2"/>
                <w:sz w:val="22"/>
                <w:szCs w:val="22"/>
              </w:rPr>
              <w:t>7</w:t>
            </w:r>
            <w:r w:rsidR="00D851EE" w:rsidRPr="00752888">
              <w:rPr>
                <w:rFonts w:ascii="Times New Roman" w:hAnsi="Times New Roman" w:cs="Times New Roman"/>
                <w:iCs/>
                <w:color w:val="0D0D0D" w:themeColor="text1" w:themeTint="F2"/>
                <w:sz w:val="22"/>
                <w:szCs w:val="22"/>
              </w:rPr>
              <w:t xml:space="preserve"> </w:t>
            </w:r>
            <w:r w:rsidRPr="00CC44DE">
              <w:rPr>
                <w:rFonts w:ascii="Times New Roman" w:hAnsi="Times New Roman" w:cs="Times New Roman"/>
                <w:iCs/>
                <w:color w:val="0D0D0D" w:themeColor="text1" w:themeTint="F2"/>
                <w:sz w:val="22"/>
                <w:szCs w:val="22"/>
              </w:rPr>
              <w:t xml:space="preserve">de </w:t>
            </w:r>
            <w:r w:rsidR="00D851EE">
              <w:rPr>
                <w:rFonts w:ascii="Times New Roman" w:hAnsi="Times New Roman" w:cs="Times New Roman"/>
                <w:bCs/>
                <w:iCs/>
                <w:color w:val="0D0D0D" w:themeColor="text1" w:themeTint="F2"/>
                <w:sz w:val="22"/>
                <w:szCs w:val="22"/>
              </w:rPr>
              <w:t>noviembre</w:t>
            </w:r>
            <w:r w:rsidR="00D851EE" w:rsidRPr="00964F87">
              <w:rPr>
                <w:rFonts w:ascii="Times New Roman" w:hAnsi="Times New Roman" w:cs="Times New Roman"/>
                <w:bCs/>
                <w:iCs/>
                <w:color w:val="0D0D0D" w:themeColor="text1" w:themeTint="F2"/>
                <w:sz w:val="22"/>
                <w:szCs w:val="22"/>
              </w:rPr>
              <w:t xml:space="preserve"> </w:t>
            </w:r>
            <w:r w:rsidRPr="00752888">
              <w:rPr>
                <w:rFonts w:ascii="Times New Roman" w:hAnsi="Times New Roman" w:cs="Times New Roman"/>
                <w:iCs/>
                <w:color w:val="0D0D0D" w:themeColor="text1" w:themeTint="F2"/>
                <w:sz w:val="22"/>
                <w:szCs w:val="22"/>
              </w:rPr>
              <w:t xml:space="preserve">de </w:t>
            </w:r>
            <w:r w:rsidR="00FF3C64" w:rsidRPr="00CC44DE">
              <w:rPr>
                <w:rFonts w:ascii="Times New Roman" w:hAnsi="Times New Roman" w:cs="Times New Roman"/>
                <w:iCs/>
                <w:color w:val="0D0D0D" w:themeColor="text1" w:themeTint="F2"/>
                <w:sz w:val="22"/>
                <w:szCs w:val="22"/>
              </w:rPr>
              <w:t>202</w:t>
            </w:r>
            <w:r w:rsidR="00561DE5" w:rsidRPr="00CC44DE">
              <w:rPr>
                <w:rFonts w:ascii="Times New Roman" w:hAnsi="Times New Roman" w:cs="Times New Roman"/>
                <w:iCs/>
                <w:color w:val="0D0D0D" w:themeColor="text1" w:themeTint="F2"/>
                <w:sz w:val="22"/>
                <w:szCs w:val="22"/>
              </w:rPr>
              <w:t>3</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10 de </w:t>
            </w:r>
            <w:r w:rsidR="00D851EE">
              <w:rPr>
                <w:rFonts w:ascii="Times New Roman" w:hAnsi="Times New Roman" w:cs="Times New Roman"/>
                <w:iCs/>
                <w:color w:val="0D0D0D" w:themeColor="text1" w:themeTint="F2"/>
                <w:sz w:val="22"/>
                <w:szCs w:val="22"/>
              </w:rPr>
              <w:t>agosto</w:t>
            </w:r>
            <w:r w:rsidR="00D851EE" w:rsidRPr="00CC44DE">
              <w:rPr>
                <w:rFonts w:ascii="Times New Roman" w:hAnsi="Times New Roman" w:cs="Times New Roman"/>
                <w:iCs/>
                <w:color w:val="0D0D0D" w:themeColor="text1" w:themeTint="F2"/>
                <w:sz w:val="22"/>
                <w:szCs w:val="22"/>
              </w:rPr>
              <w:t xml:space="preserve"> </w:t>
            </w:r>
            <w:r w:rsidR="0095048A" w:rsidRPr="00CC44DE">
              <w:rPr>
                <w:rFonts w:ascii="Times New Roman" w:hAnsi="Times New Roman" w:cs="Times New Roman"/>
                <w:iCs/>
                <w:color w:val="0D0D0D" w:themeColor="text1" w:themeTint="F2"/>
                <w:sz w:val="22"/>
                <w:szCs w:val="22"/>
              </w:rPr>
              <w:t>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D851EE">
              <w:rPr>
                <w:rFonts w:ascii="Times New Roman" w:hAnsi="Times New Roman" w:cs="Times New Roman"/>
                <w:bCs/>
                <w:iCs/>
                <w:color w:val="0D0D0D" w:themeColor="text1" w:themeTint="F2"/>
                <w:sz w:val="22"/>
                <w:szCs w:val="22"/>
              </w:rPr>
              <w:t>7</w:t>
            </w:r>
            <w:r w:rsidR="00D851EE" w:rsidRPr="00752888">
              <w:rPr>
                <w:rFonts w:ascii="Times New Roman" w:hAnsi="Times New Roman" w:cs="Times New Roman"/>
                <w:iCs/>
                <w:color w:val="0D0D0D" w:themeColor="text1" w:themeTint="F2"/>
                <w:sz w:val="22"/>
                <w:szCs w:val="22"/>
              </w:rPr>
              <w:t xml:space="preserve"> </w:t>
            </w:r>
            <w:r w:rsidR="00BE7610" w:rsidRPr="00CC44DE">
              <w:rPr>
                <w:rFonts w:ascii="Times New Roman" w:hAnsi="Times New Roman" w:cs="Times New Roman"/>
                <w:bCs/>
                <w:iCs/>
                <w:color w:val="0D0D0D" w:themeColor="text1" w:themeTint="F2"/>
                <w:sz w:val="22"/>
                <w:szCs w:val="22"/>
              </w:rPr>
              <w:t xml:space="preserve">de </w:t>
            </w:r>
            <w:r w:rsidR="00D851EE">
              <w:rPr>
                <w:rFonts w:ascii="Times New Roman" w:hAnsi="Times New Roman" w:cs="Times New Roman"/>
                <w:bCs/>
                <w:iCs/>
                <w:color w:val="0D0D0D" w:themeColor="text1" w:themeTint="F2"/>
                <w:sz w:val="22"/>
                <w:szCs w:val="22"/>
              </w:rPr>
              <w:t>noviembre</w:t>
            </w:r>
            <w:r w:rsidR="00D851EE" w:rsidRPr="00964F87">
              <w:rPr>
                <w:rFonts w:ascii="Times New Roman" w:hAnsi="Times New Roman" w:cs="Times New Roman"/>
                <w:bCs/>
                <w:iCs/>
                <w:color w:val="0D0D0D" w:themeColor="text1" w:themeTint="F2"/>
                <w:sz w:val="22"/>
                <w:szCs w:val="22"/>
              </w:rPr>
              <w:t xml:space="preserve"> </w:t>
            </w:r>
            <w:r w:rsidR="00A10308" w:rsidRPr="00752888">
              <w:rPr>
                <w:rFonts w:ascii="Times New Roman" w:hAnsi="Times New Roman" w:cs="Times New Roman"/>
                <w:iCs/>
                <w:color w:val="0D0D0D" w:themeColor="text1" w:themeTint="F2"/>
                <w:sz w:val="22"/>
                <w:szCs w:val="22"/>
              </w:rPr>
              <w:t>de 202</w:t>
            </w:r>
            <w:r w:rsidR="00561DE5" w:rsidRPr="00CC44DE">
              <w:rPr>
                <w:rFonts w:ascii="Times New Roman" w:hAnsi="Times New Roman" w:cs="Times New Roman"/>
                <w:iCs/>
                <w:color w:val="0D0D0D" w:themeColor="text1" w:themeTint="F2"/>
                <w:sz w:val="22"/>
                <w:szCs w:val="22"/>
              </w:rPr>
              <w:t>3</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15CA6EA2"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AB442B">
              <w:rPr>
                <w:rFonts w:ascii="Times New Roman" w:hAnsi="Times New Roman" w:cs="Times New Roman"/>
                <w:bCs/>
                <w:iCs/>
                <w:color w:val="0D0D0D" w:themeColor="text1" w:themeTint="F2"/>
                <w:sz w:val="22"/>
                <w:szCs w:val="22"/>
              </w:rPr>
              <w:t>18</w:t>
            </w:r>
            <w:r w:rsidR="00AB442B"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 xml:space="preserve">de </w:t>
            </w:r>
            <w:r w:rsidR="00AB442B">
              <w:rPr>
                <w:rFonts w:ascii="Times New Roman" w:hAnsi="Times New Roman" w:cs="Times New Roman"/>
                <w:bCs/>
                <w:iCs/>
                <w:color w:val="0D0D0D" w:themeColor="text1" w:themeTint="F2"/>
                <w:sz w:val="22"/>
                <w:szCs w:val="22"/>
              </w:rPr>
              <w:t>agosto</w:t>
            </w:r>
            <w:r w:rsidR="00AB442B"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de</w:t>
            </w:r>
            <w:r w:rsidR="00A63365">
              <w:rPr>
                <w:rFonts w:ascii="Times New Roman" w:hAnsi="Times New Roman" w:cs="Times New Roman"/>
                <w:iCs/>
                <w:color w:val="0D0D0D" w:themeColor="text1" w:themeTint="F2"/>
                <w:sz w:val="22"/>
                <w:szCs w:val="22"/>
              </w:rPr>
              <w:t xml:space="preserve"> 202</w:t>
            </w:r>
            <w:r w:rsidR="00665937">
              <w:rPr>
                <w:rFonts w:ascii="Times New Roman" w:hAnsi="Times New Roman" w:cs="Times New Roman"/>
                <w:iCs/>
                <w:color w:val="0D0D0D" w:themeColor="text1" w:themeTint="F2"/>
                <w:sz w:val="22"/>
                <w:szCs w:val="22"/>
              </w:rPr>
              <w:t>3</w:t>
            </w:r>
            <w:r w:rsidR="00A63365">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3"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41" w:name="_1146641627"/>
      <w:bookmarkStart w:id="42" w:name="_1146641743"/>
      <w:bookmarkStart w:id="43" w:name="_1146641749"/>
      <w:bookmarkStart w:id="44" w:name="_1202654729"/>
      <w:bookmarkStart w:id="45" w:name="_1304343542"/>
      <w:bookmarkStart w:id="46" w:name="_1377426471"/>
      <w:bookmarkStart w:id="47" w:name="_1399977466"/>
      <w:bookmarkStart w:id="48" w:name="_1407049096"/>
      <w:bookmarkStart w:id="49" w:name="_1410772041"/>
      <w:bookmarkStart w:id="50" w:name="_1410772077"/>
      <w:bookmarkStart w:id="51" w:name="_1417270314"/>
      <w:bookmarkStart w:id="52" w:name="_1417270482"/>
      <w:bookmarkStart w:id="53" w:name="_1417270488"/>
      <w:bookmarkStart w:id="54" w:name="_1435140550"/>
      <w:bookmarkStart w:id="55" w:name="_Toc521424866"/>
      <w:bookmarkStart w:id="56" w:name="_Toc20409082"/>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55"/>
      <w:bookmarkEnd w:id="56"/>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5E5A2B87" w14:textId="77777777" w:rsidR="00665937" w:rsidRPr="004D2DAB" w:rsidRDefault="00665937" w:rsidP="00665937">
      <w:pPr>
        <w:suppressLineNumbers/>
        <w:ind w:left="-851" w:firstLine="851"/>
        <w:rPr>
          <w:rFonts w:ascii="Times New Roman" w:hAnsi="Times New Roman"/>
          <w:b/>
          <w:color w:val="0D0D0D"/>
          <w:sz w:val="22"/>
        </w:rPr>
      </w:pPr>
      <w:r w:rsidRPr="004D2DAB">
        <w:rPr>
          <w:rFonts w:ascii="Times New Roman" w:hAnsi="Times New Roman"/>
          <w:color w:val="0D0D0D"/>
          <w:sz w:val="22"/>
          <w:u w:val="single"/>
        </w:rPr>
        <w:t>Denominación Social</w:t>
      </w:r>
      <w:r w:rsidRPr="004D2DAB">
        <w:rPr>
          <w:rFonts w:ascii="Times New Roman" w:hAnsi="Times New Roman"/>
          <w:color w:val="0D0D0D"/>
          <w:sz w:val="22"/>
        </w:rPr>
        <w:t>: ROSARIO ADMINISTRADORA SOCIEDAD FIDUCIARIA S.A.</w:t>
      </w:r>
    </w:p>
    <w:p w14:paraId="4444BC20" w14:textId="77777777" w:rsidR="00665937" w:rsidRPr="004D2DAB" w:rsidRDefault="00665937" w:rsidP="00665937">
      <w:pPr>
        <w:rPr>
          <w:rFonts w:ascii="Times New Roman" w:hAnsi="Times New Roman"/>
          <w:color w:val="0D0D0D"/>
          <w:sz w:val="22"/>
        </w:rPr>
      </w:pPr>
      <w:r w:rsidRPr="004D2DAB">
        <w:rPr>
          <w:rFonts w:ascii="Times New Roman" w:hAnsi="Times New Roman"/>
          <w:color w:val="0D0D0D"/>
          <w:sz w:val="22"/>
          <w:u w:val="single"/>
        </w:rPr>
        <w:t>Domicilio y sede social</w:t>
      </w:r>
      <w:r w:rsidRPr="004D2DAB">
        <w:rPr>
          <w:rFonts w:ascii="Times New Roman" w:hAnsi="Times New Roman"/>
          <w:color w:val="0D0D0D"/>
          <w:sz w:val="22"/>
        </w:rPr>
        <w:t>: Paraguay 777, Piso 9º, Rosario, Pcia. de Santa Fe.</w:t>
      </w:r>
    </w:p>
    <w:p w14:paraId="1BF1E88D" w14:textId="77777777" w:rsidR="00665937" w:rsidRPr="004D2DAB" w:rsidRDefault="00665937" w:rsidP="00665937">
      <w:pPr>
        <w:rPr>
          <w:rFonts w:ascii="Times New Roman" w:hAnsi="Times New Roman"/>
          <w:color w:val="0D0D0D"/>
          <w:sz w:val="22"/>
        </w:rPr>
      </w:pPr>
      <w:r w:rsidRPr="004D2DAB">
        <w:rPr>
          <w:rFonts w:ascii="Times New Roman" w:hAnsi="Times New Roman"/>
          <w:color w:val="0D0D0D"/>
          <w:sz w:val="22"/>
          <w:u w:val="single"/>
        </w:rPr>
        <w:t>Datos de inscripción</w:t>
      </w:r>
      <w:r w:rsidRPr="004D2DAB">
        <w:rPr>
          <w:rFonts w:ascii="Times New Roman" w:hAnsi="Times New Roman"/>
          <w:color w:val="0D0D0D"/>
          <w:sz w:val="22"/>
        </w:rPr>
        <w:t>: i) constitución inscripta en el Registro Público de Comercio de la Ciudad de Rosario, Pcia.de Santa Fe, al Tomo 78, folio 11220, Nro. 532 del registro de Estatutos el 30 de diciembre de 1997 e inscripción en la Inspección General de Personas Jurídicas de la Provincia de Santa Fe, conforme Resolución Nº 923/97; ii) cambio de denominación y objeto social inscripto en el Registro Público de Comercio de la Ciudad de Rosario, Provincia de Santa Fe, de Rosario, al Tomo 84, Folio 845 Nro. 53 del Registro de Estatutos el 04 de febrero de 2003; iii) último domicilio inscripto en el Registro Público de Comercio de Rosario el día 25 de enero de 2012, en Estatutos, al Tomo 93 Fº 1323 Nº 49.</w:t>
      </w:r>
    </w:p>
    <w:p w14:paraId="3CD04817" w14:textId="77777777" w:rsidR="00087F1D" w:rsidRPr="00506990" w:rsidRDefault="00BD6597" w:rsidP="00BD6597">
      <w:pPr>
        <w:rPr>
          <w:rFonts w:ascii="Times New Roman" w:hAnsi="Times New Roman" w:cs="Times New Roman"/>
          <w:color w:val="0D0D0D" w:themeColor="text1" w:themeTint="F2"/>
          <w:sz w:val="22"/>
          <w:szCs w:val="22"/>
          <w:lang w:val="en-US"/>
        </w:rPr>
      </w:pPr>
      <w:r w:rsidRPr="00C00C15">
        <w:rPr>
          <w:rFonts w:ascii="Times New Roman" w:hAnsi="Times New Roman" w:cs="Times New Roman"/>
          <w:color w:val="0D0D0D" w:themeColor="text1" w:themeTint="F2"/>
          <w:sz w:val="22"/>
          <w:szCs w:val="22"/>
          <w:u w:val="single"/>
          <w:lang w:val="en-US"/>
        </w:rPr>
        <w:t>CUIT</w:t>
      </w:r>
      <w:r w:rsidRPr="00506990">
        <w:rPr>
          <w:rFonts w:ascii="Times New Roman" w:hAnsi="Times New Roman" w:cs="Times New Roman"/>
          <w:color w:val="0D0D0D" w:themeColor="text1" w:themeTint="F2"/>
          <w:sz w:val="22"/>
          <w:szCs w:val="22"/>
          <w:lang w:val="en-US"/>
        </w:rPr>
        <w:t>: 33-69371055-9</w:t>
      </w:r>
    </w:p>
    <w:p w14:paraId="1D6A6F4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C00C15">
        <w:rPr>
          <w:rFonts w:ascii="Times New Roman" w:hAnsi="Times New Roman" w:cs="Times New Roman"/>
          <w:color w:val="0D0D0D" w:themeColor="text1" w:themeTint="F2"/>
          <w:sz w:val="22"/>
          <w:szCs w:val="22"/>
          <w:u w:val="single"/>
          <w:lang w:val="en-US"/>
        </w:rPr>
        <w:t>Tel</w:t>
      </w:r>
      <w:r w:rsidR="00075A2B" w:rsidRPr="00506990">
        <w:rPr>
          <w:rFonts w:ascii="Times New Roman" w:hAnsi="Times New Roman" w:cs="Times New Roman"/>
          <w:color w:val="0D0D0D" w:themeColor="text1" w:themeTint="F2"/>
          <w:sz w:val="22"/>
          <w:szCs w:val="22"/>
          <w:lang w:val="en-US"/>
        </w:rPr>
        <w:t>.</w:t>
      </w:r>
      <w:r w:rsidRPr="00506990">
        <w:rPr>
          <w:rFonts w:ascii="Times New Roman" w:hAnsi="Times New Roman" w:cs="Times New Roman"/>
          <w:color w:val="0D0D0D" w:themeColor="text1" w:themeTint="F2"/>
          <w:sz w:val="22"/>
          <w:szCs w:val="22"/>
          <w:lang w:val="en-US"/>
        </w:rPr>
        <w:t xml:space="preserve">: 0341 </w:t>
      </w:r>
      <w:r w:rsidR="000851A8" w:rsidRPr="00506990">
        <w:rPr>
          <w:rFonts w:ascii="Times New Roman" w:hAnsi="Times New Roman" w:cs="Times New Roman"/>
          <w:color w:val="0D0D0D" w:themeColor="text1" w:themeTint="F2"/>
          <w:sz w:val="22"/>
          <w:szCs w:val="22"/>
          <w:lang w:val="en-US"/>
        </w:rPr>
        <w:t>5300900</w:t>
      </w:r>
      <w:r w:rsidRPr="00506990">
        <w:rPr>
          <w:rFonts w:ascii="Times New Roman" w:hAnsi="Times New Roman" w:cs="Times New Roman"/>
          <w:color w:val="0D0D0D" w:themeColor="text1" w:themeTint="F2"/>
          <w:sz w:val="22"/>
          <w:szCs w:val="22"/>
          <w:lang w:val="en-US"/>
        </w:rPr>
        <w:t xml:space="preserve">. </w:t>
      </w:r>
    </w:p>
    <w:p w14:paraId="173ABC6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C00C15">
        <w:rPr>
          <w:rFonts w:ascii="Times New Roman" w:hAnsi="Times New Roman" w:cs="Times New Roman"/>
          <w:color w:val="0D0D0D" w:themeColor="text1" w:themeTint="F2"/>
          <w:sz w:val="22"/>
          <w:szCs w:val="22"/>
          <w:u w:val="single"/>
          <w:lang w:val="en-US"/>
        </w:rPr>
        <w:t>Website</w:t>
      </w:r>
      <w:r w:rsidRPr="00506990">
        <w:rPr>
          <w:rFonts w:ascii="Times New Roman" w:hAnsi="Times New Roman" w:cs="Times New Roman"/>
          <w:color w:val="0D0D0D" w:themeColor="text1" w:themeTint="F2"/>
          <w:sz w:val="22"/>
          <w:szCs w:val="22"/>
          <w:lang w:val="en-US"/>
        </w:rPr>
        <w:t>:</w:t>
      </w:r>
      <w:r w:rsidR="00E65461" w:rsidRPr="00506990" w:rsidDel="00E65461">
        <w:rPr>
          <w:rFonts w:ascii="Times New Roman" w:hAnsi="Times New Roman" w:cs="Times New Roman"/>
          <w:color w:val="0D0D0D" w:themeColor="text1" w:themeTint="F2"/>
          <w:sz w:val="22"/>
          <w:szCs w:val="22"/>
          <w:lang w:val="en-US"/>
        </w:rPr>
        <w:t xml:space="preserve"> </w:t>
      </w:r>
      <w:r w:rsidR="00E65461" w:rsidRPr="00506990">
        <w:rPr>
          <w:rFonts w:ascii="Times New Roman" w:hAnsi="Times New Roman" w:cs="Times New Roman"/>
          <w:color w:val="0D0D0D" w:themeColor="text1" w:themeTint="F2"/>
          <w:sz w:val="22"/>
          <w:szCs w:val="22"/>
          <w:lang w:val="en-US"/>
        </w:rPr>
        <w:t xml:space="preserve"> https://www.rosfid.com.ar/</w:t>
      </w:r>
    </w:p>
    <w:p w14:paraId="43596559" w14:textId="1642EE7B" w:rsidR="00BD6597" w:rsidRPr="00506990" w:rsidRDefault="00BD6597" w:rsidP="00BD6597">
      <w:pPr>
        <w:rPr>
          <w:rFonts w:ascii="Times New Roman" w:hAnsi="Times New Roman" w:cs="Times New Roman"/>
          <w:color w:val="0D0D0D" w:themeColor="text1" w:themeTint="F2"/>
          <w:sz w:val="22"/>
          <w:szCs w:val="22"/>
        </w:rPr>
      </w:pPr>
      <w:r w:rsidRPr="00C00C15">
        <w:rPr>
          <w:rFonts w:ascii="Times New Roman" w:hAnsi="Times New Roman" w:cs="Times New Roman"/>
          <w:color w:val="0D0D0D" w:themeColor="text1" w:themeTint="F2"/>
          <w:sz w:val="22"/>
          <w:szCs w:val="22"/>
          <w:u w:val="single"/>
        </w:rPr>
        <w:t>Correo electrónico</w:t>
      </w:r>
      <w:r w:rsidR="008F4942">
        <w:rPr>
          <w:rFonts w:ascii="Times New Roman" w:hAnsi="Times New Roman" w:cs="Times New Roman"/>
          <w:color w:val="0D0D0D" w:themeColor="text1" w:themeTint="F2"/>
          <w:sz w:val="22"/>
          <w:szCs w:val="22"/>
          <w:u w:val="single"/>
        </w:rPr>
        <w:t>:</w:t>
      </w:r>
      <w:r w:rsidRPr="00506990">
        <w:rPr>
          <w:rFonts w:ascii="Times New Roman" w:hAnsi="Times New Roman" w:cs="Times New Roman"/>
          <w:color w:val="0D0D0D" w:themeColor="text1" w:themeTint="F2"/>
          <w:sz w:val="22"/>
          <w:szCs w:val="22"/>
        </w:rPr>
        <w:t xml:space="preserve"> </w:t>
      </w:r>
      <w:hyperlink r:id="rId24" w:history="1">
        <w:r w:rsidRPr="00506990">
          <w:rPr>
            <w:rStyle w:val="Hipervnculo"/>
            <w:rFonts w:ascii="Times New Roman" w:hAnsi="Times New Roman"/>
            <w:color w:val="0D0D0D" w:themeColor="text1" w:themeTint="F2"/>
            <w:sz w:val="22"/>
            <w:szCs w:val="22"/>
          </w:rPr>
          <w:t>administracion@rosfid.com.ar</w:t>
        </w:r>
      </w:hyperlink>
    </w:p>
    <w:p w14:paraId="5791E331" w14:textId="77777777" w:rsidR="00BD6597" w:rsidRPr="00506990" w:rsidRDefault="00BD6597" w:rsidP="00BD6597">
      <w:pPr>
        <w:rPr>
          <w:rFonts w:ascii="Times New Roman" w:hAnsi="Times New Roman" w:cs="Times New Roman"/>
          <w:color w:val="0D0D0D" w:themeColor="text1" w:themeTint="F2"/>
          <w:sz w:val="22"/>
          <w:szCs w:val="22"/>
        </w:rPr>
      </w:pPr>
    </w:p>
    <w:p w14:paraId="12C5C32B" w14:textId="77777777"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Rosario Fiduciaria ha sido inscripta en el registro de fiduciarios financieros de la Comisión Nacional de Valores en septiembre de 2003 bajo el Nº 41.</w:t>
      </w:r>
    </w:p>
    <w:p w14:paraId="47DCFF78" w14:textId="6AD0D01E" w:rsidR="000157B5" w:rsidRPr="00506990" w:rsidRDefault="00FF52D4" w:rsidP="000157B5">
      <w:pPr>
        <w:pStyle w:val="Ttulo1"/>
        <w:rPr>
          <w:rFonts w:ascii="Times New Roman" w:hAnsi="Times New Roman"/>
          <w:i/>
          <w:color w:val="0D0D0D" w:themeColor="text1" w:themeTint="F2"/>
          <w:sz w:val="22"/>
          <w:szCs w:val="22"/>
        </w:rPr>
      </w:pPr>
      <w:bookmarkStart w:id="57" w:name="_Toc521424867"/>
      <w:bookmarkStart w:id="58" w:name="_Toc20409083"/>
      <w:r>
        <w:rPr>
          <w:rFonts w:ascii="Times New Roman" w:hAnsi="Times New Roman"/>
          <w:color w:val="0D0D0D" w:themeColor="text1" w:themeTint="F2"/>
          <w:sz w:val="22"/>
          <w:szCs w:val="22"/>
        </w:rPr>
        <w:t>Directorio, comisión fiscalizadora y gerencia de primera l</w:t>
      </w:r>
      <w:r w:rsidR="000157B5" w:rsidRPr="00506990">
        <w:rPr>
          <w:rFonts w:ascii="Times New Roman" w:hAnsi="Times New Roman"/>
          <w:color w:val="0D0D0D" w:themeColor="text1" w:themeTint="F2"/>
          <w:sz w:val="22"/>
          <w:szCs w:val="22"/>
        </w:rPr>
        <w:t>ínea.</w:t>
      </w:r>
      <w:bookmarkEnd w:id="57"/>
      <w:bookmarkEnd w:id="58"/>
    </w:p>
    <w:p w14:paraId="044176F0" w14:textId="77777777" w:rsidR="000157B5" w:rsidRPr="00506990" w:rsidRDefault="000157B5" w:rsidP="000157B5">
      <w:pPr>
        <w:pStyle w:val="Textopredeterminado"/>
        <w:jc w:val="both"/>
        <w:rPr>
          <w:color w:val="0D0D0D" w:themeColor="text1" w:themeTint="F2"/>
          <w:sz w:val="22"/>
          <w:szCs w:val="22"/>
        </w:rPr>
      </w:pPr>
    </w:p>
    <w:p w14:paraId="5E7C8E95" w14:textId="78B77FB1" w:rsidR="00087F1D" w:rsidRPr="00506990" w:rsidRDefault="00FF52D4" w:rsidP="000157B5">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Las a</w:t>
      </w:r>
      <w:r w:rsidR="000157B5" w:rsidRPr="00506990">
        <w:rPr>
          <w:rFonts w:ascii="Times New Roman" w:hAnsi="Times New Roman" w:cs="Times New Roman"/>
          <w:color w:val="0D0D0D" w:themeColor="text1" w:themeTint="F2"/>
          <w:sz w:val="22"/>
          <w:szCs w:val="22"/>
        </w:rPr>
        <w:t xml:space="preserve">utoridades de Rosfid son dirigentes representantes de los accionistas, y cuentan con una extensa trayectoria y </w:t>
      </w:r>
      <w:r w:rsidR="000157B5" w:rsidRPr="000579E7">
        <w:rPr>
          <w:rFonts w:ascii="Times New Roman" w:hAnsi="Times New Roman" w:cs="Times New Roman"/>
          <w:color w:val="0D0D0D" w:themeColor="text1" w:themeTint="F2"/>
          <w:sz w:val="22"/>
          <w:szCs w:val="22"/>
        </w:rPr>
        <w:t xml:space="preserve">experiencia profesional en el sistema bursátil nacional. La nómina de los mismos puede consultarse en </w:t>
      </w:r>
      <w:r w:rsidR="001D0525" w:rsidRPr="001D0525">
        <w:rPr>
          <w:rFonts w:ascii="Times New Roman" w:hAnsi="Times New Roman" w:cs="Times New Roman"/>
          <w:color w:val="0D0D0D" w:themeColor="text1" w:themeTint="F2"/>
          <w:sz w:val="22"/>
          <w:szCs w:val="22"/>
        </w:rPr>
        <w:t>https://www.argentina.gob.ar/cnv</w:t>
      </w:r>
      <w:r w:rsidR="000157B5" w:rsidRPr="000579E7">
        <w:rPr>
          <w:rFonts w:ascii="Times New Roman" w:hAnsi="Times New Roman" w:cs="Times New Roman"/>
          <w:color w:val="0D0D0D" w:themeColor="text1" w:themeTint="F2"/>
          <w:sz w:val="22"/>
          <w:szCs w:val="22"/>
        </w:rPr>
        <w:t>/sitioWeb/RegistrosPublicos/Agente de Productos de Inversión Colectiva/Rosario Administradora Sociedad Fiduciaria S.A./</w:t>
      </w:r>
      <w:r w:rsidR="00200989" w:rsidRPr="000579E7">
        <w:rPr>
          <w:rFonts w:ascii="Times New Roman" w:hAnsi="Times New Roman" w:cs="Times New Roman"/>
          <w:color w:val="0D0D0D" w:themeColor="text1" w:themeTint="F2"/>
          <w:sz w:val="22"/>
          <w:szCs w:val="22"/>
        </w:rPr>
        <w:t>Información</w:t>
      </w:r>
      <w:r w:rsidR="000157B5" w:rsidRPr="000579E7">
        <w:rPr>
          <w:rFonts w:ascii="Times New Roman" w:hAnsi="Times New Roman" w:cs="Times New Roman"/>
          <w:color w:val="0D0D0D" w:themeColor="text1" w:themeTint="F2"/>
          <w:sz w:val="22"/>
          <w:szCs w:val="22"/>
        </w:rPr>
        <w:t xml:space="preserve"> Societaria/ Nominas</w:t>
      </w:r>
      <w:r w:rsidR="00FE13AF">
        <w:rPr>
          <w:rFonts w:ascii="Times New Roman" w:hAnsi="Times New Roman" w:cs="Times New Roman"/>
          <w:color w:val="0D0D0D" w:themeColor="text1" w:themeTint="F2"/>
          <w:sz w:val="22"/>
          <w:szCs w:val="22"/>
        </w:rPr>
        <w:t>/Nómina de los Órganos Sociales y de Gerentes (</w:t>
      </w:r>
      <w:r w:rsidR="00FE13AF" w:rsidRPr="00FE13AF">
        <w:rPr>
          <w:rFonts w:ascii="Times New Roman" w:hAnsi="Times New Roman" w:cs="Times New Roman"/>
          <w:color w:val="0D0D0D" w:themeColor="text1" w:themeTint="F2"/>
          <w:sz w:val="22"/>
          <w:szCs w:val="22"/>
        </w:rPr>
        <w:t>Presentación #2973900</w:t>
      </w:r>
      <w:r w:rsidR="00FE13AF">
        <w:rPr>
          <w:rFonts w:ascii="Times New Roman" w:hAnsi="Times New Roman" w:cs="Times New Roman"/>
          <w:color w:val="0D0D0D" w:themeColor="text1" w:themeTint="F2"/>
          <w:sz w:val="22"/>
          <w:szCs w:val="22"/>
        </w:rPr>
        <w:t>)</w:t>
      </w:r>
      <w:r w:rsidR="00D877C1" w:rsidRPr="000579E7">
        <w:rPr>
          <w:rFonts w:ascii="Times New Roman" w:hAnsi="Times New Roman" w:cs="Times New Roman"/>
          <w:color w:val="0D0D0D" w:themeColor="text1" w:themeTint="F2"/>
          <w:sz w:val="22"/>
          <w:szCs w:val="22"/>
        </w:rPr>
        <w:t>.</w:t>
      </w:r>
    </w:p>
    <w:p w14:paraId="6B76C936" w14:textId="77777777" w:rsidR="00BD6597" w:rsidRPr="00506990" w:rsidRDefault="00BD6597" w:rsidP="00337DE5">
      <w:pPr>
        <w:rPr>
          <w:rFonts w:ascii="Times New Roman" w:hAnsi="Times New Roman" w:cs="Times New Roman"/>
          <w:color w:val="0D0D0D" w:themeColor="text1" w:themeTint="F2"/>
          <w:sz w:val="22"/>
          <w:szCs w:val="22"/>
        </w:rPr>
      </w:pPr>
    </w:p>
    <w:p w14:paraId="471209B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En el año 1997 nace como Sociedad Gerente de Fondos Comunes de Inversión “Rosario Administradora S.A. Sociedad Gerente de Fondos Comunes de Inversión”. Inscripta en el Registro </w:t>
      </w:r>
      <w:r w:rsidRPr="00506990">
        <w:rPr>
          <w:rFonts w:ascii="Times New Roman" w:hAnsi="Times New Roman" w:cs="Times New Roman"/>
          <w:color w:val="0D0D0D" w:themeColor="text1" w:themeTint="F2"/>
          <w:sz w:val="22"/>
          <w:szCs w:val="22"/>
        </w:rPr>
        <w:lastRenderedPageBreak/>
        <w:t>Público de Comercio de la Ciudad de Rosario, Pcia.</w:t>
      </w:r>
      <w:r w:rsidR="00DD5E7C"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de Santa Fe, al Tomo 78, folio 11220, Nro. 532 del registro de Estatutos el 30 de diciembre de 1997 e inscripción en la Inspección General de Personas Jurídicas de la Provincia de Santa Fe, conforme Resolución Nº 923/97. Por Asamblea Unánime del año 2002 modifica su objeto social con el propósito de desempeñarse como sociedad fiduciaria de fideicomisos financieros y cambia su denominación social comenzando a operar, a partir de entonces, bajo el nombre de </w:t>
      </w:r>
      <w:r w:rsidRPr="00506990">
        <w:rPr>
          <w:rFonts w:ascii="Times New Roman" w:hAnsi="Times New Roman" w:cs="Times New Roman"/>
          <w:i/>
          <w:color w:val="0D0D0D" w:themeColor="text1" w:themeTint="F2"/>
          <w:sz w:val="22"/>
          <w:szCs w:val="22"/>
        </w:rPr>
        <w:t xml:space="preserve">Rosario Administradora Sociedad Fiduciaria S.A (en adelante “Rosfid”). </w:t>
      </w:r>
      <w:r w:rsidRPr="00506990">
        <w:rPr>
          <w:rFonts w:ascii="Times New Roman" w:hAnsi="Times New Roman" w:cs="Times New Roman"/>
          <w:color w:val="0D0D0D" w:themeColor="text1" w:themeTint="F2"/>
          <w:sz w:val="22"/>
          <w:szCs w:val="22"/>
        </w:rPr>
        <w:t xml:space="preserve">El mencionado cambio de denominación y objeto social fue inscripto en el Registro Público de Comercio de la Ciudad de Rosario,  Provincia de Santa Fe, de Rosario, al Tomo 84, Folio 845 Nro. 53 del Registro de Estatutos el 04 de febrero de 2003. El capital de la referida tiene como accionistas al Mercado Argentino de Valores S.A. en un 52.50%, </w:t>
      </w:r>
      <w:r w:rsidR="000851A8" w:rsidRPr="00506990">
        <w:rPr>
          <w:rFonts w:ascii="Times New Roman" w:hAnsi="Times New Roman" w:cs="Times New Roman"/>
          <w:color w:val="0D0D0D" w:themeColor="text1" w:themeTint="F2"/>
          <w:sz w:val="22"/>
          <w:szCs w:val="22"/>
        </w:rPr>
        <w:t xml:space="preserve">ROFEX Inversora </w:t>
      </w:r>
      <w:r w:rsidRPr="00506990">
        <w:rPr>
          <w:rFonts w:ascii="Times New Roman" w:hAnsi="Times New Roman" w:cs="Times New Roman"/>
          <w:color w:val="0D0D0D" w:themeColor="text1" w:themeTint="F2"/>
          <w:sz w:val="22"/>
          <w:szCs w:val="22"/>
        </w:rPr>
        <w:t>S.A. en un 42.50%,</w:t>
      </w:r>
      <w:r w:rsidR="000851A8" w:rsidRPr="00506990">
        <w:rPr>
          <w:rFonts w:ascii="Times New Roman" w:hAnsi="Times New Roman" w:cs="Times New Roman"/>
          <w:color w:val="0D0D0D" w:themeColor="text1" w:themeTint="F2"/>
          <w:sz w:val="22"/>
          <w:szCs w:val="22"/>
        </w:rPr>
        <w:t xml:space="preserve"> y</w:t>
      </w:r>
      <w:r w:rsidRPr="00506990">
        <w:rPr>
          <w:rFonts w:ascii="Times New Roman" w:hAnsi="Times New Roman" w:cs="Times New Roman"/>
          <w:color w:val="0D0D0D" w:themeColor="text1" w:themeTint="F2"/>
          <w:sz w:val="22"/>
          <w:szCs w:val="22"/>
        </w:rPr>
        <w:t xml:space="preserve"> la Bolsa de Comercio de Rosario</w:t>
      </w:r>
      <w:r w:rsidR="000851A8" w:rsidRPr="00506990">
        <w:rPr>
          <w:rFonts w:ascii="Times New Roman" w:hAnsi="Times New Roman" w:cs="Times New Roman"/>
          <w:color w:val="0D0D0D" w:themeColor="text1" w:themeTint="F2"/>
          <w:sz w:val="22"/>
          <w:szCs w:val="22"/>
        </w:rPr>
        <w:t xml:space="preserve"> Asociación Civil</w:t>
      </w:r>
      <w:r w:rsidRPr="00506990">
        <w:rPr>
          <w:rFonts w:ascii="Times New Roman" w:hAnsi="Times New Roman" w:cs="Times New Roman"/>
          <w:color w:val="0D0D0D" w:themeColor="text1" w:themeTint="F2"/>
          <w:sz w:val="22"/>
          <w:szCs w:val="22"/>
        </w:rPr>
        <w:t xml:space="preserve"> el 5% (las “Instituciones Accionistas”). Junt</w:t>
      </w:r>
      <w:r w:rsidR="002B48F2"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s, l</w:t>
      </w:r>
      <w:r w:rsidR="00CA1086"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 xml:space="preserve">s tres </w:t>
      </w:r>
      <w:r w:rsidR="00CA1086" w:rsidRPr="00506990">
        <w:rPr>
          <w:rFonts w:ascii="Times New Roman" w:hAnsi="Times New Roman" w:cs="Times New Roman"/>
          <w:color w:val="0D0D0D" w:themeColor="text1" w:themeTint="F2"/>
          <w:sz w:val="22"/>
          <w:szCs w:val="22"/>
        </w:rPr>
        <w:t>a</w:t>
      </w:r>
      <w:r w:rsidRPr="00506990">
        <w:rPr>
          <w:rFonts w:ascii="Times New Roman" w:hAnsi="Times New Roman" w:cs="Times New Roman"/>
          <w:color w:val="0D0D0D" w:themeColor="text1" w:themeTint="F2"/>
          <w:sz w:val="22"/>
          <w:szCs w:val="22"/>
        </w:rPr>
        <w:t xml:space="preserve">ccionistas pretenden dar vida a un instrumento de financiación como el del fideicomiso financiero, actuando no solamente en forma conjunta como asociadas, si no poniendo de sí todo el empeño que significa el interés de sus cuadros operativos y técnicos. </w:t>
      </w:r>
    </w:p>
    <w:p w14:paraId="1A0B76F1" w14:textId="77777777" w:rsidR="00337DE5" w:rsidRPr="00506990" w:rsidRDefault="00337DE5" w:rsidP="00337DE5">
      <w:pPr>
        <w:rPr>
          <w:rFonts w:ascii="Times New Roman" w:eastAsia="MS Mincho" w:hAnsi="Times New Roman" w:cs="Times New Roman"/>
          <w:color w:val="0D0D0D" w:themeColor="text1" w:themeTint="F2"/>
          <w:sz w:val="22"/>
          <w:szCs w:val="22"/>
        </w:rPr>
      </w:pPr>
    </w:p>
    <w:p w14:paraId="44DEBDA3" w14:textId="05D5011B" w:rsidR="00337DE5" w:rsidRPr="00506990" w:rsidRDefault="00337DE5" w:rsidP="002038C7">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En </w:t>
      </w:r>
      <w:r w:rsidR="001A76F7">
        <w:rPr>
          <w:rFonts w:ascii="Times New Roman" w:eastAsia="MS Mincho" w:hAnsi="Times New Roman" w:cs="Times New Roman"/>
          <w:color w:val="0D0D0D" w:themeColor="text1" w:themeTint="F2"/>
          <w:sz w:val="22"/>
          <w:szCs w:val="22"/>
        </w:rPr>
        <w:t>octubre</w:t>
      </w:r>
      <w:r w:rsidR="001A76F7" w:rsidRPr="00506990">
        <w:rPr>
          <w:rFonts w:ascii="Times New Roman" w:eastAsia="MS Mincho" w:hAnsi="Times New Roman" w:cs="Times New Roman"/>
          <w:color w:val="0D0D0D" w:themeColor="text1" w:themeTint="F2"/>
          <w:sz w:val="22"/>
          <w:szCs w:val="22"/>
        </w:rPr>
        <w:t xml:space="preserve"> </w:t>
      </w:r>
      <w:r w:rsidRPr="00506990">
        <w:rPr>
          <w:rFonts w:ascii="Times New Roman" w:eastAsia="MS Mincho" w:hAnsi="Times New Roman" w:cs="Times New Roman"/>
          <w:color w:val="0D0D0D" w:themeColor="text1" w:themeTint="F2"/>
          <w:sz w:val="22"/>
          <w:szCs w:val="22"/>
        </w:rPr>
        <w:t>de 20</w:t>
      </w:r>
      <w:r w:rsidR="00A3383D">
        <w:rPr>
          <w:rFonts w:ascii="Times New Roman" w:eastAsia="MS Mincho" w:hAnsi="Times New Roman" w:cs="Times New Roman"/>
          <w:color w:val="0D0D0D" w:themeColor="text1" w:themeTint="F2"/>
          <w:sz w:val="22"/>
          <w:szCs w:val="22"/>
        </w:rPr>
        <w:t>2</w:t>
      </w:r>
      <w:r w:rsidR="00460589">
        <w:rPr>
          <w:rFonts w:ascii="Times New Roman" w:eastAsia="MS Mincho" w:hAnsi="Times New Roman" w:cs="Times New Roman"/>
          <w:color w:val="0D0D0D" w:themeColor="text1" w:themeTint="F2"/>
          <w:sz w:val="22"/>
          <w:szCs w:val="22"/>
        </w:rPr>
        <w:t>3</w:t>
      </w:r>
      <w:r w:rsidRPr="00506990">
        <w:rPr>
          <w:rFonts w:ascii="Times New Roman" w:eastAsia="MS Mincho" w:hAnsi="Times New Roman" w:cs="Times New Roman"/>
          <w:color w:val="0D0D0D" w:themeColor="text1" w:themeTint="F2"/>
          <w:sz w:val="22"/>
          <w:szCs w:val="22"/>
        </w:rPr>
        <w:t xml:space="preserve"> UNTREF Agencia de Calificación de Riesgo Universidad Pública (en adelante “UNTREF ACR UP), ha asignado calificación de calidad de fiduciario “</w:t>
      </w:r>
      <w:r w:rsidR="002038C7">
        <w:rPr>
          <w:rFonts w:ascii="Times New Roman" w:eastAsia="MS Mincho" w:hAnsi="Times New Roman" w:cs="Times New Roman"/>
          <w:color w:val="0D0D0D" w:themeColor="text1" w:themeTint="F2"/>
          <w:sz w:val="22"/>
          <w:szCs w:val="22"/>
        </w:rPr>
        <w:t>1</w:t>
      </w:r>
      <w:r w:rsidRPr="00506990">
        <w:rPr>
          <w:rFonts w:ascii="Times New Roman" w:eastAsia="MS Mincho" w:hAnsi="Times New Roman" w:cs="Times New Roman"/>
          <w:color w:val="0D0D0D" w:themeColor="text1" w:themeTint="F2"/>
          <w:sz w:val="22"/>
          <w:szCs w:val="22"/>
        </w:rPr>
        <w:t>” (Fid) a ROSFID.</w:t>
      </w:r>
      <w:r w:rsidR="002038C7" w:rsidRPr="00D73678">
        <w:t xml:space="preserve"> </w:t>
      </w:r>
      <w:r w:rsidR="002038C7" w:rsidRPr="002038C7">
        <w:rPr>
          <w:rFonts w:ascii="Times New Roman" w:eastAsia="MS Mincho" w:hAnsi="Times New Roman" w:cs="Times New Roman"/>
          <w:color w:val="0D0D0D" w:themeColor="text1" w:themeTint="F2"/>
          <w:sz w:val="22"/>
          <w:szCs w:val="22"/>
        </w:rPr>
        <w:t>La calificación “1”</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(Fid) asignada, dentro de las escalas de la UNTREF ACR</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UP, corresponde a que muestran una excelente capacidad para cumplir con</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sus funciones operativas, legales y de administración</w:t>
      </w:r>
      <w:r w:rsidRPr="00506990">
        <w:rPr>
          <w:rFonts w:ascii="Times New Roman" w:eastAsia="MS Mincho" w:hAnsi="Times New Roman" w:cs="Times New Roman"/>
          <w:color w:val="0D0D0D" w:themeColor="text1" w:themeTint="F2"/>
          <w:sz w:val="22"/>
          <w:szCs w:val="22"/>
        </w:rPr>
        <w:t>. Su situación financiera es considerada fuerte y su posición competitiva y de mercado es estable.</w:t>
      </w:r>
      <w:r w:rsidR="0024476E" w:rsidRPr="00506990">
        <w:rPr>
          <w:rFonts w:ascii="Times New Roman" w:eastAsia="MS Mincho" w:hAnsi="Times New Roman" w:cs="Times New Roman"/>
          <w:color w:val="0D0D0D" w:themeColor="text1" w:themeTint="F2"/>
          <w:sz w:val="22"/>
          <w:szCs w:val="22"/>
        </w:rPr>
        <w:t xml:space="preserve"> Dicha calificación se encuentra vigente al día de la fecha.</w:t>
      </w:r>
    </w:p>
    <w:p w14:paraId="1C42FE88" w14:textId="77777777" w:rsidR="002038C7" w:rsidRDefault="002038C7" w:rsidP="00337DE5">
      <w:pPr>
        <w:rPr>
          <w:rFonts w:ascii="Times New Roman" w:eastAsia="MS Mincho" w:hAnsi="Times New Roman" w:cs="Times New Roman"/>
          <w:color w:val="0D0D0D" w:themeColor="text1" w:themeTint="F2"/>
          <w:sz w:val="22"/>
          <w:szCs w:val="22"/>
        </w:rPr>
      </w:pPr>
    </w:p>
    <w:p w14:paraId="301DF7FF" w14:textId="77777777" w:rsidR="00337DE5" w:rsidRPr="00506990" w:rsidRDefault="00337DE5" w:rsidP="00337DE5">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Para mayor información puede consultarse la página web de Rosfid: </w:t>
      </w:r>
      <w:hyperlink r:id="rId25" w:history="1">
        <w:r w:rsidRPr="00506990">
          <w:rPr>
            <w:rFonts w:ascii="Times New Roman" w:eastAsia="MS Mincho" w:hAnsi="Times New Roman" w:cs="Times New Roman"/>
            <w:color w:val="0D0D0D" w:themeColor="text1" w:themeTint="F2"/>
            <w:sz w:val="22"/>
            <w:szCs w:val="22"/>
          </w:rPr>
          <w:t>www.rosfid.com.ar</w:t>
        </w:r>
      </w:hyperlink>
    </w:p>
    <w:p w14:paraId="08BFCD0E" w14:textId="77777777" w:rsidR="00BD6597" w:rsidRPr="00506990" w:rsidRDefault="00BD6597" w:rsidP="00337DE5">
      <w:pPr>
        <w:rPr>
          <w:rFonts w:ascii="Times New Roman" w:eastAsia="MS Mincho" w:hAnsi="Times New Roman" w:cs="Times New Roman"/>
          <w:color w:val="0D0D0D" w:themeColor="text1" w:themeTint="F2"/>
          <w:sz w:val="22"/>
          <w:szCs w:val="22"/>
        </w:rPr>
      </w:pPr>
    </w:p>
    <w:p w14:paraId="412A3647" w14:textId="77777777" w:rsidR="00337DE5" w:rsidRPr="00506990" w:rsidRDefault="00337DE5" w:rsidP="00337DE5">
      <w:pPr>
        <w:rPr>
          <w:rFonts w:ascii="Times New Roman" w:hAnsi="Times New Roman" w:cs="Times New Roman"/>
          <w:color w:val="0D0D0D" w:themeColor="text1" w:themeTint="F2"/>
          <w:sz w:val="22"/>
          <w:szCs w:val="22"/>
        </w:rPr>
      </w:pPr>
    </w:p>
    <w:p w14:paraId="0B71115F" w14:textId="5C595F89" w:rsidR="00337DE5" w:rsidRPr="00506990" w:rsidRDefault="009A41AC"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 xml:space="preserve">Gestión </w:t>
      </w:r>
      <w:r w:rsidR="00994641">
        <w:rPr>
          <w:rFonts w:ascii="Times New Roman" w:hAnsi="Times New Roman" w:cs="Times New Roman"/>
          <w:color w:val="0D0D0D" w:themeColor="text1" w:themeTint="F2"/>
          <w:sz w:val="22"/>
          <w:szCs w:val="22"/>
          <w:u w:val="single"/>
        </w:rPr>
        <w:t>d</w:t>
      </w:r>
      <w:r w:rsidRPr="00506990">
        <w:rPr>
          <w:rFonts w:ascii="Times New Roman" w:hAnsi="Times New Roman" w:cs="Times New Roman"/>
          <w:color w:val="0D0D0D" w:themeColor="text1" w:themeTint="F2"/>
          <w:sz w:val="22"/>
          <w:szCs w:val="22"/>
          <w:u w:val="single"/>
        </w:rPr>
        <w:t>e Rosfid</w:t>
      </w:r>
    </w:p>
    <w:p w14:paraId="0BB4193F" w14:textId="77777777" w:rsidR="00337DE5" w:rsidRPr="00506990" w:rsidRDefault="00337DE5" w:rsidP="00337DE5">
      <w:pPr>
        <w:rPr>
          <w:rFonts w:ascii="Times New Roman" w:hAnsi="Times New Roman" w:cs="Times New Roman"/>
          <w:color w:val="0D0D0D" w:themeColor="text1" w:themeTint="F2"/>
          <w:sz w:val="22"/>
          <w:szCs w:val="22"/>
          <w:u w:val="single"/>
        </w:rPr>
      </w:pPr>
    </w:p>
    <w:p w14:paraId="17392E0D" w14:textId="77777777" w:rsidR="00337DE5" w:rsidRPr="00506990" w:rsidRDefault="00337DE5" w:rsidP="00337DE5">
      <w:pP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Rosfid tiene por principal objeto dedicarse por cuenta propia, de terceros o asociada a terceros, tanto en el país como  en el exterior, a actuar como Fiduciario, administrando todo tipo de fideicomisos en los términos de la Ley 24.441 y el Capítulo 30 del Título IV</w:t>
      </w:r>
      <w:r w:rsidR="00A44C40" w:rsidRPr="00506990">
        <w:rPr>
          <w:rFonts w:ascii="Times New Roman" w:hAnsi="Times New Roman" w:cs="Times New Roman"/>
          <w:color w:val="0D0D0D" w:themeColor="text1" w:themeTint="F2"/>
          <w:sz w:val="22"/>
          <w:szCs w:val="22"/>
        </w:rPr>
        <w:t xml:space="preserve"> del Libro Tercero</w:t>
      </w:r>
      <w:r w:rsidRPr="00506990">
        <w:rPr>
          <w:rFonts w:ascii="Times New Roman" w:hAnsi="Times New Roman" w:cs="Times New Roman"/>
          <w:color w:val="0D0D0D" w:themeColor="text1" w:themeTint="F2"/>
          <w:sz w:val="22"/>
          <w:szCs w:val="22"/>
        </w:rPr>
        <w:t xml:space="preserve"> del Código Civil y Comercial de la Nación. Su Misión es acercar al Mercado de Capitales a las organizaciones con necesidades de financiamiento que cuenten con planes de crecimiento y desarrollo, y poder brindarle a los inversores, alternativas de inversión seguras y rentables.</w:t>
      </w:r>
    </w:p>
    <w:p w14:paraId="07A869FD" w14:textId="77777777" w:rsidR="00337DE5" w:rsidRPr="00506990" w:rsidRDefault="00337DE5" w:rsidP="00337DE5">
      <w:pPr>
        <w:rPr>
          <w:rFonts w:ascii="Times New Roman" w:hAnsi="Times New Roman" w:cs="Times New Roman"/>
          <w:color w:val="0D0D0D" w:themeColor="text1" w:themeTint="F2"/>
          <w:sz w:val="22"/>
          <w:szCs w:val="22"/>
        </w:rPr>
      </w:pPr>
    </w:p>
    <w:p w14:paraId="62F6CA67"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Desde su nacimiento la empresa ha experimentado un crecimiento sostenido aportando al desarrollo de financiación de empresas a través del mercado de capitales que se ha visto reflejado en el aumento del valor nominal del Programa Global de Valores Fiduciarios ROSFID, que en su origen fue de $ 50.000.000 (pesos cincuenta millones) hasta alcanzar los $750.000.000 (pesos setecientos cincuenta millones).</w:t>
      </w:r>
    </w:p>
    <w:p w14:paraId="30BFB3CD" w14:textId="77777777" w:rsidR="00337DE5" w:rsidRPr="00506990" w:rsidRDefault="00337DE5" w:rsidP="00337DE5">
      <w:pPr>
        <w:rPr>
          <w:rFonts w:ascii="Times New Roman" w:hAnsi="Times New Roman" w:cs="Times New Roman"/>
          <w:color w:val="0D0D0D" w:themeColor="text1" w:themeTint="F2"/>
          <w:sz w:val="22"/>
          <w:szCs w:val="22"/>
        </w:rPr>
      </w:pPr>
    </w:p>
    <w:p w14:paraId="456185E8" w14:textId="02CB1F41"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Actualmente posee </w:t>
      </w:r>
      <w:r w:rsidR="008B4722" w:rsidRPr="00506990">
        <w:rPr>
          <w:rFonts w:ascii="Times New Roman" w:hAnsi="Times New Roman" w:cs="Times New Roman"/>
          <w:color w:val="0D0D0D" w:themeColor="text1" w:themeTint="F2"/>
          <w:sz w:val="22"/>
          <w:szCs w:val="22"/>
        </w:rPr>
        <w:t>los siguientes</w:t>
      </w:r>
      <w:r w:rsidRPr="00506990">
        <w:rPr>
          <w:rFonts w:ascii="Times New Roman" w:hAnsi="Times New Roman" w:cs="Times New Roman"/>
          <w:color w:val="0D0D0D" w:themeColor="text1" w:themeTint="F2"/>
          <w:sz w:val="22"/>
          <w:szCs w:val="22"/>
        </w:rPr>
        <w:t xml:space="preserve"> Programas Globales autorizados por la Comisión Nacional de Valores: Programa Global de Valores Fiduciarios Rosfid Pyme, por hasta un V/N de </w:t>
      </w:r>
      <w:r w:rsidR="005349D2">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w:t>
      </w:r>
      <w:r w:rsidR="005349D2">
        <w:rPr>
          <w:rFonts w:ascii="Times New Roman" w:hAnsi="Times New Roman" w:cs="Times New Roman"/>
          <w:color w:val="0D0D0D" w:themeColor="text1" w:themeTint="F2"/>
          <w:sz w:val="22"/>
          <w:szCs w:val="22"/>
        </w:rPr>
        <w:t>2</w:t>
      </w:r>
      <w:r w:rsidRPr="00506990">
        <w:rPr>
          <w:rFonts w:ascii="Times New Roman" w:hAnsi="Times New Roman" w:cs="Times New Roman"/>
          <w:color w:val="0D0D0D" w:themeColor="text1" w:themeTint="F2"/>
          <w:sz w:val="22"/>
          <w:szCs w:val="22"/>
        </w:rPr>
        <w:t>0.000.000.- (</w:t>
      </w:r>
      <w:r w:rsidR="005349D2" w:rsidRPr="00506990">
        <w:rPr>
          <w:rFonts w:ascii="Times New Roman" w:hAnsi="Times New Roman" w:cs="Times New Roman"/>
          <w:color w:val="0D0D0D" w:themeColor="text1" w:themeTint="F2"/>
          <w:sz w:val="22"/>
          <w:szCs w:val="22"/>
        </w:rPr>
        <w:t xml:space="preserve">dólares estadounidenses </w:t>
      </w:r>
      <w:r w:rsidR="005349D2">
        <w:rPr>
          <w:rFonts w:ascii="Times New Roman" w:hAnsi="Times New Roman" w:cs="Times New Roman"/>
          <w:color w:val="0D0D0D" w:themeColor="text1" w:themeTint="F2"/>
          <w:sz w:val="22"/>
          <w:szCs w:val="22"/>
        </w:rPr>
        <w:t xml:space="preserve">veinte </w:t>
      </w:r>
      <w:r w:rsidRPr="00506990">
        <w:rPr>
          <w:rFonts w:ascii="Times New Roman" w:hAnsi="Times New Roman" w:cs="Times New Roman"/>
          <w:color w:val="0D0D0D" w:themeColor="text1" w:themeTint="F2"/>
          <w:sz w:val="22"/>
          <w:szCs w:val="22"/>
        </w:rPr>
        <w:t xml:space="preserve">millones) o su equivalente en otras monedas, Programa Global de Valores Fiduciarios “Metalfor”, por hasta un V/N de U$S 30.000.000.- (dólares estadounidenses treinta millones ) o su equivalente en otras monedas, </w:t>
      </w:r>
      <w:r w:rsidR="000833AF" w:rsidRPr="00506990">
        <w:rPr>
          <w:rFonts w:ascii="Times New Roman" w:hAnsi="Times New Roman" w:cs="Times New Roman"/>
          <w:color w:val="0D0D0D" w:themeColor="text1" w:themeTint="F2"/>
          <w:sz w:val="22"/>
          <w:szCs w:val="22"/>
        </w:rPr>
        <w:t>o su equivalente en otras monedas</w:t>
      </w:r>
      <w:r w:rsidR="002B48F2" w:rsidRPr="00506990">
        <w:rPr>
          <w:rFonts w:ascii="Times New Roman" w:hAnsi="Times New Roman" w:cs="Times New Roman"/>
          <w:color w:val="0D0D0D" w:themeColor="text1" w:themeTint="F2"/>
          <w:sz w:val="22"/>
          <w:szCs w:val="22"/>
        </w:rPr>
        <w:t xml:space="preserve"> ;  Programa Global de Valores Fiduciarios “FIDUCAR II”, por hasta V/N U$S 25.000.000.- (Dólares Estadounidenses veinticinco millones) (o su equivalente en otras monedas)</w:t>
      </w:r>
      <w:r w:rsidR="00A40251">
        <w:rPr>
          <w:rFonts w:ascii="Times New Roman" w:hAnsi="Times New Roman" w:cs="Times New Roman"/>
          <w:color w:val="0D0D0D" w:themeColor="text1" w:themeTint="F2"/>
          <w:sz w:val="22"/>
          <w:szCs w:val="22"/>
        </w:rPr>
        <w:t>,</w:t>
      </w:r>
      <w:r w:rsidR="002D57D8" w:rsidRPr="00506990">
        <w:rPr>
          <w:rFonts w:ascii="Times New Roman" w:hAnsi="Times New Roman" w:cs="Times New Roman"/>
          <w:color w:val="0D0D0D" w:themeColor="text1" w:themeTint="F2"/>
          <w:sz w:val="22"/>
          <w:szCs w:val="22"/>
        </w:rPr>
        <w:t xml:space="preserve"> Programa Global de Valores Fiduciarios “MIS”, por hasta V/N U$S 45.000.000.- (Dólares Estadounidenses cuarenta y cinco millones) (o su equivalente en otras monedas)</w:t>
      </w:r>
      <w:r w:rsidR="005349D2">
        <w:rPr>
          <w:rFonts w:ascii="Times New Roman" w:hAnsi="Times New Roman" w:cs="Times New Roman"/>
          <w:color w:val="0D0D0D" w:themeColor="text1" w:themeTint="F2"/>
          <w:sz w:val="22"/>
          <w:szCs w:val="22"/>
        </w:rPr>
        <w:t>;</w:t>
      </w:r>
      <w:r w:rsidR="00FF3C64">
        <w:rPr>
          <w:rFonts w:ascii="Times New Roman" w:hAnsi="Times New Roman" w:cs="Times New Roman"/>
          <w:color w:val="0D0D0D" w:themeColor="text1" w:themeTint="F2"/>
          <w:sz w:val="22"/>
          <w:szCs w:val="22"/>
        </w:rPr>
        <w:t xml:space="preserve"> </w:t>
      </w:r>
      <w:r w:rsidR="00FF3C64" w:rsidRPr="00FF3C64">
        <w:rPr>
          <w:rFonts w:ascii="Times New Roman" w:hAnsi="Times New Roman" w:cs="Times New Roman"/>
          <w:color w:val="0D0D0D" w:themeColor="text1" w:themeTint="F2"/>
          <w:sz w:val="22"/>
          <w:szCs w:val="22"/>
        </w:rPr>
        <w:t>“Programa Global de Valores Fiduciarios PLATA YA” por hasta un V/N  USD 10.000.000.- (Dólares Estadounidenses diez millones) o su equivalente en otras monedas</w:t>
      </w:r>
      <w:r w:rsidR="00A9046E">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 xml:space="preserve"> </w:t>
      </w:r>
      <w:r w:rsidR="00A9046E" w:rsidRPr="00A9046E">
        <w:rPr>
          <w:rFonts w:ascii="Times New Roman" w:hAnsi="Times New Roman" w:cs="Times New Roman"/>
          <w:color w:val="0D0D0D" w:themeColor="text1" w:themeTint="F2"/>
          <w:sz w:val="22"/>
          <w:szCs w:val="22"/>
        </w:rPr>
        <w:t xml:space="preserve">“Programa Global de Valores Fiduciarios FÉRTIL </w:t>
      </w:r>
      <w:r w:rsidR="00A9046E" w:rsidRPr="00A9046E">
        <w:rPr>
          <w:rFonts w:ascii="Times New Roman" w:hAnsi="Times New Roman" w:cs="Times New Roman"/>
          <w:color w:val="0D0D0D" w:themeColor="text1" w:themeTint="F2"/>
          <w:sz w:val="22"/>
          <w:szCs w:val="22"/>
        </w:rPr>
        <w:lastRenderedPageBreak/>
        <w:t>FINANZAS” por hasta un V/N  USD 10.000.000.- (Dólares Estadounidenses diez millones) o su equivalente en otras monedas</w:t>
      </w:r>
      <w:r w:rsidR="002038C7">
        <w:rPr>
          <w:rFonts w:ascii="Times New Roman" w:hAnsi="Times New Roman" w:cs="Times New Roman"/>
          <w:color w:val="0D0D0D" w:themeColor="text1" w:themeTint="F2"/>
          <w:sz w:val="22"/>
          <w:szCs w:val="22"/>
        </w:rPr>
        <w:t>,</w:t>
      </w:r>
      <w:r w:rsidR="00A9046E" w:rsidRPr="00A9046E">
        <w:rPr>
          <w:rFonts w:ascii="Times New Roman" w:hAnsi="Times New Roman" w:cs="Times New Roman"/>
          <w:color w:val="0D0D0D" w:themeColor="text1" w:themeTint="F2"/>
          <w:sz w:val="22"/>
          <w:szCs w:val="22"/>
        </w:rPr>
        <w:t xml:space="preserve"> “Programa Global de Valores Fiduciarios AMAUTA AGRO” por hasta un V/N  USD 40.000.000.- (Dólares Estadounidenses cuarenta millones) o su equivalente en otras monedas</w:t>
      </w:r>
      <w:r w:rsidR="001E54EB">
        <w:rPr>
          <w:rFonts w:ascii="Times New Roman" w:hAnsi="Times New Roman" w:cs="Times New Roman"/>
          <w:color w:val="0D0D0D" w:themeColor="text1" w:themeTint="F2"/>
          <w:sz w:val="22"/>
          <w:szCs w:val="22"/>
        </w:rPr>
        <w:t>,</w:t>
      </w:r>
      <w:r w:rsidR="002038C7">
        <w:rPr>
          <w:rFonts w:ascii="Times New Roman" w:hAnsi="Times New Roman" w:cs="Times New Roman"/>
          <w:color w:val="0D0D0D" w:themeColor="text1" w:themeTint="F2"/>
          <w:sz w:val="22"/>
          <w:szCs w:val="22"/>
        </w:rPr>
        <w:t xml:space="preserve">  </w:t>
      </w:r>
      <w:r w:rsidR="002038C7" w:rsidRPr="00A9046E">
        <w:rPr>
          <w:rFonts w:ascii="Times New Roman" w:hAnsi="Times New Roman" w:cs="Times New Roman"/>
          <w:color w:val="0D0D0D" w:themeColor="text1" w:themeTint="F2"/>
          <w:sz w:val="22"/>
          <w:szCs w:val="22"/>
        </w:rPr>
        <w:t xml:space="preserve">“Programa Global de Valores Fiduciarios </w:t>
      </w:r>
      <w:r w:rsidR="002038C7">
        <w:rPr>
          <w:rFonts w:ascii="Times New Roman" w:hAnsi="Times New Roman" w:cs="Times New Roman"/>
          <w:color w:val="0D0D0D" w:themeColor="text1" w:themeTint="F2"/>
          <w:sz w:val="22"/>
          <w:szCs w:val="22"/>
        </w:rPr>
        <w:t>SPEED</w:t>
      </w:r>
      <w:r w:rsidR="002038C7" w:rsidRPr="00A9046E">
        <w:rPr>
          <w:rFonts w:ascii="Times New Roman" w:hAnsi="Times New Roman" w:cs="Times New Roman"/>
          <w:color w:val="0D0D0D" w:themeColor="text1" w:themeTint="F2"/>
          <w:sz w:val="22"/>
          <w:szCs w:val="22"/>
        </w:rPr>
        <w:t xml:space="preserve">AGRO” por hasta un V/N  USD </w:t>
      </w:r>
      <w:r w:rsidR="002038C7">
        <w:rPr>
          <w:rFonts w:ascii="Times New Roman" w:hAnsi="Times New Roman" w:cs="Times New Roman"/>
          <w:color w:val="0D0D0D" w:themeColor="text1" w:themeTint="F2"/>
          <w:sz w:val="22"/>
          <w:szCs w:val="22"/>
        </w:rPr>
        <w:t>15</w:t>
      </w:r>
      <w:r w:rsidR="002038C7" w:rsidRPr="00A9046E">
        <w:rPr>
          <w:rFonts w:ascii="Times New Roman" w:hAnsi="Times New Roman" w:cs="Times New Roman"/>
          <w:color w:val="0D0D0D" w:themeColor="text1" w:themeTint="F2"/>
          <w:sz w:val="22"/>
          <w:szCs w:val="22"/>
        </w:rPr>
        <w:t xml:space="preserve">.000.000.- (Dólares Estadounidenses </w:t>
      </w:r>
      <w:r w:rsidR="002038C7">
        <w:rPr>
          <w:rFonts w:ascii="Times New Roman" w:hAnsi="Times New Roman" w:cs="Times New Roman"/>
          <w:color w:val="0D0D0D" w:themeColor="text1" w:themeTint="F2"/>
          <w:sz w:val="22"/>
          <w:szCs w:val="22"/>
        </w:rPr>
        <w:t>quince</w:t>
      </w:r>
      <w:r w:rsidR="002038C7" w:rsidRPr="00A9046E">
        <w:rPr>
          <w:rFonts w:ascii="Times New Roman" w:hAnsi="Times New Roman" w:cs="Times New Roman"/>
          <w:color w:val="0D0D0D" w:themeColor="text1" w:themeTint="F2"/>
          <w:sz w:val="22"/>
          <w:szCs w:val="22"/>
        </w:rPr>
        <w:t xml:space="preserve"> millones) o su equivalente en otras monedas</w:t>
      </w:r>
      <w:r w:rsidR="009F2F3C">
        <w:rPr>
          <w:rFonts w:ascii="Times New Roman" w:hAnsi="Times New Roman" w:cs="Times New Roman"/>
          <w:color w:val="0D0D0D" w:themeColor="text1" w:themeTint="F2"/>
          <w:sz w:val="22"/>
          <w:szCs w:val="22"/>
        </w:rPr>
        <w:t>,</w:t>
      </w:r>
      <w:r w:rsidR="001E54EB">
        <w:rPr>
          <w:rFonts w:ascii="Times New Roman" w:hAnsi="Times New Roman" w:cs="Times New Roman"/>
          <w:color w:val="0D0D0D" w:themeColor="text1" w:themeTint="F2"/>
          <w:sz w:val="22"/>
          <w:szCs w:val="22"/>
        </w:rPr>
        <w:t xml:space="preserve"> </w:t>
      </w:r>
      <w:r w:rsidR="001E54EB" w:rsidRPr="00A9046E">
        <w:rPr>
          <w:rFonts w:ascii="Times New Roman" w:hAnsi="Times New Roman" w:cs="Times New Roman"/>
          <w:color w:val="0D0D0D" w:themeColor="text1" w:themeTint="F2"/>
          <w:sz w:val="22"/>
          <w:szCs w:val="22"/>
        </w:rPr>
        <w:t xml:space="preserve">“Programa Global de Valores Fiduciarios </w:t>
      </w:r>
      <w:r w:rsidR="001E54EB">
        <w:rPr>
          <w:rFonts w:ascii="Times New Roman" w:hAnsi="Times New Roman" w:cs="Times New Roman"/>
          <w:color w:val="0D0D0D" w:themeColor="text1" w:themeTint="F2"/>
          <w:sz w:val="22"/>
          <w:szCs w:val="22"/>
        </w:rPr>
        <w:t>BOGLICH</w:t>
      </w:r>
      <w:r w:rsidR="001E54EB" w:rsidRPr="00A9046E">
        <w:rPr>
          <w:rFonts w:ascii="Times New Roman" w:hAnsi="Times New Roman" w:cs="Times New Roman"/>
          <w:color w:val="0D0D0D" w:themeColor="text1" w:themeTint="F2"/>
          <w:sz w:val="22"/>
          <w:szCs w:val="22"/>
        </w:rPr>
        <w:t xml:space="preserve">” por hasta un V/N  USD </w:t>
      </w:r>
      <w:r w:rsidR="001E54EB">
        <w:rPr>
          <w:rFonts w:ascii="Times New Roman" w:hAnsi="Times New Roman" w:cs="Times New Roman"/>
          <w:color w:val="0D0D0D" w:themeColor="text1" w:themeTint="F2"/>
          <w:sz w:val="22"/>
          <w:szCs w:val="22"/>
        </w:rPr>
        <w:t>12</w:t>
      </w:r>
      <w:r w:rsidR="001E54EB" w:rsidRPr="00A9046E">
        <w:rPr>
          <w:rFonts w:ascii="Times New Roman" w:hAnsi="Times New Roman" w:cs="Times New Roman"/>
          <w:color w:val="0D0D0D" w:themeColor="text1" w:themeTint="F2"/>
          <w:sz w:val="22"/>
          <w:szCs w:val="22"/>
        </w:rPr>
        <w:t xml:space="preserve">.000.000.- (Dólares Estadounidenses </w:t>
      </w:r>
      <w:r w:rsidR="001E54EB">
        <w:rPr>
          <w:rFonts w:ascii="Times New Roman" w:hAnsi="Times New Roman" w:cs="Times New Roman"/>
          <w:color w:val="0D0D0D" w:themeColor="text1" w:themeTint="F2"/>
          <w:sz w:val="22"/>
          <w:szCs w:val="22"/>
        </w:rPr>
        <w:t>doce</w:t>
      </w:r>
      <w:r w:rsidR="001E54EB" w:rsidRPr="00A9046E">
        <w:rPr>
          <w:rFonts w:ascii="Times New Roman" w:hAnsi="Times New Roman" w:cs="Times New Roman"/>
          <w:color w:val="0D0D0D" w:themeColor="text1" w:themeTint="F2"/>
          <w:sz w:val="22"/>
          <w:szCs w:val="22"/>
        </w:rPr>
        <w:t xml:space="preserve"> millones) o su equivalente en otras monedas</w:t>
      </w:r>
      <w:r w:rsidR="009F2F3C">
        <w:rPr>
          <w:rFonts w:ascii="Times New Roman" w:hAnsi="Times New Roman" w:cs="Times New Roman"/>
          <w:color w:val="0D0D0D" w:themeColor="text1" w:themeTint="F2"/>
          <w:sz w:val="22"/>
          <w:szCs w:val="22"/>
        </w:rPr>
        <w:t xml:space="preserve">, </w:t>
      </w:r>
      <w:r w:rsidR="009F2F3C" w:rsidRPr="009F2F3C">
        <w:rPr>
          <w:rFonts w:ascii="Times New Roman" w:hAnsi="Times New Roman" w:cs="Times New Roman"/>
          <w:color w:val="0D0D0D" w:themeColor="text1" w:themeTint="F2"/>
          <w:sz w:val="22"/>
          <w:szCs w:val="22"/>
        </w:rPr>
        <w:t>Programa de Valores Fiduciarios “RURALCO” por hasta V/N U$S 40.000.000 (o su equivalente en otras monedas)</w:t>
      </w:r>
      <w:r w:rsidR="00153BAC">
        <w:rPr>
          <w:rFonts w:ascii="Times New Roman" w:hAnsi="Times New Roman" w:cs="Times New Roman"/>
          <w:color w:val="0D0D0D" w:themeColor="text1" w:themeTint="F2"/>
          <w:sz w:val="22"/>
          <w:szCs w:val="22"/>
        </w:rPr>
        <w:t>,</w:t>
      </w:r>
      <w:r w:rsidR="003551C4">
        <w:rPr>
          <w:rFonts w:ascii="Times New Roman" w:hAnsi="Times New Roman" w:cs="Times New Roman"/>
          <w:color w:val="0D0D0D" w:themeColor="text1" w:themeTint="F2"/>
          <w:sz w:val="22"/>
          <w:szCs w:val="22"/>
        </w:rPr>
        <w:t xml:space="preserve"> </w:t>
      </w:r>
      <w:r w:rsidR="003551C4" w:rsidRPr="009F2F3C">
        <w:rPr>
          <w:rFonts w:ascii="Times New Roman" w:hAnsi="Times New Roman" w:cs="Times New Roman"/>
          <w:color w:val="0D0D0D" w:themeColor="text1" w:themeTint="F2"/>
          <w:sz w:val="22"/>
          <w:szCs w:val="22"/>
        </w:rPr>
        <w:t>Programa de Valores Fiduciarios “</w:t>
      </w:r>
      <w:r w:rsidR="003551C4">
        <w:rPr>
          <w:rFonts w:ascii="Times New Roman" w:hAnsi="Times New Roman" w:cs="Times New Roman"/>
          <w:color w:val="0D0D0D" w:themeColor="text1" w:themeTint="F2"/>
          <w:sz w:val="22"/>
          <w:szCs w:val="22"/>
        </w:rPr>
        <w:t>INSUAGRO</w:t>
      </w:r>
      <w:r w:rsidR="003551C4" w:rsidRPr="009F2F3C">
        <w:rPr>
          <w:rFonts w:ascii="Times New Roman" w:hAnsi="Times New Roman" w:cs="Times New Roman"/>
          <w:color w:val="0D0D0D" w:themeColor="text1" w:themeTint="F2"/>
          <w:sz w:val="22"/>
          <w:szCs w:val="22"/>
        </w:rPr>
        <w:t xml:space="preserve">” por hasta V/N U$S </w:t>
      </w:r>
      <w:r w:rsidR="003551C4">
        <w:rPr>
          <w:rFonts w:ascii="Times New Roman" w:hAnsi="Times New Roman" w:cs="Times New Roman"/>
          <w:color w:val="0D0D0D" w:themeColor="text1" w:themeTint="F2"/>
          <w:sz w:val="22"/>
          <w:szCs w:val="22"/>
        </w:rPr>
        <w:t>28</w:t>
      </w:r>
      <w:r w:rsidR="003551C4" w:rsidRPr="009F2F3C">
        <w:rPr>
          <w:rFonts w:ascii="Times New Roman" w:hAnsi="Times New Roman" w:cs="Times New Roman"/>
          <w:color w:val="0D0D0D" w:themeColor="text1" w:themeTint="F2"/>
          <w:sz w:val="22"/>
          <w:szCs w:val="22"/>
        </w:rPr>
        <w:t>.000.000 (o su equivalente en otras monedas)</w:t>
      </w:r>
      <w:r w:rsidR="00DB4AB6">
        <w:rPr>
          <w:rFonts w:ascii="Times New Roman" w:hAnsi="Times New Roman" w:cs="Times New Roman"/>
          <w:color w:val="0D0D0D" w:themeColor="text1" w:themeTint="F2"/>
          <w:sz w:val="22"/>
          <w:szCs w:val="22"/>
        </w:rPr>
        <w:t>,</w:t>
      </w:r>
      <w:r w:rsidR="00153BAC">
        <w:rPr>
          <w:rFonts w:ascii="Times New Roman" w:hAnsi="Times New Roman" w:cs="Times New Roman"/>
          <w:color w:val="0D0D0D" w:themeColor="text1" w:themeTint="F2"/>
          <w:sz w:val="22"/>
          <w:szCs w:val="22"/>
        </w:rPr>
        <w:t xml:space="preserve"> </w:t>
      </w:r>
      <w:r w:rsidR="00153BAC" w:rsidRPr="009F2F3C">
        <w:rPr>
          <w:rFonts w:ascii="Times New Roman" w:hAnsi="Times New Roman" w:cs="Times New Roman"/>
          <w:color w:val="0D0D0D" w:themeColor="text1" w:themeTint="F2"/>
          <w:sz w:val="22"/>
          <w:szCs w:val="22"/>
        </w:rPr>
        <w:t>Programa de Valores Fiduciarios “</w:t>
      </w:r>
      <w:r w:rsidR="00153BAC">
        <w:rPr>
          <w:rFonts w:ascii="Times New Roman" w:hAnsi="Times New Roman" w:cs="Times New Roman"/>
          <w:color w:val="0D0D0D" w:themeColor="text1" w:themeTint="F2"/>
          <w:sz w:val="22"/>
          <w:szCs w:val="22"/>
        </w:rPr>
        <w:t>RIZOBACTER</w:t>
      </w:r>
      <w:r w:rsidR="00153BAC" w:rsidRPr="009F2F3C">
        <w:rPr>
          <w:rFonts w:ascii="Times New Roman" w:hAnsi="Times New Roman" w:cs="Times New Roman"/>
          <w:color w:val="0D0D0D" w:themeColor="text1" w:themeTint="F2"/>
          <w:sz w:val="22"/>
          <w:szCs w:val="22"/>
        </w:rPr>
        <w:t xml:space="preserve">” por hasta V/N U$S </w:t>
      </w:r>
      <w:r w:rsidR="00153BAC">
        <w:rPr>
          <w:rFonts w:ascii="Times New Roman" w:hAnsi="Times New Roman" w:cs="Times New Roman"/>
          <w:color w:val="0D0D0D" w:themeColor="text1" w:themeTint="F2"/>
          <w:sz w:val="22"/>
          <w:szCs w:val="22"/>
        </w:rPr>
        <w:t>40</w:t>
      </w:r>
      <w:r w:rsidR="00153BAC" w:rsidRPr="009F2F3C">
        <w:rPr>
          <w:rFonts w:ascii="Times New Roman" w:hAnsi="Times New Roman" w:cs="Times New Roman"/>
          <w:color w:val="0D0D0D" w:themeColor="text1" w:themeTint="F2"/>
          <w:sz w:val="22"/>
          <w:szCs w:val="22"/>
        </w:rPr>
        <w:t>.000.000 (o su equivalente en otras monedas)</w:t>
      </w:r>
      <w:r w:rsidR="00D33525">
        <w:rPr>
          <w:rFonts w:ascii="Times New Roman" w:hAnsi="Times New Roman" w:cs="Times New Roman"/>
          <w:color w:val="0D0D0D" w:themeColor="text1" w:themeTint="F2"/>
          <w:sz w:val="22"/>
          <w:szCs w:val="22"/>
        </w:rPr>
        <w:t>,</w:t>
      </w:r>
      <w:r w:rsidR="00DB4AB6">
        <w:rPr>
          <w:rFonts w:ascii="Times New Roman" w:hAnsi="Times New Roman" w:cs="Times New Roman"/>
          <w:color w:val="0D0D0D" w:themeColor="text1" w:themeTint="F2"/>
          <w:sz w:val="22"/>
          <w:szCs w:val="22"/>
        </w:rPr>
        <w:t xml:space="preserve"> </w:t>
      </w:r>
      <w:r w:rsidR="00DB4AB6" w:rsidRPr="009F2F3C">
        <w:rPr>
          <w:rFonts w:ascii="Times New Roman" w:hAnsi="Times New Roman" w:cs="Times New Roman"/>
          <w:color w:val="0D0D0D" w:themeColor="text1" w:themeTint="F2"/>
          <w:sz w:val="22"/>
          <w:szCs w:val="22"/>
        </w:rPr>
        <w:t>Programa de Valores Fiduciarios “</w:t>
      </w:r>
      <w:r w:rsidR="00DB4AB6">
        <w:rPr>
          <w:rFonts w:ascii="Times New Roman" w:hAnsi="Times New Roman" w:cs="Times New Roman"/>
          <w:color w:val="0D0D0D" w:themeColor="text1" w:themeTint="F2"/>
          <w:sz w:val="22"/>
          <w:szCs w:val="22"/>
        </w:rPr>
        <w:t>VENTURINO” por hasta V/N U$S10</w:t>
      </w:r>
      <w:r w:rsidR="00DB4AB6" w:rsidRPr="009F2F3C">
        <w:rPr>
          <w:rFonts w:ascii="Times New Roman" w:hAnsi="Times New Roman" w:cs="Times New Roman"/>
          <w:color w:val="0D0D0D" w:themeColor="text1" w:themeTint="F2"/>
          <w:sz w:val="22"/>
          <w:szCs w:val="22"/>
        </w:rPr>
        <w:t>.000.000 (o su equivalente en otras monedas)</w:t>
      </w:r>
      <w:r w:rsidR="00D33525">
        <w:rPr>
          <w:rFonts w:ascii="Times New Roman" w:hAnsi="Times New Roman" w:cs="Times New Roman"/>
          <w:color w:val="0D0D0D" w:themeColor="text1" w:themeTint="F2"/>
          <w:sz w:val="22"/>
          <w:szCs w:val="22"/>
        </w:rPr>
        <w:t xml:space="preserve"> </w:t>
      </w:r>
      <w:r w:rsidR="00111CA6">
        <w:rPr>
          <w:rFonts w:ascii="Times New Roman" w:hAnsi="Times New Roman" w:cs="Times New Roman"/>
          <w:color w:val="0D0D0D" w:themeColor="text1" w:themeTint="F2"/>
          <w:sz w:val="22"/>
          <w:szCs w:val="22"/>
        </w:rPr>
        <w:t xml:space="preserve">, </w:t>
      </w:r>
      <w:r w:rsidR="00D33525" w:rsidRPr="009F2F3C">
        <w:rPr>
          <w:rFonts w:ascii="Times New Roman" w:hAnsi="Times New Roman" w:cs="Times New Roman"/>
          <w:color w:val="0D0D0D" w:themeColor="text1" w:themeTint="F2"/>
          <w:sz w:val="22"/>
          <w:szCs w:val="22"/>
        </w:rPr>
        <w:t>Programa de Valores Fiduciarios “</w:t>
      </w:r>
      <w:r w:rsidR="00D33525">
        <w:rPr>
          <w:rFonts w:ascii="Times New Roman" w:hAnsi="Times New Roman" w:cs="Times New Roman"/>
          <w:color w:val="0D0D0D" w:themeColor="text1" w:themeTint="F2"/>
          <w:sz w:val="22"/>
          <w:szCs w:val="22"/>
        </w:rPr>
        <w:t>WENANCE” por hasta V/N U$S10</w:t>
      </w:r>
      <w:r w:rsidR="00D33525" w:rsidRPr="009F2F3C">
        <w:rPr>
          <w:rFonts w:ascii="Times New Roman" w:hAnsi="Times New Roman" w:cs="Times New Roman"/>
          <w:color w:val="0D0D0D" w:themeColor="text1" w:themeTint="F2"/>
          <w:sz w:val="22"/>
          <w:szCs w:val="22"/>
        </w:rPr>
        <w:t>.000.000 (o su equivalente en otras monedas)</w:t>
      </w:r>
      <w:r w:rsidR="00C05064">
        <w:rPr>
          <w:rFonts w:ascii="Times New Roman" w:hAnsi="Times New Roman" w:cs="Times New Roman"/>
          <w:color w:val="0D0D0D" w:themeColor="text1" w:themeTint="F2"/>
          <w:sz w:val="22"/>
          <w:szCs w:val="22"/>
        </w:rPr>
        <w:t>,</w:t>
      </w:r>
      <w:r w:rsidR="00111CA6">
        <w:rPr>
          <w:rFonts w:ascii="Times New Roman" w:hAnsi="Times New Roman" w:cs="Times New Roman"/>
          <w:color w:val="0D0D0D" w:themeColor="text1" w:themeTint="F2"/>
          <w:sz w:val="22"/>
          <w:szCs w:val="22"/>
        </w:rPr>
        <w:t xml:space="preserve"> Programa Global de Valores Fiduciarios “AGINCO” por hasta V/N U$S12.000.000 (Dólares estadounidenses doce millones) (o su equivalente en otras monedas)</w:t>
      </w:r>
      <w:r w:rsidR="00A25358">
        <w:rPr>
          <w:rFonts w:ascii="Times New Roman" w:hAnsi="Times New Roman" w:cs="Times New Roman"/>
          <w:color w:val="0D0D0D" w:themeColor="text1" w:themeTint="F2"/>
          <w:sz w:val="22"/>
          <w:szCs w:val="22"/>
        </w:rPr>
        <w:t>, Programa Global de Valores Fiduciarios “FINDO” por hasta V/N U$S12.000.000 (Dólares estadounidenses doce millones) (o su equivalente en otras monedas)</w:t>
      </w:r>
      <w:r w:rsidR="00460589">
        <w:rPr>
          <w:rFonts w:ascii="Times New Roman" w:hAnsi="Times New Roman" w:cs="Times New Roman"/>
          <w:color w:val="0D0D0D" w:themeColor="text1" w:themeTint="F2"/>
          <w:sz w:val="22"/>
          <w:szCs w:val="22"/>
        </w:rPr>
        <w:t>,</w:t>
      </w:r>
      <w:r w:rsidR="00C05064" w:rsidRPr="00C05064">
        <w:rPr>
          <w:rFonts w:ascii="Times New Roman" w:hAnsi="Times New Roman" w:cs="Times New Roman"/>
          <w:color w:val="0D0D0D" w:themeColor="text1" w:themeTint="F2"/>
          <w:sz w:val="22"/>
          <w:szCs w:val="22"/>
        </w:rPr>
        <w:t xml:space="preserve"> </w:t>
      </w:r>
      <w:r w:rsidR="00C05064" w:rsidRPr="00506990">
        <w:rPr>
          <w:rFonts w:ascii="Times New Roman" w:hAnsi="Times New Roman" w:cs="Times New Roman"/>
          <w:color w:val="0D0D0D" w:themeColor="text1" w:themeTint="F2"/>
          <w:sz w:val="22"/>
          <w:szCs w:val="22"/>
        </w:rPr>
        <w:t>Programa Global de Valores Fiduciarios “CONFIBONO</w:t>
      </w:r>
      <w:r w:rsidR="00C05064">
        <w:rPr>
          <w:rFonts w:ascii="Times New Roman" w:hAnsi="Times New Roman" w:cs="Times New Roman"/>
          <w:color w:val="0D0D0D" w:themeColor="text1" w:themeTint="F2"/>
          <w:sz w:val="22"/>
          <w:szCs w:val="22"/>
        </w:rPr>
        <w:t xml:space="preserve"> II</w:t>
      </w:r>
      <w:r w:rsidR="00C05064" w:rsidRPr="00506990">
        <w:rPr>
          <w:rFonts w:ascii="Times New Roman" w:hAnsi="Times New Roman" w:cs="Times New Roman"/>
          <w:color w:val="0D0D0D" w:themeColor="text1" w:themeTint="F2"/>
          <w:sz w:val="22"/>
          <w:szCs w:val="22"/>
        </w:rPr>
        <w:t>” para hasta V/N U$S 80.000.000 (dólares estadounidenses ochenta millones</w:t>
      </w:r>
      <w:r w:rsidR="00C05064" w:rsidRPr="00460589">
        <w:rPr>
          <w:rFonts w:ascii="Times New Roman" w:hAnsi="Times New Roman" w:cs="Times New Roman"/>
          <w:color w:val="0D0D0D" w:themeColor="text1" w:themeTint="F2"/>
          <w:sz w:val="22"/>
          <w:szCs w:val="22"/>
        </w:rPr>
        <w:t>)</w:t>
      </w:r>
      <w:r w:rsidR="006079F1">
        <w:rPr>
          <w:rFonts w:ascii="Times New Roman" w:hAnsi="Times New Roman" w:cs="Times New Roman"/>
          <w:color w:val="0D0D0D" w:themeColor="text1" w:themeTint="F2"/>
          <w:sz w:val="22"/>
          <w:szCs w:val="22"/>
        </w:rPr>
        <w:t>,</w:t>
      </w:r>
      <w:r w:rsidR="00460589" w:rsidRPr="00027B75">
        <w:rPr>
          <w:rFonts w:ascii="Times New Roman" w:hAnsi="Times New Roman" w:cs="Times New Roman"/>
          <w:color w:val="0D0D0D" w:themeColor="text1" w:themeTint="F2"/>
          <w:sz w:val="22"/>
          <w:szCs w:val="22"/>
        </w:rPr>
        <w:t xml:space="preserve"> Programa Global de Valores Fiduciarios “EMPRESUR” por hasta V/N </w:t>
      </w:r>
      <w:r w:rsidR="00460589">
        <w:rPr>
          <w:rFonts w:ascii="Times New Roman" w:hAnsi="Times New Roman" w:cs="Times New Roman"/>
          <w:color w:val="0D0D0D" w:themeColor="text1" w:themeTint="F2"/>
          <w:sz w:val="22"/>
          <w:szCs w:val="22"/>
        </w:rPr>
        <w:t xml:space="preserve">U$S </w:t>
      </w:r>
      <w:r w:rsidR="00460589" w:rsidRPr="00027B75">
        <w:rPr>
          <w:rFonts w:ascii="Times New Roman" w:hAnsi="Times New Roman" w:cs="Times New Roman"/>
          <w:color w:val="0D0D0D" w:themeColor="text1" w:themeTint="F2"/>
          <w:sz w:val="22"/>
          <w:szCs w:val="22"/>
        </w:rPr>
        <w:t>7.000.000 (dólares estadounidenses siete millones) o su equivalente en otras monedas</w:t>
      </w:r>
      <w:r w:rsidR="006079F1">
        <w:rPr>
          <w:rFonts w:ascii="Times New Roman" w:hAnsi="Times New Roman" w:cs="Times New Roman"/>
          <w:color w:val="0D0D0D" w:themeColor="text1" w:themeTint="F2"/>
          <w:sz w:val="22"/>
          <w:szCs w:val="22"/>
        </w:rPr>
        <w:t xml:space="preserve"> y </w:t>
      </w:r>
      <w:r w:rsidR="006079F1" w:rsidRPr="00027B75">
        <w:rPr>
          <w:rFonts w:ascii="Times New Roman" w:hAnsi="Times New Roman" w:cs="Times New Roman"/>
          <w:color w:val="0D0D0D" w:themeColor="text1" w:themeTint="F2"/>
          <w:sz w:val="22"/>
          <w:szCs w:val="22"/>
        </w:rPr>
        <w:t>Programa Global de Valores Fiduciarios “</w:t>
      </w:r>
      <w:r w:rsidR="006079F1">
        <w:rPr>
          <w:rFonts w:ascii="Times New Roman" w:hAnsi="Times New Roman" w:cs="Times New Roman"/>
          <w:color w:val="0D0D0D" w:themeColor="text1" w:themeTint="F2"/>
          <w:sz w:val="22"/>
          <w:szCs w:val="22"/>
        </w:rPr>
        <w:t>FINDESA</w:t>
      </w:r>
      <w:r w:rsidR="006079F1" w:rsidRPr="00027B75">
        <w:rPr>
          <w:rFonts w:ascii="Times New Roman" w:hAnsi="Times New Roman" w:cs="Times New Roman"/>
          <w:color w:val="0D0D0D" w:themeColor="text1" w:themeTint="F2"/>
          <w:sz w:val="22"/>
          <w:szCs w:val="22"/>
        </w:rPr>
        <w:t xml:space="preserve">” por hasta V/N </w:t>
      </w:r>
      <w:r w:rsidR="006079F1">
        <w:rPr>
          <w:rFonts w:ascii="Times New Roman" w:hAnsi="Times New Roman" w:cs="Times New Roman"/>
          <w:color w:val="0D0D0D" w:themeColor="text1" w:themeTint="F2"/>
          <w:sz w:val="22"/>
          <w:szCs w:val="22"/>
        </w:rPr>
        <w:t>U$S 15</w:t>
      </w:r>
      <w:r w:rsidR="006079F1" w:rsidRPr="00027B75">
        <w:rPr>
          <w:rFonts w:ascii="Times New Roman" w:hAnsi="Times New Roman" w:cs="Times New Roman"/>
          <w:color w:val="0D0D0D" w:themeColor="text1" w:themeTint="F2"/>
          <w:sz w:val="22"/>
          <w:szCs w:val="22"/>
        </w:rPr>
        <w:t xml:space="preserve">.000.000 (dólares estadounidenses </w:t>
      </w:r>
      <w:r w:rsidR="006079F1">
        <w:rPr>
          <w:rFonts w:ascii="Times New Roman" w:hAnsi="Times New Roman" w:cs="Times New Roman"/>
          <w:color w:val="0D0D0D" w:themeColor="text1" w:themeTint="F2"/>
          <w:sz w:val="22"/>
          <w:szCs w:val="22"/>
        </w:rPr>
        <w:t xml:space="preserve">quince </w:t>
      </w:r>
      <w:r w:rsidR="006079F1" w:rsidRPr="00027B75">
        <w:rPr>
          <w:rFonts w:ascii="Times New Roman" w:hAnsi="Times New Roman" w:cs="Times New Roman"/>
          <w:color w:val="0D0D0D" w:themeColor="text1" w:themeTint="F2"/>
          <w:sz w:val="22"/>
          <w:szCs w:val="22"/>
        </w:rPr>
        <w:t>millones) o su equivalente en otras monedas</w:t>
      </w:r>
      <w:r w:rsidR="001E54EB" w:rsidRPr="00A9046E">
        <w:rPr>
          <w:rFonts w:ascii="Times New Roman" w:hAnsi="Times New Roman" w:cs="Times New Roman"/>
          <w:color w:val="0D0D0D" w:themeColor="text1" w:themeTint="F2"/>
          <w:sz w:val="22"/>
          <w:szCs w:val="22"/>
        </w:rPr>
        <w:t>.</w:t>
      </w:r>
    </w:p>
    <w:p w14:paraId="495AE53B" w14:textId="77777777" w:rsidR="00337DE5" w:rsidRPr="00506990" w:rsidRDefault="00337DE5" w:rsidP="00337DE5">
      <w:pPr>
        <w:rPr>
          <w:rFonts w:ascii="Times New Roman" w:hAnsi="Times New Roman" w:cs="Times New Roman"/>
          <w:color w:val="0D0D0D" w:themeColor="text1" w:themeTint="F2"/>
          <w:sz w:val="22"/>
          <w:szCs w:val="22"/>
        </w:rPr>
      </w:pPr>
    </w:p>
    <w:p w14:paraId="3F18DB01" w14:textId="0140CD41"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Particular relevancia presenta el Programa Global de Valores Fiduciarios Rosfid Pyme autorizado por Resolución Nº 18.284 de fecha 20 de Octubre de 2016 de la CNV</w:t>
      </w:r>
      <w:r w:rsidR="00A9046E">
        <w:rPr>
          <w:rFonts w:ascii="Times New Roman" w:hAnsi="Times New Roman" w:cs="Times New Roman"/>
          <w:color w:val="0D0D0D" w:themeColor="text1" w:themeTint="F2"/>
          <w:sz w:val="22"/>
          <w:szCs w:val="22"/>
        </w:rPr>
        <w:t>,</w:t>
      </w:r>
      <w:r w:rsidR="00A9046E" w:rsidRPr="00A9046E">
        <w:t xml:space="preserve"> </w:t>
      </w:r>
      <w:r w:rsidR="00A9046E" w:rsidRPr="00A9046E">
        <w:rPr>
          <w:rFonts w:ascii="Times New Roman" w:hAnsi="Times New Roman" w:cs="Times New Roman"/>
          <w:color w:val="0D0D0D" w:themeColor="text1" w:themeTint="F2"/>
          <w:sz w:val="22"/>
          <w:szCs w:val="22"/>
        </w:rPr>
        <w:t>y su aumento de monto</w:t>
      </w:r>
      <w:r w:rsidR="00F464A4">
        <w:rPr>
          <w:rFonts w:ascii="Times New Roman" w:hAnsi="Times New Roman" w:cs="Times New Roman"/>
          <w:color w:val="0D0D0D" w:themeColor="text1" w:themeTint="F2"/>
          <w:sz w:val="22"/>
          <w:szCs w:val="22"/>
        </w:rPr>
        <w:t>, prórroga</w:t>
      </w:r>
      <w:r w:rsidR="007A59E9">
        <w:rPr>
          <w:rFonts w:ascii="Times New Roman" w:hAnsi="Times New Roman" w:cs="Times New Roman"/>
          <w:color w:val="0D0D0D" w:themeColor="text1" w:themeTint="F2"/>
          <w:sz w:val="22"/>
          <w:szCs w:val="22"/>
        </w:rPr>
        <w:t xml:space="preserve"> de plazo</w:t>
      </w:r>
      <w:r w:rsidR="00A9046E" w:rsidRPr="00A9046E">
        <w:rPr>
          <w:rFonts w:ascii="Times New Roman" w:hAnsi="Times New Roman" w:cs="Times New Roman"/>
          <w:color w:val="0D0D0D" w:themeColor="text1" w:themeTint="F2"/>
          <w:sz w:val="22"/>
          <w:szCs w:val="22"/>
        </w:rPr>
        <w:t xml:space="preserve"> y cambio de moneda autorizados por Resolución N°RESFC-2020-20781-APN-DIR#CNV de fecha 2 de septiembre de 2020</w:t>
      </w:r>
      <w:r w:rsidR="00A9046E">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destinado a aquellas empresas que califiquen como “Pyme CNV” de acuerdo al régimen del artículo 1° del Capítulo VI del Título II “EMISORAS” de las NORMAS de la CNV (N.T 2013 y mod.) que serán identificadas en la constitución de cada Fideicomiso Financiero. El Programa Global de Valores Fiduciarios Rosfid Pyme, es el primero en ser autorizado por la CNV en el marco de la Resolución 660/2016 y tiene por objeto simplificar el acceso al mercado de capitales a las pequeñas y medianas empresas evitando los costos legales, de aranceles y mayor celeridad en los tramites de aprobación para aquellas Pymes que deseen emitir su primer fideicomiso financiero en el mercado de capitales, toda vez que adhieren a un Programa abierto, sin necesidad de constituir uno propio con los tiempos y costos que ello demanda.</w:t>
      </w:r>
    </w:p>
    <w:p w14:paraId="379695A6" w14:textId="77777777" w:rsidR="00337DE5" w:rsidRPr="00506990" w:rsidRDefault="00337DE5" w:rsidP="00337DE5">
      <w:pPr>
        <w:rPr>
          <w:rFonts w:ascii="Times New Roman" w:hAnsi="Times New Roman" w:cs="Times New Roman"/>
          <w:color w:val="0D0D0D" w:themeColor="text1" w:themeTint="F2"/>
          <w:sz w:val="22"/>
          <w:szCs w:val="22"/>
        </w:rPr>
      </w:pPr>
    </w:p>
    <w:p w14:paraId="26F7C47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Adicionalmente Rosfid participa como Organizador en la emisión de la Obligación Negociables y en general provee a las empresas de las herramientas necesarias para el acceso mercado de capitales. </w:t>
      </w:r>
    </w:p>
    <w:p w14:paraId="0A37F34D" w14:textId="77777777" w:rsidR="00337DE5" w:rsidRPr="00506990" w:rsidRDefault="00337DE5" w:rsidP="00337DE5">
      <w:pPr>
        <w:rPr>
          <w:rFonts w:ascii="Times New Roman" w:hAnsi="Times New Roman" w:cs="Times New Roman"/>
          <w:color w:val="0D0D0D" w:themeColor="text1" w:themeTint="F2"/>
          <w:sz w:val="22"/>
          <w:szCs w:val="22"/>
        </w:rPr>
      </w:pPr>
    </w:p>
    <w:p w14:paraId="1F7D990E"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Sus cliente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son empresas que se encuentran en constante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cambio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rediseñando procesos para ser cada día más competitivas y haciendo uso de instrumentos financieros de vanguardia para lograr sus objetivos económico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-financieros. </w:t>
      </w:r>
    </w:p>
    <w:p w14:paraId="30657DE3" w14:textId="77777777" w:rsidR="00337DE5" w:rsidRPr="00506990" w:rsidRDefault="00337DE5" w:rsidP="00337DE5">
      <w:pPr>
        <w:rPr>
          <w:rFonts w:ascii="Times New Roman" w:hAnsi="Times New Roman" w:cs="Times New Roman"/>
          <w:color w:val="0D0D0D" w:themeColor="text1" w:themeTint="F2"/>
          <w:sz w:val="22"/>
          <w:szCs w:val="22"/>
        </w:rPr>
      </w:pPr>
    </w:p>
    <w:p w14:paraId="409B3219"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Rosfid le ofrece a estas empresas la organización y diseño de productos para la optimización de su estructura de capital a fin de generar un mayor valor corporativo y las acompaña en el proceso de emisión y colocación de títulos valores en el Mercado de Capitales.</w:t>
      </w:r>
    </w:p>
    <w:p w14:paraId="1CDDD19C" w14:textId="77777777" w:rsidR="00337DE5" w:rsidRPr="00506990" w:rsidRDefault="00337DE5" w:rsidP="00337DE5">
      <w:pPr>
        <w:rPr>
          <w:rFonts w:ascii="Times New Roman" w:hAnsi="Times New Roman" w:cs="Times New Roman"/>
          <w:color w:val="0D0D0D" w:themeColor="text1" w:themeTint="F2"/>
          <w:sz w:val="22"/>
          <w:szCs w:val="22"/>
        </w:rPr>
      </w:pPr>
    </w:p>
    <w:p w14:paraId="04BF1010"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ello se focaliza en compañías que tengan un fuerte arraigo regional y compromiso social con su medio, promoviendo el desarrollo de las economías regionales y la generación de empleo.</w:t>
      </w:r>
    </w:p>
    <w:p w14:paraId="30D7E6BE" w14:textId="77777777" w:rsidR="00BD6597" w:rsidRPr="00506990" w:rsidRDefault="00BD6597" w:rsidP="00337DE5">
      <w:pPr>
        <w:rPr>
          <w:rFonts w:ascii="Times New Roman" w:hAnsi="Times New Roman" w:cs="Times New Roman"/>
          <w:color w:val="0D0D0D" w:themeColor="text1" w:themeTint="F2"/>
          <w:sz w:val="22"/>
          <w:szCs w:val="22"/>
        </w:rPr>
      </w:pPr>
    </w:p>
    <w:p w14:paraId="65BBD1F3" w14:textId="58B937BC" w:rsidR="00BD6597" w:rsidRPr="00506990" w:rsidRDefault="00FF52D4" w:rsidP="00BD6597">
      <w:pPr>
        <w:pStyle w:val="notaalpie"/>
        <w:suppressAutoHyphens/>
        <w:rPr>
          <w:rFonts w:ascii="Times New Roman" w:hAnsi="Times New Roman" w:cs="Times New Roman"/>
          <w:b/>
          <w:color w:val="0D0D0D" w:themeColor="text1" w:themeTint="F2"/>
          <w:sz w:val="22"/>
          <w:szCs w:val="22"/>
          <w:u w:val="single"/>
          <w:lang w:val="es-AR"/>
        </w:rPr>
      </w:pPr>
      <w:r>
        <w:rPr>
          <w:rFonts w:ascii="Times New Roman" w:hAnsi="Times New Roman" w:cs="Times New Roman"/>
          <w:b/>
          <w:color w:val="0D0D0D" w:themeColor="text1" w:themeTint="F2"/>
          <w:sz w:val="22"/>
          <w:szCs w:val="22"/>
          <w:u w:val="single"/>
          <w:lang w:val="es-AR"/>
        </w:rPr>
        <w:t>Perspectivas de la e</w:t>
      </w:r>
      <w:r w:rsidR="00BD6597" w:rsidRPr="00506990">
        <w:rPr>
          <w:rFonts w:ascii="Times New Roman" w:hAnsi="Times New Roman" w:cs="Times New Roman"/>
          <w:b/>
          <w:color w:val="0D0D0D" w:themeColor="text1" w:themeTint="F2"/>
          <w:sz w:val="22"/>
          <w:szCs w:val="22"/>
          <w:u w:val="single"/>
          <w:lang w:val="es-AR"/>
        </w:rPr>
        <w:t>mpresa</w:t>
      </w:r>
    </w:p>
    <w:p w14:paraId="717249B1" w14:textId="77777777" w:rsidR="00BD6597" w:rsidRPr="00506990" w:rsidRDefault="00BD6597" w:rsidP="00BD6597">
      <w:pPr>
        <w:pStyle w:val="notaalpie"/>
        <w:suppressAutoHyphens/>
        <w:rPr>
          <w:rFonts w:ascii="Times New Roman" w:hAnsi="Times New Roman" w:cs="Times New Roman"/>
          <w:b/>
          <w:color w:val="0D0D0D" w:themeColor="text1" w:themeTint="F2"/>
          <w:sz w:val="22"/>
          <w:szCs w:val="22"/>
          <w:u w:val="single"/>
          <w:lang w:val="es-AR"/>
        </w:rPr>
      </w:pPr>
    </w:p>
    <w:p w14:paraId="4881F327"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lastRenderedPageBreak/>
        <w:t>Los Fideicomisos, en particular los Fideicomisos Financieros con oferta pública, continúan demostrando ser una importante herramienta de financiamiento para un grupo cada vez más importante de empresas y para nuevos sectores de la economía que han comenzado a utilizarla. Durante el ejercicio, la empresa ha continuado con la profundización del desarrollo de herramientas internas de gestión y control a fin de dotar de mejores recursos a la empresa que le permita ser cada vez más eficiente en todo aspecto.</w:t>
      </w:r>
    </w:p>
    <w:p w14:paraId="3C59EFB7" w14:textId="17A1CC94"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Se renueva el compromiso de consolidar el liderazgo regional en el mercado fiduciario, increment</w:t>
      </w:r>
      <w:r w:rsidR="00994641">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ando el número de activos bajo administración, consecuentemente aumentando los ingresos y manteniendo un adecuado nivel de costos. El objetivo continúa siendo el de generar instrumentos de oferta pública que permita a las empresas y asociaciones de la región, obtener financiamiento genuino y acorde a sus necesidades, como así también ofrecerle a los inversores regionales y nacionales alternativas de inversión rentables, seguras y transparentes.</w:t>
      </w:r>
    </w:p>
    <w:p w14:paraId="614E236F"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El Directorio de la sociedad, en representación de sus entidades accionistas, han definido políticas orientadas a lograr un mayor y más eficiente financiamiento de empresas de la región, mayoritariamente ligadas a la actividad agropecuaria y agro industrial, representantes fieles de las actividades productivas de la región. </w:t>
      </w:r>
    </w:p>
    <w:p w14:paraId="0DB23F01"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En concordancia con lo antes mencionado, y si las condiciones del mercado financiero son razonablemente favorables, para el ejercicio en curso se espera que Rosfid continúe incrementando el volumen de emisiones y el valor nominal emitido.</w:t>
      </w:r>
      <w:r w:rsidR="00DE1691">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 xml:space="preserve">A </w:t>
      </w:r>
      <w:r w:rsidR="00DE1691">
        <w:rPr>
          <w:rFonts w:ascii="Times New Roman" w:hAnsi="Times New Roman" w:cs="Times New Roman"/>
          <w:color w:val="0D0D0D" w:themeColor="text1" w:themeTint="F2"/>
          <w:sz w:val="22"/>
          <w:szCs w:val="22"/>
          <w:lang w:val="es-AR"/>
        </w:rPr>
        <w:t xml:space="preserve">tal </w:t>
      </w:r>
      <w:r w:rsidRPr="00506990">
        <w:rPr>
          <w:rFonts w:ascii="Times New Roman" w:hAnsi="Times New Roman" w:cs="Times New Roman"/>
          <w:color w:val="0D0D0D" w:themeColor="text1" w:themeTint="F2"/>
          <w:sz w:val="22"/>
          <w:szCs w:val="22"/>
          <w:lang w:val="es-AR"/>
        </w:rPr>
        <w:t>fin, la sociedad continúa profundizando su actividad comercial tendiente a incrementar el volumen de negocios, la rentabilidad y el valor del capital de la sociedad.</w:t>
      </w:r>
    </w:p>
    <w:p w14:paraId="0A27CF80" w14:textId="7F4D8779" w:rsidR="00BD6597" w:rsidRPr="00506990" w:rsidRDefault="00BD6597" w:rsidP="00BD6597">
      <w:pPr>
        <w:suppressAutoHyphens/>
        <w:spacing w:after="240"/>
        <w:rPr>
          <w:rStyle w:val="Hipervnculo"/>
          <w:rFonts w:ascii="Times New Roman" w:hAnsi="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Información adicional del Fiduciario y de las emisiones en las que participa se encuentra disponible en su página web: </w:t>
      </w:r>
      <w:hyperlink r:id="rId26" w:history="1">
        <w:r w:rsidRPr="00506990">
          <w:rPr>
            <w:rStyle w:val="Hipervnculo"/>
            <w:rFonts w:ascii="Times New Roman" w:hAnsi="Times New Roman"/>
            <w:color w:val="0D0D0D" w:themeColor="text1" w:themeTint="F2"/>
            <w:sz w:val="22"/>
            <w:szCs w:val="22"/>
          </w:rPr>
          <w:t>www.rosfid.com.ar</w:t>
        </w:r>
      </w:hyperlink>
      <w:r w:rsidRPr="00506990">
        <w:rPr>
          <w:rStyle w:val="Hipervnculo"/>
          <w:rFonts w:ascii="Times New Roman" w:hAnsi="Times New Roman"/>
          <w:color w:val="0D0D0D" w:themeColor="text1" w:themeTint="F2"/>
          <w:sz w:val="22"/>
          <w:szCs w:val="22"/>
          <w:u w:val="none"/>
        </w:rPr>
        <w:t xml:space="preserve"> y en la página web de la CNV: </w:t>
      </w:r>
      <w:r w:rsidR="001D0525" w:rsidRPr="001D0525">
        <w:rPr>
          <w:rStyle w:val="Hipervnculo"/>
          <w:rFonts w:ascii="Times New Roman" w:hAnsi="Times New Roman"/>
          <w:color w:val="0D0D0D" w:themeColor="text1" w:themeTint="F2"/>
          <w:sz w:val="22"/>
          <w:szCs w:val="22"/>
        </w:rPr>
        <w:t>https://www.argentina.gob.ar/cnv</w:t>
      </w:r>
      <w:r w:rsidRPr="00506990">
        <w:rPr>
          <w:rStyle w:val="Hipervnculo"/>
          <w:rFonts w:ascii="Times New Roman" w:hAnsi="Times New Roman"/>
          <w:color w:val="0D0D0D" w:themeColor="text1" w:themeTint="F2"/>
          <w:sz w:val="22"/>
          <w:szCs w:val="22"/>
        </w:rPr>
        <w:t>.</w:t>
      </w:r>
    </w:p>
    <w:p w14:paraId="34501594" w14:textId="549C0BA0" w:rsidR="00BD6597" w:rsidRPr="00506990" w:rsidRDefault="00FF52D4" w:rsidP="00BD6597">
      <w:pPr>
        <w:suppressAutoHyphens/>
        <w:spacing w:after="240"/>
        <w:rPr>
          <w:rStyle w:val="Hipervnculo"/>
          <w:rFonts w:ascii="Times New Roman" w:hAnsi="Times New Roman"/>
          <w:color w:val="0D0D0D" w:themeColor="text1" w:themeTint="F2"/>
          <w:sz w:val="22"/>
          <w:szCs w:val="22"/>
        </w:rPr>
      </w:pPr>
      <w:r>
        <w:rPr>
          <w:rStyle w:val="Hipervnculo"/>
          <w:rFonts w:ascii="Times New Roman" w:hAnsi="Times New Roman"/>
          <w:color w:val="0D0D0D" w:themeColor="text1" w:themeTint="F2"/>
          <w:sz w:val="22"/>
          <w:szCs w:val="22"/>
        </w:rPr>
        <w:t>Política a</w:t>
      </w:r>
      <w:r w:rsidR="00BD6597" w:rsidRPr="00506990">
        <w:rPr>
          <w:rStyle w:val="Hipervnculo"/>
          <w:rFonts w:ascii="Times New Roman" w:hAnsi="Times New Roman"/>
          <w:color w:val="0D0D0D" w:themeColor="text1" w:themeTint="F2"/>
          <w:sz w:val="22"/>
          <w:szCs w:val="22"/>
        </w:rPr>
        <w:t>mbiental</w:t>
      </w:r>
    </w:p>
    <w:p w14:paraId="7F588B74" w14:textId="77777777" w:rsidR="00BD6597" w:rsidRPr="00506990" w:rsidRDefault="00BD6597" w:rsidP="00BD6597">
      <w:pPr>
        <w:pStyle w:val="Textopredeterminado"/>
        <w:jc w:val="both"/>
        <w:rPr>
          <w:color w:val="0D0D0D" w:themeColor="text1" w:themeTint="F2"/>
          <w:sz w:val="22"/>
          <w:szCs w:val="22"/>
        </w:rPr>
      </w:pPr>
      <w:r w:rsidRPr="00506990">
        <w:rPr>
          <w:color w:val="0D0D0D" w:themeColor="text1" w:themeTint="F2"/>
          <w:sz w:val="22"/>
          <w:szCs w:val="22"/>
        </w:rPr>
        <w:t>La compañía no posee a la fecha una política ambiental debido a que la naturaleza del negocio y su actividad principal no posee un impacto significativo sobre el medioambiente. Sin perjuicio de ello, ha adherido al Programa de Separación y tratamiento de residuos SE.PA.RE. de la Municipalidad de Rosario y ha tomado medidas tendientes a racionalizar el consumo de energía, papel y agua dentro del ambiente de trabajo tal como ser la renovación del parque de monitores, reemplazando los de tubo por monitores LED y la concientización sobre la importancia de su uso eficiente, el reporte de pérdidas, así como la arquitectura de las oficinas para el mayor aprovechamiento de la luz natural</w:t>
      </w:r>
    </w:p>
    <w:p w14:paraId="02EAE64B" w14:textId="77777777" w:rsidR="00BD6597" w:rsidRPr="00506990" w:rsidRDefault="00BD6597" w:rsidP="00BD6597">
      <w:pPr>
        <w:rPr>
          <w:rFonts w:ascii="Times New Roman" w:hAnsi="Times New Roman" w:cs="Times New Roman"/>
          <w:color w:val="0D0D0D" w:themeColor="text1" w:themeTint="F2"/>
          <w:sz w:val="22"/>
          <w:szCs w:val="22"/>
        </w:rPr>
      </w:pPr>
    </w:p>
    <w:p w14:paraId="0891762F" w14:textId="77777777" w:rsidR="00337DE5" w:rsidRPr="00506990" w:rsidRDefault="00337DE5"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Información contable </w:t>
      </w:r>
    </w:p>
    <w:p w14:paraId="4F6F9FA0" w14:textId="77777777" w:rsidR="00337DE5" w:rsidRPr="00506990" w:rsidRDefault="00337DE5" w:rsidP="00337DE5">
      <w:pPr>
        <w:rPr>
          <w:rFonts w:ascii="Times New Roman" w:hAnsi="Times New Roman" w:cs="Times New Roman"/>
          <w:color w:val="0D0D0D" w:themeColor="text1" w:themeTint="F2"/>
          <w:sz w:val="22"/>
          <w:szCs w:val="22"/>
        </w:rPr>
      </w:pPr>
    </w:p>
    <w:p w14:paraId="084B9097" w14:textId="18B1C2F0"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Los estados contables del Fiduciario pueden ser consultados en: </w:t>
      </w:r>
      <w:r w:rsidR="001D0525" w:rsidRPr="001D0525">
        <w:rPr>
          <w:rFonts w:ascii="Times New Roman" w:hAnsi="Times New Roman" w:cs="Times New Roman"/>
          <w:color w:val="0D0D0D" w:themeColor="text1" w:themeTint="F2"/>
          <w:sz w:val="22"/>
          <w:szCs w:val="22"/>
        </w:rPr>
        <w:t>https://www.argentina.gob.ar/cnv</w:t>
      </w:r>
      <w:r w:rsidR="000157B5" w:rsidRPr="00506990">
        <w:rPr>
          <w:rFonts w:ascii="Times New Roman" w:hAnsi="Times New Roman" w:cs="Times New Roman"/>
          <w:color w:val="0D0D0D" w:themeColor="text1" w:themeTint="F2"/>
          <w:sz w:val="22"/>
          <w:szCs w:val="22"/>
        </w:rPr>
        <w:t>/Registros</w:t>
      </w:r>
      <w:r w:rsidR="00543A70" w:rsidRPr="00506990">
        <w:rPr>
          <w:rFonts w:ascii="Times New Roman" w:hAnsi="Times New Roman" w:cs="Times New Roman"/>
          <w:color w:val="0D0D0D" w:themeColor="text1" w:themeTint="F2"/>
          <w:sz w:val="22"/>
          <w:szCs w:val="22"/>
        </w:rPr>
        <w:t>Públicos</w:t>
      </w:r>
      <w:r w:rsidRPr="00506990">
        <w:rPr>
          <w:rFonts w:ascii="Times New Roman" w:hAnsi="Times New Roman" w:cs="Times New Roman"/>
          <w:color w:val="0D0D0D" w:themeColor="text1" w:themeTint="F2"/>
          <w:sz w:val="22"/>
          <w:szCs w:val="22"/>
        </w:rPr>
        <w:t>/</w:t>
      </w:r>
      <w:r w:rsidR="00543A70" w:rsidRPr="00506990">
        <w:rPr>
          <w:rFonts w:ascii="Times New Roman" w:hAnsi="Times New Roman" w:cs="Times New Roman"/>
          <w:color w:val="0D0D0D" w:themeColor="text1" w:themeTint="F2"/>
          <w:sz w:val="22"/>
          <w:szCs w:val="22"/>
        </w:rPr>
        <w:t>Agentes de Productos de Inversión Colectiva</w:t>
      </w:r>
      <w:r w:rsidRPr="00506990">
        <w:rPr>
          <w:rFonts w:ascii="Times New Roman" w:hAnsi="Times New Roman" w:cs="Times New Roman"/>
          <w:color w:val="0D0D0D" w:themeColor="text1" w:themeTint="F2"/>
          <w:sz w:val="22"/>
          <w:szCs w:val="22"/>
        </w:rPr>
        <w:t>/ Rosario Administradora Sociedad Fiduciaria S.A.</w:t>
      </w:r>
      <w:r w:rsidR="00B365A9" w:rsidRPr="00506990">
        <w:rPr>
          <w:rFonts w:ascii="Times New Roman" w:hAnsi="Times New Roman" w:cs="Times New Roman"/>
          <w:color w:val="0D0D0D" w:themeColor="text1" w:themeTint="F2"/>
          <w:sz w:val="22"/>
          <w:szCs w:val="22"/>
        </w:rPr>
        <w:t>/Información Financiera</w:t>
      </w:r>
      <w:r w:rsidR="00A017F9" w:rsidRPr="00506990">
        <w:rPr>
          <w:rFonts w:ascii="Times New Roman" w:hAnsi="Times New Roman" w:cs="Times New Roman"/>
          <w:color w:val="0D0D0D" w:themeColor="text1" w:themeTint="F2"/>
          <w:sz w:val="22"/>
          <w:szCs w:val="22"/>
        </w:rPr>
        <w:t>/ Estados Contables</w:t>
      </w:r>
      <w:r w:rsidRPr="00506990">
        <w:rPr>
          <w:rFonts w:ascii="Times New Roman" w:hAnsi="Times New Roman" w:cs="Times New Roman"/>
          <w:color w:val="0D0D0D" w:themeColor="text1" w:themeTint="F2"/>
          <w:sz w:val="22"/>
          <w:szCs w:val="22"/>
        </w:rPr>
        <w:t>.</w:t>
      </w:r>
      <w:r w:rsidR="00FE13AF">
        <w:rPr>
          <w:rFonts w:ascii="Times New Roman" w:hAnsi="Times New Roman" w:cs="Times New Roman"/>
          <w:color w:val="0D0D0D" w:themeColor="text1" w:themeTint="F2"/>
          <w:sz w:val="22"/>
          <w:szCs w:val="22"/>
        </w:rPr>
        <w:t xml:space="preserve"> (</w:t>
      </w:r>
      <w:r w:rsidR="00FE13AF" w:rsidRPr="00FE13AF">
        <w:rPr>
          <w:rFonts w:ascii="Times New Roman" w:hAnsi="Times New Roman" w:cs="Times New Roman"/>
          <w:color w:val="0D0D0D" w:themeColor="text1" w:themeTint="F2"/>
          <w:sz w:val="22"/>
          <w:szCs w:val="22"/>
        </w:rPr>
        <w:t>Presentación #3043881</w:t>
      </w:r>
      <w:r w:rsidR="00FE13AF">
        <w:rPr>
          <w:rFonts w:ascii="Times New Roman" w:hAnsi="Times New Roman" w:cs="Times New Roman"/>
          <w:color w:val="0D0D0D" w:themeColor="text1" w:themeTint="F2"/>
          <w:sz w:val="22"/>
          <w:szCs w:val="22"/>
        </w:rPr>
        <w:t>)</w:t>
      </w:r>
    </w:p>
    <w:p w14:paraId="55F6A262" w14:textId="77777777" w:rsidR="00337DE5" w:rsidRPr="00506990" w:rsidRDefault="00337DE5" w:rsidP="00337DE5">
      <w:pPr>
        <w:rPr>
          <w:rFonts w:ascii="Times New Roman" w:hAnsi="Times New Roman" w:cs="Times New Roman"/>
          <w:color w:val="0D0D0D" w:themeColor="text1" w:themeTint="F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975"/>
        <w:gridCol w:w="2128"/>
        <w:gridCol w:w="2126"/>
      </w:tblGrid>
      <w:tr w:rsidR="00337DE5" w:rsidRPr="00506990" w14:paraId="7D129374" w14:textId="77777777" w:rsidTr="00EE6B60">
        <w:trPr>
          <w:trHeight w:val="163"/>
          <w:jc w:val="center"/>
        </w:trPr>
        <w:tc>
          <w:tcPr>
            <w:tcW w:w="8455" w:type="dxa"/>
            <w:gridSpan w:val="4"/>
            <w:vAlign w:val="center"/>
          </w:tcPr>
          <w:p w14:paraId="71C065E9"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COMPOSICIÓN DEL CAPITAL</w:t>
            </w:r>
          </w:p>
        </w:tc>
      </w:tr>
      <w:tr w:rsidR="000F4541" w:rsidRPr="00506990" w14:paraId="040E5AA1" w14:textId="77777777" w:rsidTr="00EE6B60">
        <w:trPr>
          <w:cantSplit/>
          <w:trHeight w:val="112"/>
          <w:jc w:val="center"/>
        </w:trPr>
        <w:tc>
          <w:tcPr>
            <w:tcW w:w="4201" w:type="dxa"/>
            <w:gridSpan w:val="2"/>
            <w:vAlign w:val="center"/>
          </w:tcPr>
          <w:p w14:paraId="4CAFB410"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ACCIONES</w:t>
            </w:r>
          </w:p>
        </w:tc>
        <w:tc>
          <w:tcPr>
            <w:tcW w:w="2128" w:type="dxa"/>
            <w:vMerge w:val="restart"/>
            <w:vAlign w:val="center"/>
          </w:tcPr>
          <w:p w14:paraId="0B9BAB7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Suscripto $</w:t>
            </w:r>
          </w:p>
        </w:tc>
        <w:tc>
          <w:tcPr>
            <w:tcW w:w="2126" w:type="dxa"/>
            <w:vMerge w:val="restart"/>
            <w:vAlign w:val="center"/>
          </w:tcPr>
          <w:p w14:paraId="6E0D01E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Integrado $</w:t>
            </w:r>
          </w:p>
        </w:tc>
      </w:tr>
      <w:tr w:rsidR="000F4541" w:rsidRPr="00506990" w14:paraId="6CB43A79" w14:textId="77777777" w:rsidTr="00EE6B60">
        <w:trPr>
          <w:cantSplit/>
          <w:trHeight w:val="72"/>
          <w:jc w:val="center"/>
        </w:trPr>
        <w:tc>
          <w:tcPr>
            <w:tcW w:w="1226" w:type="dxa"/>
            <w:vAlign w:val="center"/>
          </w:tcPr>
          <w:p w14:paraId="35B77B07"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Cantidad</w:t>
            </w:r>
          </w:p>
        </w:tc>
        <w:tc>
          <w:tcPr>
            <w:tcW w:w="2975" w:type="dxa"/>
            <w:vAlign w:val="center"/>
          </w:tcPr>
          <w:p w14:paraId="5AF77948"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Tipo</w:t>
            </w:r>
          </w:p>
        </w:tc>
        <w:tc>
          <w:tcPr>
            <w:tcW w:w="2128" w:type="dxa"/>
            <w:vMerge/>
          </w:tcPr>
          <w:p w14:paraId="62F4B2C5" w14:textId="77777777" w:rsidR="00337DE5" w:rsidRPr="00506990" w:rsidRDefault="00337DE5" w:rsidP="00337DE5">
            <w:pPr>
              <w:rPr>
                <w:rFonts w:ascii="Times New Roman" w:hAnsi="Times New Roman" w:cs="Times New Roman"/>
                <w:color w:val="0D0D0D" w:themeColor="text1" w:themeTint="F2"/>
                <w:sz w:val="22"/>
                <w:szCs w:val="22"/>
              </w:rPr>
            </w:pPr>
          </w:p>
        </w:tc>
        <w:tc>
          <w:tcPr>
            <w:tcW w:w="2126" w:type="dxa"/>
            <w:vMerge/>
          </w:tcPr>
          <w:p w14:paraId="607B13D2" w14:textId="77777777" w:rsidR="00337DE5" w:rsidRPr="00506990" w:rsidRDefault="00337DE5" w:rsidP="00337DE5">
            <w:pPr>
              <w:rPr>
                <w:rFonts w:ascii="Times New Roman" w:hAnsi="Times New Roman" w:cs="Times New Roman"/>
                <w:color w:val="0D0D0D" w:themeColor="text1" w:themeTint="F2"/>
                <w:sz w:val="22"/>
                <w:szCs w:val="22"/>
              </w:rPr>
            </w:pPr>
          </w:p>
        </w:tc>
      </w:tr>
      <w:tr w:rsidR="000F4541" w:rsidRPr="00506990" w14:paraId="26C7C8E0" w14:textId="77777777" w:rsidTr="00EE6B60">
        <w:trPr>
          <w:trHeight w:val="148"/>
          <w:jc w:val="center"/>
        </w:trPr>
        <w:tc>
          <w:tcPr>
            <w:tcW w:w="1226" w:type="dxa"/>
            <w:vAlign w:val="center"/>
          </w:tcPr>
          <w:p w14:paraId="59343655"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w:t>
            </w:r>
          </w:p>
        </w:tc>
        <w:tc>
          <w:tcPr>
            <w:tcW w:w="2975" w:type="dxa"/>
          </w:tcPr>
          <w:p w14:paraId="431536D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Acciones Ordinarias, escriturales, de V/N $1.000 con derecho a un voto por acción</w:t>
            </w:r>
          </w:p>
        </w:tc>
        <w:tc>
          <w:tcPr>
            <w:tcW w:w="2128" w:type="dxa"/>
            <w:vAlign w:val="center"/>
          </w:tcPr>
          <w:p w14:paraId="1FE4C4E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c>
          <w:tcPr>
            <w:tcW w:w="2126" w:type="dxa"/>
            <w:vAlign w:val="center"/>
          </w:tcPr>
          <w:p w14:paraId="26625E48"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r>
    </w:tbl>
    <w:p w14:paraId="5971EF3F" w14:textId="77777777" w:rsidR="00A56908" w:rsidRPr="00506990" w:rsidRDefault="00A56908">
      <w:pPr>
        <w:pStyle w:val="Textoindependiente"/>
        <w:jc w:val="both"/>
        <w:rPr>
          <w:rFonts w:ascii="Times New Roman" w:hAnsi="Times New Roman"/>
          <w:iCs/>
          <w:color w:val="0D0D0D" w:themeColor="text1" w:themeTint="F2"/>
          <w:sz w:val="22"/>
          <w:szCs w:val="22"/>
          <w:u w:val="single"/>
        </w:rPr>
      </w:pPr>
    </w:p>
    <w:p w14:paraId="02F434BC" w14:textId="7B3AEF32"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Para mayor información del fiduciario podrá consultarse en el sitio web de la CNV: </w:t>
      </w:r>
      <w:r w:rsidR="001D0525" w:rsidRPr="001D0525">
        <w:rPr>
          <w:rFonts w:ascii="Times New Roman" w:hAnsi="Times New Roman" w:cs="Times New Roman"/>
          <w:color w:val="0D0D0D" w:themeColor="text1" w:themeTint="F2"/>
          <w:sz w:val="22"/>
          <w:szCs w:val="22"/>
        </w:rPr>
        <w:t>https://www.argentina.gob.ar/cnv</w:t>
      </w:r>
      <w:r w:rsidRPr="00506990">
        <w:rPr>
          <w:rFonts w:ascii="Times New Roman" w:hAnsi="Times New Roman" w:cs="Times New Roman"/>
          <w:color w:val="0D0D0D" w:themeColor="text1" w:themeTint="F2"/>
          <w:sz w:val="22"/>
          <w:szCs w:val="22"/>
        </w:rPr>
        <w:t>/Registros Públicos/Agentes de Productos de Inversión Colectiva/ Rosario Administradora Sociedad Fiduciaria S.A.</w:t>
      </w:r>
    </w:p>
    <w:p w14:paraId="6FA93259" w14:textId="77777777" w:rsidR="006B6B5E" w:rsidRPr="00506990" w:rsidRDefault="000157B5" w:rsidP="00B228F5">
      <w:pPr>
        <w:pStyle w:val="Ttulo1"/>
        <w:jc w:val="center"/>
        <w:rPr>
          <w:rFonts w:ascii="Times New Roman" w:hAnsi="Times New Roman"/>
          <w:sz w:val="22"/>
          <w:szCs w:val="22"/>
        </w:rPr>
      </w:pPr>
      <w:bookmarkStart w:id="59" w:name="_Toc521424868"/>
      <w:bookmarkStart w:id="60" w:name="_Toc20409084"/>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59"/>
      <w:bookmarkEnd w:id="60"/>
      <w:r w:rsidR="009F57D4" w:rsidRPr="00506990">
        <w:rPr>
          <w:rFonts w:ascii="Times New Roman" w:hAnsi="Times New Roman"/>
          <w:sz w:val="22"/>
          <w:szCs w:val="22"/>
        </w:rPr>
        <w:t>S</w:t>
      </w:r>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4CF894AC" w14:textId="00F0810F" w:rsidR="00841654" w:rsidRDefault="003E181B" w:rsidP="00841654">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ES"/>
        </w:rPr>
        <w:t>E</w:t>
      </w:r>
      <w:r w:rsidR="006B6B5E" w:rsidRPr="00506990">
        <w:rPr>
          <w:rFonts w:ascii="Times New Roman" w:hAnsi="Times New Roman" w:cs="Times New Roman"/>
          <w:iCs/>
          <w:color w:val="0D0D0D" w:themeColor="text1" w:themeTint="F2"/>
          <w:sz w:val="22"/>
          <w:szCs w:val="22"/>
          <w:lang w:val="es-ES"/>
        </w:rPr>
        <w:t>l Fiduciario declara que al día de la fecha del presente Suplemento de Prospecto: (a)</w:t>
      </w:r>
      <w:r w:rsidR="003708E1" w:rsidRPr="00506990">
        <w:rPr>
          <w:rFonts w:ascii="Times New Roman" w:hAnsi="Times New Roman" w:cs="Times New Roman"/>
          <w:iCs/>
          <w:color w:val="0D0D0D" w:themeColor="text1" w:themeTint="F2"/>
          <w:sz w:val="22"/>
          <w:szCs w:val="22"/>
          <w:lang w:val="es-ES"/>
        </w:rPr>
        <w:t xml:space="preserve"> ha verificado </w:t>
      </w:r>
      <w:r w:rsidR="003708E1" w:rsidRPr="00506990">
        <w:rPr>
          <w:rFonts w:ascii="Times New Roman" w:hAnsi="Times New Roman" w:cs="Times New Roman"/>
          <w:iCs/>
          <w:color w:val="0D0D0D" w:themeColor="text1" w:themeTint="F2"/>
          <w:sz w:val="22"/>
          <w:szCs w:val="22"/>
        </w:rPr>
        <w:t>que l</w:t>
      </w:r>
      <w:r w:rsidR="00F7400D" w:rsidRPr="00506990">
        <w:rPr>
          <w:rFonts w:ascii="Times New Roman" w:hAnsi="Times New Roman" w:cs="Times New Roman"/>
          <w:iCs/>
          <w:color w:val="0D0D0D" w:themeColor="text1" w:themeTint="F2"/>
          <w:sz w:val="22"/>
          <w:szCs w:val="22"/>
        </w:rPr>
        <w:t>os</w:t>
      </w:r>
      <w:r w:rsidR="003708E1"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003708E1" w:rsidRPr="00506990">
        <w:rPr>
          <w:rFonts w:ascii="Times New Roman" w:hAnsi="Times New Roman" w:cs="Times New Roman"/>
          <w:iCs/>
          <w:color w:val="0D0D0D" w:themeColor="text1" w:themeTint="F2"/>
          <w:sz w:val="22"/>
          <w:szCs w:val="22"/>
        </w:rPr>
        <w:t xml:space="preserve">, el Agente de Control y Revisión, el Agente Recaudador y los Agentes Externos de Recaudación subcontratados por éste cuentan con la capacidad de gestión y organización administrativa propia y adecuada para prestar las funciones que les corresponden y que al día de la fecha no existen hechos relevantes que afecten y/o puedan afectar el normal desarrollo de sus actividades y que el </w:t>
      </w:r>
      <w:r w:rsidR="00153187" w:rsidRPr="00506990">
        <w:rPr>
          <w:rFonts w:ascii="Times New Roman" w:hAnsi="Times New Roman" w:cs="Times New Roman"/>
          <w:iCs/>
          <w:color w:val="0D0D0D" w:themeColor="text1" w:themeTint="F2"/>
          <w:sz w:val="22"/>
          <w:szCs w:val="22"/>
        </w:rPr>
        <w:t>A</w:t>
      </w:r>
      <w:r w:rsidR="003708E1" w:rsidRPr="00506990">
        <w:rPr>
          <w:rFonts w:ascii="Times New Roman" w:hAnsi="Times New Roman" w:cs="Times New Roman"/>
          <w:iCs/>
          <w:color w:val="0D0D0D" w:themeColor="text1" w:themeTint="F2"/>
          <w:sz w:val="22"/>
          <w:szCs w:val="22"/>
        </w:rPr>
        <w:t xml:space="preserve">gente </w:t>
      </w:r>
      <w:r w:rsidR="00153187" w:rsidRPr="00506990">
        <w:rPr>
          <w:rFonts w:ascii="Times New Roman" w:hAnsi="Times New Roman" w:cs="Times New Roman"/>
          <w:iCs/>
          <w:color w:val="0D0D0D" w:themeColor="text1" w:themeTint="F2"/>
          <w:sz w:val="22"/>
          <w:szCs w:val="22"/>
        </w:rPr>
        <w:t>R</w:t>
      </w:r>
      <w:r w:rsidR="003708E1" w:rsidRPr="00506990">
        <w:rPr>
          <w:rFonts w:ascii="Times New Roman" w:hAnsi="Times New Roman" w:cs="Times New Roman"/>
          <w:iCs/>
          <w:color w:val="0D0D0D" w:themeColor="text1" w:themeTint="F2"/>
          <w:sz w:val="22"/>
          <w:szCs w:val="22"/>
        </w:rPr>
        <w:t xml:space="preserve">ecaudador es una empresa vinculada </w:t>
      </w:r>
      <w:r w:rsidR="002E7787" w:rsidRPr="00506990">
        <w:rPr>
          <w:rFonts w:ascii="Times New Roman" w:hAnsi="Times New Roman" w:cs="Times New Roman"/>
          <w:iCs/>
          <w:color w:val="0D0D0D" w:themeColor="text1" w:themeTint="F2"/>
          <w:sz w:val="22"/>
          <w:szCs w:val="22"/>
        </w:rPr>
        <w:t xml:space="preserve">a </w:t>
      </w:r>
      <w:r w:rsidR="002A2B1C" w:rsidRPr="00506990">
        <w:rPr>
          <w:rFonts w:ascii="Times New Roman" w:hAnsi="Times New Roman" w:cs="Times New Roman"/>
          <w:iCs/>
          <w:color w:val="0D0D0D" w:themeColor="text1" w:themeTint="F2"/>
          <w:sz w:val="22"/>
          <w:szCs w:val="22"/>
        </w:rPr>
        <w:t>Bazar Avenida S.A.</w:t>
      </w:r>
      <w:r w:rsidR="002E7787" w:rsidRPr="00506990">
        <w:rPr>
          <w:rFonts w:ascii="Times New Roman" w:hAnsi="Times New Roman" w:cs="Times New Roman"/>
          <w:iCs/>
          <w:color w:val="0D0D0D" w:themeColor="text1" w:themeTint="F2"/>
          <w:sz w:val="22"/>
          <w:szCs w:val="22"/>
        </w:rPr>
        <w:t xml:space="preserve"> y Consumo</w:t>
      </w:r>
      <w:r w:rsidR="00F328C2" w:rsidRPr="00506990">
        <w:rPr>
          <w:rFonts w:ascii="Times New Roman" w:hAnsi="Times New Roman" w:cs="Times New Roman"/>
          <w:iCs/>
          <w:color w:val="0D0D0D" w:themeColor="text1" w:themeTint="F2"/>
          <w:sz w:val="22"/>
          <w:szCs w:val="22"/>
        </w:rPr>
        <w:t xml:space="preserve"> S.A.</w:t>
      </w:r>
      <w:r w:rsidR="00153187" w:rsidRPr="00506990">
        <w:rPr>
          <w:rFonts w:ascii="Times New Roman" w:hAnsi="Times New Roman" w:cs="Times New Roman"/>
          <w:iCs/>
          <w:color w:val="0D0D0D" w:themeColor="text1" w:themeTint="F2"/>
          <w:sz w:val="22"/>
          <w:szCs w:val="22"/>
        </w:rPr>
        <w:t>;</w:t>
      </w:r>
      <w:r w:rsidR="00FD1400"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 xml:space="preserve">(b) </w:t>
      </w:r>
      <w:r w:rsidR="006B6B5E" w:rsidRPr="00506990">
        <w:rPr>
          <w:rFonts w:ascii="Times New Roman" w:hAnsi="Times New Roman" w:cs="Times New Roman"/>
          <w:iCs/>
          <w:color w:val="0D0D0D" w:themeColor="text1" w:themeTint="F2"/>
          <w:sz w:val="22"/>
          <w:szCs w:val="22"/>
          <w:lang w:val="es-ES"/>
        </w:rPr>
        <w:t xml:space="preserve">no existen hechos relevantes que afecten y/o pudieran </w:t>
      </w:r>
      <w:r w:rsidR="00153187" w:rsidRPr="00506990">
        <w:rPr>
          <w:rFonts w:ascii="Times New Roman" w:hAnsi="Times New Roman" w:cs="Times New Roman"/>
          <w:iCs/>
          <w:color w:val="0D0D0D" w:themeColor="text1" w:themeTint="F2"/>
          <w:sz w:val="22"/>
          <w:szCs w:val="22"/>
          <w:lang w:val="es-ES"/>
        </w:rPr>
        <w:t xml:space="preserve">afectar </w:t>
      </w:r>
      <w:r w:rsidR="006B6B5E" w:rsidRPr="00506990">
        <w:rPr>
          <w:rFonts w:ascii="Times New Roman" w:hAnsi="Times New Roman" w:cs="Times New Roman"/>
          <w:iCs/>
          <w:color w:val="0D0D0D" w:themeColor="text1" w:themeTint="F2"/>
          <w:sz w:val="22"/>
          <w:szCs w:val="22"/>
          <w:lang w:val="es-ES"/>
        </w:rPr>
        <w:t xml:space="preserve">en el futuro la </w:t>
      </w:r>
      <w:r w:rsidR="008D16E9" w:rsidRPr="00506990">
        <w:rPr>
          <w:rFonts w:ascii="Times New Roman" w:hAnsi="Times New Roman" w:cs="Times New Roman"/>
          <w:iCs/>
          <w:color w:val="0D0D0D" w:themeColor="text1" w:themeTint="F2"/>
          <w:sz w:val="22"/>
          <w:szCs w:val="22"/>
          <w:lang w:val="es-ES"/>
        </w:rPr>
        <w:t xml:space="preserve">integridad de la </w:t>
      </w:r>
      <w:r w:rsidR="006B6B5E" w:rsidRPr="00506990">
        <w:rPr>
          <w:rFonts w:ascii="Times New Roman" w:hAnsi="Times New Roman" w:cs="Times New Roman"/>
          <w:iCs/>
          <w:color w:val="0D0D0D" w:themeColor="text1" w:themeTint="F2"/>
          <w:sz w:val="22"/>
          <w:szCs w:val="22"/>
          <w:lang w:val="es-ES"/>
        </w:rPr>
        <w:t>estructura Fiduciaria</w:t>
      </w:r>
      <w:r w:rsidR="008D16E9" w:rsidRPr="00506990">
        <w:rPr>
          <w:rFonts w:ascii="Times New Roman" w:hAnsi="Times New Roman" w:cs="Times New Roman"/>
          <w:iCs/>
          <w:color w:val="0D0D0D" w:themeColor="text1" w:themeTint="F2"/>
          <w:sz w:val="22"/>
          <w:szCs w:val="22"/>
          <w:lang w:val="es-ES"/>
        </w:rPr>
        <w:t xml:space="preserve"> y el normal desarrollo de sus funciones</w:t>
      </w:r>
      <w:r w:rsidR="006B6B5E" w:rsidRPr="00506990">
        <w:rPr>
          <w:rFonts w:ascii="Times New Roman" w:hAnsi="Times New Roman" w:cs="Times New Roman"/>
          <w:iCs/>
          <w:color w:val="0D0D0D" w:themeColor="text1" w:themeTint="F2"/>
          <w:sz w:val="22"/>
          <w:szCs w:val="22"/>
          <w:lang w:val="es-ES"/>
        </w:rPr>
        <w:t>; (</w:t>
      </w:r>
      <w:r w:rsidR="003708E1" w:rsidRPr="00506990">
        <w:rPr>
          <w:rFonts w:ascii="Times New Roman" w:hAnsi="Times New Roman" w:cs="Times New Roman"/>
          <w:iCs/>
          <w:color w:val="0D0D0D" w:themeColor="text1" w:themeTint="F2"/>
          <w:sz w:val="22"/>
          <w:szCs w:val="22"/>
          <w:lang w:val="es-ES"/>
        </w:rPr>
        <w:t>c</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su situación económica, financiera y patrimonial le permite cumplir las funciones por él asumidas bajo el presente Fideicomiso</w:t>
      </w:r>
      <w:r w:rsidR="006B6B5E"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d</w:t>
      </w:r>
      <w:r w:rsidR="006B6B5E" w:rsidRPr="00506990">
        <w:rPr>
          <w:rFonts w:ascii="Times New Roman" w:hAnsi="Times New Roman" w:cs="Times New Roman"/>
          <w:iCs/>
          <w:color w:val="0D0D0D" w:themeColor="text1" w:themeTint="F2"/>
          <w:sz w:val="22"/>
          <w:szCs w:val="22"/>
          <w:lang w:val="es-ES"/>
        </w:rPr>
        <w:t>) no existen atrasos o incumplimientos respecto de la rendición de la cobranza de los Créditos fideicomitidos bajo el presente Fideicomiso</w:t>
      </w:r>
      <w:r w:rsidR="003708E1" w:rsidRPr="00506990">
        <w:rPr>
          <w:rFonts w:ascii="Times New Roman" w:hAnsi="Times New Roman" w:cs="Times New Roman"/>
          <w:iCs/>
          <w:color w:val="0D0D0D" w:themeColor="text1" w:themeTint="F2"/>
          <w:sz w:val="22"/>
          <w:szCs w:val="22"/>
          <w:lang w:val="es-ES"/>
        </w:rPr>
        <w:t xml:space="preserve"> y respecto del activo fideicomiti</w:t>
      </w:r>
      <w:r w:rsidR="0008441D" w:rsidRPr="00506990">
        <w:rPr>
          <w:rFonts w:ascii="Times New Roman" w:hAnsi="Times New Roman" w:cs="Times New Roman"/>
          <w:iCs/>
          <w:color w:val="0D0D0D" w:themeColor="text1" w:themeTint="F2"/>
          <w:sz w:val="22"/>
          <w:szCs w:val="22"/>
          <w:lang w:val="es-ES"/>
        </w:rPr>
        <w:t>d</w:t>
      </w:r>
      <w:r w:rsidR="003708E1" w:rsidRPr="00506990">
        <w:rPr>
          <w:rFonts w:ascii="Times New Roman" w:hAnsi="Times New Roman" w:cs="Times New Roman"/>
          <w:iCs/>
          <w:color w:val="0D0D0D" w:themeColor="text1" w:themeTint="F2"/>
          <w:sz w:val="22"/>
          <w:szCs w:val="22"/>
          <w:lang w:val="es-ES"/>
        </w:rPr>
        <w:t>o de las series anteriores</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(e) L</w:t>
      </w:r>
      <w:r w:rsidR="008D16E9" w:rsidRPr="00506990">
        <w:rPr>
          <w:rFonts w:ascii="Times New Roman" w:hAnsi="Times New Roman" w:cs="Times New Roman"/>
          <w:iCs/>
          <w:color w:val="0D0D0D" w:themeColor="text1" w:themeTint="F2"/>
          <w:sz w:val="22"/>
          <w:szCs w:val="22"/>
        </w:rPr>
        <w:t>a transferencia de los</w:t>
      </w:r>
      <w:r w:rsidR="006B6B5E" w:rsidRPr="00506990">
        <w:rPr>
          <w:rFonts w:ascii="Times New Roman" w:hAnsi="Times New Roman" w:cs="Times New Roman"/>
          <w:iCs/>
          <w:color w:val="0D0D0D" w:themeColor="text1" w:themeTint="F2"/>
          <w:sz w:val="22"/>
          <w:szCs w:val="22"/>
        </w:rPr>
        <w:t xml:space="preserve"> Bienes Fideicomitidos </w:t>
      </w:r>
      <w:r w:rsidR="008D16E9" w:rsidRPr="00506990">
        <w:rPr>
          <w:rFonts w:ascii="Times New Roman" w:hAnsi="Times New Roman" w:cs="Times New Roman"/>
          <w:iCs/>
          <w:color w:val="0D0D0D" w:themeColor="text1" w:themeTint="F2"/>
          <w:sz w:val="22"/>
          <w:szCs w:val="22"/>
        </w:rPr>
        <w:t xml:space="preserve">ha sido perfeccionada </w:t>
      </w:r>
      <w:r w:rsidR="006B6B5E" w:rsidRPr="00506990">
        <w:rPr>
          <w:rFonts w:ascii="Times New Roman" w:hAnsi="Times New Roman" w:cs="Times New Roman"/>
          <w:iCs/>
          <w:color w:val="0D0D0D" w:themeColor="text1" w:themeTint="F2"/>
          <w:sz w:val="22"/>
          <w:szCs w:val="22"/>
        </w:rPr>
        <w:t xml:space="preserve"> en legal forma;</w:t>
      </w:r>
      <w:r w:rsidR="003708E1" w:rsidRPr="00506990">
        <w:rPr>
          <w:rFonts w:ascii="Times New Roman" w:hAnsi="Times New Roman" w:cs="Times New Roman"/>
          <w:color w:val="0D0D0D" w:themeColor="text1" w:themeTint="F2"/>
          <w:sz w:val="22"/>
          <w:szCs w:val="22"/>
        </w:rPr>
        <w:t xml:space="preserve"> (f) </w:t>
      </w:r>
      <w:r w:rsidR="00737312">
        <w:rPr>
          <w:rFonts w:ascii="Times New Roman" w:hAnsi="Times New Roman" w:cs="Times New Roman"/>
          <w:color w:val="0D0D0D" w:themeColor="text1" w:themeTint="F2"/>
          <w:sz w:val="22"/>
          <w:szCs w:val="22"/>
        </w:rPr>
        <w:t>se ha</w:t>
      </w:r>
      <w:r w:rsidR="002038C7">
        <w:rPr>
          <w:rFonts w:ascii="Times New Roman" w:hAnsi="Times New Roman" w:cs="Times New Roman"/>
          <w:color w:val="0D0D0D" w:themeColor="text1" w:themeTint="F2"/>
          <w:sz w:val="22"/>
          <w:szCs w:val="22"/>
        </w:rPr>
        <w:t>n</w:t>
      </w:r>
      <w:r w:rsidR="00737312">
        <w:rPr>
          <w:rFonts w:ascii="Times New Roman" w:hAnsi="Times New Roman" w:cs="Times New Roman"/>
          <w:color w:val="0D0D0D" w:themeColor="text1" w:themeTint="F2"/>
          <w:sz w:val="22"/>
          <w:szCs w:val="22"/>
        </w:rPr>
        <w:t xml:space="preserve"> suscripto contrato</w:t>
      </w:r>
      <w:r w:rsidR="002038C7">
        <w:rPr>
          <w:rFonts w:ascii="Times New Roman" w:hAnsi="Times New Roman" w:cs="Times New Roman"/>
          <w:color w:val="0D0D0D" w:themeColor="text1" w:themeTint="F2"/>
          <w:sz w:val="22"/>
          <w:szCs w:val="22"/>
        </w:rPr>
        <w:t>s</w:t>
      </w:r>
      <w:r w:rsidR="00737312">
        <w:rPr>
          <w:rFonts w:ascii="Times New Roman" w:hAnsi="Times New Roman" w:cs="Times New Roman"/>
          <w:color w:val="0D0D0D" w:themeColor="text1" w:themeTint="F2"/>
          <w:sz w:val="22"/>
          <w:szCs w:val="22"/>
        </w:rPr>
        <w:t xml:space="preserve"> de </w:t>
      </w:r>
      <w:r w:rsidR="00737312" w:rsidRPr="00CF3385">
        <w:rPr>
          <w:rFonts w:ascii="Times New Roman" w:hAnsi="Times New Roman" w:cs="Times New Roman"/>
          <w:i/>
          <w:color w:val="0D0D0D" w:themeColor="text1" w:themeTint="F2"/>
          <w:sz w:val="22"/>
          <w:szCs w:val="22"/>
        </w:rPr>
        <w:t>underwriting</w:t>
      </w:r>
      <w:r w:rsidR="00A63365">
        <w:rPr>
          <w:rFonts w:ascii="Times New Roman" w:hAnsi="Times New Roman" w:cs="Times New Roman"/>
          <w:color w:val="0D0D0D" w:themeColor="text1" w:themeTint="F2"/>
          <w:sz w:val="22"/>
          <w:szCs w:val="22"/>
        </w:rPr>
        <w:t xml:space="preserve"> con </w:t>
      </w:r>
      <w:r w:rsidR="00A018D9">
        <w:rPr>
          <w:rFonts w:ascii="Times New Roman" w:hAnsi="Times New Roman" w:cs="Times New Roman"/>
          <w:color w:val="0D0D0D" w:themeColor="text1" w:themeTint="F2"/>
          <w:sz w:val="22"/>
          <w:szCs w:val="22"/>
        </w:rPr>
        <w:t xml:space="preserve">Banco Macro S.A. </w:t>
      </w:r>
      <w:r w:rsidR="00CC2BB4">
        <w:rPr>
          <w:rFonts w:ascii="Times New Roman" w:hAnsi="Times New Roman" w:cs="Times New Roman"/>
          <w:color w:val="0D0D0D" w:themeColor="text1" w:themeTint="F2"/>
          <w:sz w:val="22"/>
          <w:szCs w:val="22"/>
        </w:rPr>
        <w:t xml:space="preserve">y </w:t>
      </w:r>
      <w:r w:rsidR="00CC2BB4" w:rsidRPr="00CC2BB4">
        <w:rPr>
          <w:rFonts w:ascii="Times New Roman" w:hAnsi="Times New Roman" w:cs="Times New Roman"/>
          <w:color w:val="0D0D0D" w:themeColor="text1" w:themeTint="F2"/>
          <w:sz w:val="22"/>
          <w:szCs w:val="22"/>
        </w:rPr>
        <w:t>Banco de la Provincia de Córdoba S.A.</w:t>
      </w:r>
      <w:r w:rsidR="00CC2BB4">
        <w:rPr>
          <w:rFonts w:ascii="Times New Roman" w:hAnsi="Times New Roman" w:cs="Times New Roman"/>
          <w:color w:val="0D0D0D" w:themeColor="text1" w:themeTint="F2"/>
          <w:sz w:val="22"/>
          <w:szCs w:val="22"/>
        </w:rPr>
        <w:t xml:space="preserve"> </w:t>
      </w:r>
      <w:r w:rsidR="002038C7">
        <w:rPr>
          <w:rFonts w:ascii="Times New Roman" w:hAnsi="Times New Roman" w:cs="Times New Roman"/>
          <w:color w:val="0D0D0D" w:themeColor="text1" w:themeTint="F2"/>
          <w:sz w:val="22"/>
          <w:szCs w:val="22"/>
        </w:rPr>
        <w:t xml:space="preserve">y </w:t>
      </w:r>
      <w:r w:rsidR="00737312" w:rsidRPr="00506990">
        <w:rPr>
          <w:rFonts w:ascii="Times New Roman" w:hAnsi="Times New Roman" w:cs="Times New Roman"/>
          <w:color w:val="0D0D0D" w:themeColor="text1" w:themeTint="F2"/>
          <w:sz w:val="22"/>
          <w:szCs w:val="22"/>
        </w:rPr>
        <w:t>de la constancia de sus registros no surge que se hayan</w:t>
      </w:r>
      <w:r w:rsidR="00DC38BB">
        <w:rPr>
          <w:rFonts w:ascii="Times New Roman" w:hAnsi="Times New Roman" w:cs="Times New Roman"/>
          <w:color w:val="0D0D0D" w:themeColor="text1" w:themeTint="F2"/>
          <w:sz w:val="22"/>
          <w:szCs w:val="22"/>
        </w:rPr>
        <w:t xml:space="preserve"> negociado los </w:t>
      </w:r>
      <w:r w:rsidR="00737312" w:rsidRPr="00506990">
        <w:rPr>
          <w:rFonts w:ascii="Times New Roman" w:hAnsi="Times New Roman" w:cs="Times New Roman"/>
          <w:color w:val="0D0D0D" w:themeColor="text1" w:themeTint="F2"/>
          <w:sz w:val="22"/>
          <w:szCs w:val="22"/>
        </w:rPr>
        <w:t xml:space="preserve">valores fiduciarios </w:t>
      </w:r>
      <w:r w:rsidR="00DC38BB">
        <w:rPr>
          <w:rFonts w:ascii="Times New Roman" w:hAnsi="Times New Roman" w:cs="Times New Roman"/>
          <w:color w:val="0D0D0D" w:themeColor="text1" w:themeTint="F2"/>
          <w:sz w:val="22"/>
          <w:szCs w:val="22"/>
        </w:rPr>
        <w:t xml:space="preserve">emitidos </w:t>
      </w:r>
      <w:r w:rsidR="00737312" w:rsidRPr="00506990">
        <w:rPr>
          <w:rFonts w:ascii="Times New Roman" w:hAnsi="Times New Roman" w:cs="Times New Roman"/>
          <w:color w:val="0D0D0D" w:themeColor="text1" w:themeTint="F2"/>
          <w:sz w:val="22"/>
          <w:szCs w:val="22"/>
        </w:rPr>
        <w:t>en forma previa a la autorización de oferta pública</w:t>
      </w:r>
      <w:r w:rsidR="003708E1" w:rsidRPr="00506990">
        <w:rPr>
          <w:rFonts w:ascii="Times New Roman" w:hAnsi="Times New Roman" w:cs="Times New Roman"/>
          <w:color w:val="0D0D0D" w:themeColor="text1" w:themeTint="F2"/>
          <w:sz w:val="22"/>
          <w:szCs w:val="22"/>
        </w:rPr>
        <w:t>;</w:t>
      </w:r>
      <w:r w:rsidR="003708E1"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hAnsi="Times New Roman" w:cs="Times New Roman"/>
          <w:color w:val="0D0D0D" w:themeColor="text1" w:themeTint="F2"/>
          <w:sz w:val="22"/>
          <w:szCs w:val="22"/>
        </w:rPr>
        <w:t>(</w:t>
      </w:r>
      <w:r w:rsidR="003708E1" w:rsidRPr="00506990">
        <w:rPr>
          <w:rFonts w:ascii="Times New Roman" w:hAnsi="Times New Roman" w:cs="Times New Roman"/>
          <w:color w:val="0D0D0D" w:themeColor="text1" w:themeTint="F2"/>
          <w:sz w:val="22"/>
          <w:szCs w:val="22"/>
        </w:rPr>
        <w:t>g</w:t>
      </w:r>
      <w:r w:rsidR="006B6B5E" w:rsidRPr="00506990">
        <w:rPr>
          <w:rFonts w:ascii="Times New Roman" w:hAnsi="Times New Roman" w:cs="Times New Roman"/>
          <w:color w:val="0D0D0D" w:themeColor="text1" w:themeTint="F2"/>
          <w:sz w:val="22"/>
          <w:szCs w:val="22"/>
        </w:rPr>
        <w:t xml:space="preserve">) todos los contratos suscriptos vinculados a los Bienes Fideicomitidos, incluso aquellos celebrados con el Agente Recaudador se encuentran debidamente perfeccionados, vigentes y válidos; </w:t>
      </w:r>
      <w:r w:rsidR="00AE4331" w:rsidRPr="00506990">
        <w:rPr>
          <w:rFonts w:ascii="Times New Roman" w:hAnsi="Times New Roman" w:cs="Times New Roman"/>
          <w:color w:val="0D0D0D" w:themeColor="text1" w:themeTint="F2"/>
          <w:sz w:val="22"/>
          <w:szCs w:val="22"/>
        </w:rPr>
        <w:t xml:space="preserve">y </w:t>
      </w:r>
      <w:r w:rsidR="006B6B5E" w:rsidRPr="00506990">
        <w:rPr>
          <w:rFonts w:ascii="Times New Roman" w:eastAsia="Times New Roman" w:hAnsi="Times New Roman" w:cs="Times New Roman"/>
          <w:color w:val="0D0D0D" w:themeColor="text1" w:themeTint="F2"/>
          <w:sz w:val="22"/>
          <w:szCs w:val="22"/>
          <w:lang w:val="es-AR"/>
        </w:rPr>
        <w:t>(</w:t>
      </w:r>
      <w:r w:rsidR="00F64E92" w:rsidRPr="00506990">
        <w:rPr>
          <w:rFonts w:ascii="Times New Roman" w:eastAsia="Times New Roman" w:hAnsi="Times New Roman" w:cs="Times New Roman"/>
          <w:color w:val="0D0D0D" w:themeColor="text1" w:themeTint="F2"/>
          <w:sz w:val="22"/>
          <w:szCs w:val="22"/>
          <w:lang w:val="es-AR"/>
        </w:rPr>
        <w:t>h</w:t>
      </w:r>
      <w:r w:rsidR="006B6B5E" w:rsidRPr="00506990">
        <w:rPr>
          <w:rFonts w:ascii="Times New Roman" w:eastAsia="Times New Roman" w:hAnsi="Times New Roman" w:cs="Times New Roman"/>
          <w:color w:val="0D0D0D" w:themeColor="text1" w:themeTint="F2"/>
          <w:sz w:val="22"/>
          <w:szCs w:val="22"/>
          <w:lang w:val="es-AR"/>
        </w:rPr>
        <w:t xml:space="preserve">) </w:t>
      </w:r>
      <w:r w:rsidR="0008441D" w:rsidRPr="00506990">
        <w:rPr>
          <w:rFonts w:ascii="Times New Roman" w:eastAsia="Times New Roman" w:hAnsi="Times New Roman" w:cs="Times New Roman"/>
          <w:color w:val="0D0D0D" w:themeColor="text1" w:themeTint="F2"/>
          <w:sz w:val="22"/>
          <w:szCs w:val="22"/>
          <w:lang w:val="es-AR"/>
        </w:rPr>
        <w:t>l</w:t>
      </w:r>
      <w:r w:rsidR="009F57D4" w:rsidRPr="00506990">
        <w:rPr>
          <w:rFonts w:ascii="Times New Roman" w:eastAsia="Times New Roman" w:hAnsi="Times New Roman" w:cs="Times New Roman"/>
          <w:color w:val="0D0D0D" w:themeColor="text1" w:themeTint="F2"/>
          <w:sz w:val="22"/>
          <w:szCs w:val="22"/>
          <w:lang w:val="es-AR"/>
        </w:rPr>
        <w:t>os</w:t>
      </w:r>
      <w:r w:rsidR="0008441D"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eastAsia="Times New Roman" w:hAnsi="Times New Roman" w:cs="Times New Roman"/>
          <w:color w:val="0D0D0D" w:themeColor="text1" w:themeTint="F2"/>
          <w:sz w:val="22"/>
          <w:szCs w:val="22"/>
          <w:lang w:val="es-AR"/>
        </w:rPr>
        <w:t>Fiduciante</w:t>
      </w:r>
      <w:r w:rsidR="009F57D4" w:rsidRPr="00506990">
        <w:rPr>
          <w:rFonts w:ascii="Times New Roman" w:eastAsia="Times New Roman" w:hAnsi="Times New Roman" w:cs="Times New Roman"/>
          <w:color w:val="0D0D0D" w:themeColor="text1" w:themeTint="F2"/>
          <w:sz w:val="22"/>
          <w:szCs w:val="22"/>
          <w:lang w:val="es-AR"/>
        </w:rPr>
        <w:t>s</w:t>
      </w:r>
      <w:r w:rsidR="006B6B5E" w:rsidRPr="00506990">
        <w:rPr>
          <w:rFonts w:ascii="Times New Roman" w:eastAsia="Times New Roman" w:hAnsi="Times New Roman" w:cs="Times New Roman"/>
          <w:color w:val="0D0D0D" w:themeColor="text1" w:themeTint="F2"/>
          <w:sz w:val="22"/>
          <w:szCs w:val="22"/>
          <w:lang w:val="es-AR"/>
        </w:rPr>
        <w:t xml:space="preserve"> ha</w:t>
      </w:r>
      <w:r w:rsidR="009F57D4" w:rsidRPr="00506990">
        <w:rPr>
          <w:rFonts w:ascii="Times New Roman" w:eastAsia="Times New Roman" w:hAnsi="Times New Roman" w:cs="Times New Roman"/>
          <w:color w:val="0D0D0D" w:themeColor="text1" w:themeTint="F2"/>
          <w:sz w:val="22"/>
          <w:szCs w:val="22"/>
          <w:lang w:val="es-AR"/>
        </w:rPr>
        <w:t>n</w:t>
      </w:r>
      <w:r w:rsidR="006B6B5E" w:rsidRPr="00506990">
        <w:rPr>
          <w:rFonts w:ascii="Times New Roman" w:eastAsia="Times New Roman" w:hAnsi="Times New Roman" w:cs="Times New Roman"/>
          <w:color w:val="0D0D0D" w:themeColor="text1" w:themeTint="F2"/>
          <w:sz w:val="22"/>
          <w:szCs w:val="22"/>
          <w:lang w:val="es-AR"/>
        </w:rPr>
        <w:t xml:space="preserve"> notificado la constitución del presente fideicomiso al Comité de Acreedores y a la fecha del presente no </w:t>
      </w:r>
      <w:r w:rsidR="0008441D" w:rsidRPr="00506990">
        <w:rPr>
          <w:rFonts w:ascii="Times New Roman" w:eastAsia="Times New Roman" w:hAnsi="Times New Roman" w:cs="Times New Roman"/>
          <w:color w:val="0D0D0D" w:themeColor="text1" w:themeTint="F2"/>
          <w:sz w:val="22"/>
          <w:szCs w:val="22"/>
          <w:lang w:val="es-AR"/>
        </w:rPr>
        <w:t xml:space="preserve">tiene </w:t>
      </w:r>
      <w:r w:rsidR="006B6B5E" w:rsidRPr="00506990">
        <w:rPr>
          <w:rFonts w:ascii="Times New Roman" w:eastAsia="Times New Roman" w:hAnsi="Times New Roman" w:cs="Times New Roman"/>
          <w:color w:val="0D0D0D" w:themeColor="text1" w:themeTint="F2"/>
          <w:sz w:val="22"/>
          <w:szCs w:val="22"/>
          <w:lang w:val="es-AR"/>
        </w:rPr>
        <w:t xml:space="preserve">constancia de que se haya producido alguna disconformidad por parte de los miembros del citado comité en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6B6B5E" w:rsidRPr="00506990">
        <w:rPr>
          <w:rFonts w:ascii="Times New Roman" w:eastAsia="Times New Roman" w:hAnsi="Times New Roman" w:cs="Times New Roman"/>
          <w:color w:val="0D0D0D" w:themeColor="text1" w:themeTint="F2"/>
          <w:sz w:val="22"/>
          <w:szCs w:val="22"/>
          <w:lang w:val="es-AR"/>
        </w:rPr>
        <w:t>estipulado en la notificación</w:t>
      </w:r>
      <w:r w:rsidR="00841654">
        <w:rPr>
          <w:rFonts w:ascii="Times New Roman" w:eastAsia="Times New Roman" w:hAnsi="Times New Roman" w:cs="Times New Roman"/>
          <w:color w:val="0D0D0D" w:themeColor="text1" w:themeTint="F2"/>
          <w:sz w:val="22"/>
          <w:szCs w:val="22"/>
          <w:lang w:val="es-AR"/>
        </w:rPr>
        <w:t>.</w:t>
      </w:r>
    </w:p>
    <w:p w14:paraId="776C672B" w14:textId="77777777" w:rsidR="006B6B5E" w:rsidRPr="00506990" w:rsidRDefault="006B6B5E" w:rsidP="006B6B5E">
      <w:pPr>
        <w:jc w:val="center"/>
        <w:rPr>
          <w:rFonts w:ascii="Times New Roman" w:hAnsi="Times New Roman" w:cs="Times New Roman"/>
          <w:b/>
          <w:iCs/>
          <w:color w:val="0D0D0D" w:themeColor="text1" w:themeTint="F2"/>
          <w:sz w:val="22"/>
          <w:szCs w:val="22"/>
          <w:u w:val="single"/>
          <w:lang w:val="es-AR"/>
        </w:rPr>
      </w:pPr>
    </w:p>
    <w:p w14:paraId="776150E2" w14:textId="3A635EF2" w:rsidR="000157B5" w:rsidRPr="00506990" w:rsidRDefault="009F57D4" w:rsidP="000157B5">
      <w:pPr>
        <w:autoSpaceDE w:val="0"/>
        <w:autoSpaceDN w:val="0"/>
        <w:adjustRightInd w:val="0"/>
        <w:rPr>
          <w:rFonts w:ascii="Times New Roman" w:hAnsi="Times New Roman" w:cs="Times New Roman"/>
          <w:iCs/>
          <w:color w:val="0D0D0D" w:themeColor="text1" w:themeTint="F2"/>
          <w:sz w:val="22"/>
          <w:szCs w:val="22"/>
          <w:lang w:val="es-ES"/>
        </w:rPr>
      </w:pPr>
      <w:r w:rsidRPr="00506990">
        <w:rPr>
          <w:rFonts w:ascii="Times New Roman" w:hAnsi="Times New Roman" w:cs="Times New Roman"/>
          <w:iCs/>
          <w:color w:val="0D0D0D" w:themeColor="text1" w:themeTint="F2"/>
          <w:sz w:val="22"/>
          <w:szCs w:val="22"/>
          <w:lang w:val="es-ES"/>
        </w:rPr>
        <w:t>Los</w:t>
      </w:r>
      <w:r w:rsidR="000157B5" w:rsidRPr="00506990">
        <w:rPr>
          <w:rFonts w:ascii="Times New Roman" w:hAnsi="Times New Roman" w:cs="Times New Roman"/>
          <w:iCs/>
          <w:color w:val="0D0D0D" w:themeColor="text1" w:themeTint="F2"/>
          <w:sz w:val="22"/>
          <w:szCs w:val="22"/>
          <w:lang w:val="es-ES"/>
        </w:rPr>
        <w:t xml:space="preserve"> Fiduciante</w:t>
      </w:r>
      <w:r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declara</w:t>
      </w:r>
      <w:r w:rsidRPr="00506990">
        <w:rPr>
          <w:rFonts w:ascii="Times New Roman" w:hAnsi="Times New Roman" w:cs="Times New Roman"/>
          <w:iCs/>
          <w:color w:val="0D0D0D" w:themeColor="text1" w:themeTint="F2"/>
          <w:sz w:val="22"/>
          <w:szCs w:val="22"/>
          <w:lang w:val="es-ES"/>
        </w:rPr>
        <w:t>n</w:t>
      </w:r>
      <w:r w:rsidR="000157B5" w:rsidRPr="00506990">
        <w:rPr>
          <w:rFonts w:ascii="Times New Roman" w:hAnsi="Times New Roman" w:cs="Times New Roman"/>
          <w:iCs/>
          <w:color w:val="0D0D0D" w:themeColor="text1" w:themeTint="F2"/>
          <w:sz w:val="22"/>
          <w:szCs w:val="22"/>
          <w:lang w:val="es-ES"/>
        </w:rPr>
        <w:t xml:space="preserve"> que a la fecha de este Suplemento de Prospecto, (a) sin perjuicio de la indicado en el punto (</w:t>
      </w:r>
      <w:r w:rsidR="00E4547D">
        <w:rPr>
          <w:rFonts w:ascii="Times New Roman" w:hAnsi="Times New Roman" w:cs="Times New Roman"/>
          <w:iCs/>
          <w:color w:val="0D0D0D" w:themeColor="text1" w:themeTint="F2"/>
          <w:sz w:val="22"/>
          <w:szCs w:val="22"/>
          <w:lang w:val="es-ES"/>
        </w:rPr>
        <w:t>h</w:t>
      </w:r>
      <w:r w:rsidR="000157B5" w:rsidRPr="00506990">
        <w:rPr>
          <w:rFonts w:ascii="Times New Roman" w:hAnsi="Times New Roman" w:cs="Times New Roman"/>
          <w:iCs/>
          <w:color w:val="0D0D0D" w:themeColor="text1" w:themeTint="F2"/>
          <w:sz w:val="22"/>
          <w:szCs w:val="22"/>
          <w:lang w:val="es-ES"/>
        </w:rPr>
        <w:t>) y (</w:t>
      </w:r>
      <w:r w:rsidR="00E4547D">
        <w:rPr>
          <w:rFonts w:ascii="Times New Roman" w:hAnsi="Times New Roman" w:cs="Times New Roman"/>
          <w:iCs/>
          <w:color w:val="0D0D0D" w:themeColor="text1" w:themeTint="F2"/>
          <w:sz w:val="22"/>
          <w:szCs w:val="22"/>
          <w:lang w:val="es-ES"/>
        </w:rPr>
        <w:t>i</w:t>
      </w:r>
      <w:r w:rsidR="000157B5" w:rsidRPr="00506990">
        <w:rPr>
          <w:rFonts w:ascii="Times New Roman" w:hAnsi="Times New Roman" w:cs="Times New Roman"/>
          <w:iCs/>
          <w:color w:val="0D0D0D" w:themeColor="text1" w:themeTint="F2"/>
          <w:sz w:val="22"/>
          <w:szCs w:val="22"/>
          <w:lang w:val="es-ES"/>
        </w:rPr>
        <w:t>),</w:t>
      </w:r>
      <w:r w:rsidR="00FD1400">
        <w:rPr>
          <w:rFonts w:ascii="Times New Roman" w:hAnsi="Times New Roman" w:cs="Times New Roman"/>
          <w:iCs/>
          <w:color w:val="0D0D0D" w:themeColor="text1" w:themeTint="F2"/>
          <w:sz w:val="22"/>
          <w:szCs w:val="22"/>
          <w:lang w:val="es-ES"/>
        </w:rPr>
        <w:t xml:space="preserve"> </w:t>
      </w:r>
      <w:r w:rsidR="000157B5" w:rsidRPr="00506990">
        <w:rPr>
          <w:rFonts w:ascii="Times New Roman" w:hAnsi="Times New Roman" w:cs="Times New Roman"/>
          <w:iCs/>
          <w:color w:val="0D0D0D" w:themeColor="text1" w:themeTint="F2"/>
          <w:sz w:val="22"/>
          <w:szCs w:val="22"/>
          <w:lang w:val="es-ES"/>
        </w:rPr>
        <w:t>no existe ningún hecho relevante que afecte y/</w:t>
      </w:r>
      <w:r w:rsidR="000157B5" w:rsidRPr="00506990">
        <w:rPr>
          <w:rFonts w:ascii="Times New Roman" w:hAnsi="Times New Roman" w:cs="Times New Roman"/>
          <w:iCs/>
          <w:color w:val="0D0D0D" w:themeColor="text1" w:themeTint="F2"/>
          <w:sz w:val="22"/>
          <w:szCs w:val="22"/>
        </w:rPr>
        <w:t>o pudiera afectar en el futuro</w:t>
      </w:r>
      <w:r w:rsidR="000157B5" w:rsidRPr="00506990">
        <w:rPr>
          <w:rFonts w:ascii="Times New Roman" w:hAnsi="Times New Roman" w:cs="Times New Roman"/>
          <w:iCs/>
          <w:color w:val="0D0D0D" w:themeColor="text1" w:themeTint="F2"/>
          <w:sz w:val="22"/>
          <w:szCs w:val="22"/>
          <w:lang w:val="es-ES"/>
        </w:rPr>
        <w:t xml:space="preserve"> la integridad de la estructura fiduciaria ni su actuación como Administrador</w:t>
      </w:r>
      <w:r w:rsidR="00F7400D" w:rsidRPr="00506990">
        <w:rPr>
          <w:rFonts w:ascii="Times New Roman" w:hAnsi="Times New Roman" w:cs="Times New Roman"/>
          <w:iCs/>
          <w:color w:val="0D0D0D" w:themeColor="text1" w:themeTint="F2"/>
          <w:sz w:val="22"/>
          <w:szCs w:val="22"/>
          <w:lang w:val="es-ES"/>
        </w:rPr>
        <w:t>es</w:t>
      </w:r>
      <w:r w:rsidR="000157B5" w:rsidRPr="00506990">
        <w:rPr>
          <w:rFonts w:ascii="Times New Roman" w:hAnsi="Times New Roman" w:cs="Times New Roman"/>
          <w:iCs/>
          <w:color w:val="0D0D0D" w:themeColor="text1" w:themeTint="F2"/>
          <w:sz w:val="22"/>
          <w:szCs w:val="22"/>
          <w:lang w:val="es-ES"/>
        </w:rPr>
        <w:t xml:space="preserve"> y Agente</w:t>
      </w:r>
      <w:r w:rsidR="00F7400D"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 Cobro. De existir algún hecho relevante con posterioridad, el mismo será informado al Fiduciario y a la Comisión Nacional de Valores y (b) su situación económica, financiera y patrimonial, no afecta la posibilidad de cumplimiento de las funciones asignadas por este Contrato de Fideicomiso, (c) </w:t>
      </w:r>
      <w:r w:rsidR="000157B5" w:rsidRPr="00506990">
        <w:rPr>
          <w:rFonts w:ascii="Times New Roman" w:hAnsi="Times New Roman" w:cs="Times New Roman"/>
          <w:iCs/>
          <w:color w:val="0D0D0D" w:themeColor="text1" w:themeTint="F2"/>
          <w:sz w:val="22"/>
          <w:szCs w:val="22"/>
        </w:rPr>
        <w:t>que cuenta con capacidad de gestión y organización administrativa propia y adecuada para desempeñar la función de Administrador</w:t>
      </w:r>
      <w:r w:rsidRPr="00506990">
        <w:rPr>
          <w:rFonts w:ascii="Times New Roman" w:hAnsi="Times New Roman" w:cs="Times New Roman"/>
          <w:iCs/>
          <w:color w:val="0D0D0D" w:themeColor="text1" w:themeTint="F2"/>
          <w:sz w:val="22"/>
          <w:szCs w:val="22"/>
        </w:rPr>
        <w:t>es</w:t>
      </w:r>
      <w:r w:rsidR="000157B5" w:rsidRPr="00506990">
        <w:rPr>
          <w:rFonts w:ascii="Times New Roman" w:hAnsi="Times New Roman" w:cs="Times New Roman"/>
          <w:iCs/>
          <w:color w:val="0D0D0D" w:themeColor="text1" w:themeTint="F2"/>
          <w:sz w:val="22"/>
          <w:szCs w:val="22"/>
        </w:rPr>
        <w:t xml:space="preserve"> y Agente</w:t>
      </w:r>
      <w:r w:rsidRPr="00506990">
        <w:rPr>
          <w:rFonts w:ascii="Times New Roman" w:hAnsi="Times New Roman" w:cs="Times New Roman"/>
          <w:iCs/>
          <w:color w:val="0D0D0D" w:themeColor="text1" w:themeTint="F2"/>
          <w:sz w:val="22"/>
          <w:szCs w:val="22"/>
        </w:rPr>
        <w:t>s</w:t>
      </w:r>
      <w:r w:rsidR="000157B5" w:rsidRPr="00506990">
        <w:rPr>
          <w:rFonts w:ascii="Times New Roman" w:hAnsi="Times New Roman" w:cs="Times New Roman"/>
          <w:iCs/>
          <w:color w:val="0D0D0D" w:themeColor="text1" w:themeTint="F2"/>
          <w:sz w:val="22"/>
          <w:szCs w:val="22"/>
        </w:rPr>
        <w:t xml:space="preserve"> de Cobro, (d) que TINSA S.A y los Agentes Externos de Recaudación subcontratados cuentan con capacidad y estructura suficiente para desempeñar la función de recaudación (e) en el otorgamiento de los créditos se han observado las disposiciones de la Ley 25.246 modificada por ley 26.683 y las disposiciones de las resoluciones UIF 11/2012, 121/2011 52/2012, 3/2014,</w:t>
      </w:r>
      <w:r w:rsidR="00ED74F5" w:rsidRPr="00506990">
        <w:rPr>
          <w:rFonts w:ascii="Times New Roman" w:hAnsi="Times New Roman" w:cs="Times New Roman"/>
          <w:iCs/>
          <w:color w:val="0D0D0D" w:themeColor="text1" w:themeTint="F2"/>
          <w:sz w:val="22"/>
          <w:szCs w:val="22"/>
        </w:rPr>
        <w:t xml:space="preserve"> </w:t>
      </w:r>
      <w:r w:rsidR="000157B5" w:rsidRPr="00506990">
        <w:rPr>
          <w:rFonts w:ascii="Times New Roman" w:hAnsi="Times New Roman" w:cs="Times New Roman"/>
          <w:iCs/>
          <w:color w:val="0D0D0D" w:themeColor="text1" w:themeTint="F2"/>
          <w:sz w:val="22"/>
          <w:szCs w:val="22"/>
        </w:rPr>
        <w:t>4/2017</w:t>
      </w:r>
      <w:r w:rsidR="0076132E" w:rsidRPr="00506990">
        <w:rPr>
          <w:rFonts w:ascii="Times New Roman" w:hAnsi="Times New Roman" w:cs="Times New Roman"/>
          <w:iCs/>
          <w:color w:val="0D0D0D" w:themeColor="text1" w:themeTint="F2"/>
          <w:sz w:val="22"/>
          <w:szCs w:val="22"/>
        </w:rPr>
        <w:t>,</w:t>
      </w:r>
      <w:r w:rsidR="000157B5" w:rsidRPr="00506990">
        <w:rPr>
          <w:rFonts w:ascii="Times New Roman" w:hAnsi="Times New Roman" w:cs="Times New Roman"/>
          <w:iCs/>
          <w:color w:val="0D0D0D" w:themeColor="text1" w:themeTint="F2"/>
          <w:sz w:val="22"/>
          <w:szCs w:val="22"/>
        </w:rPr>
        <w:t xml:space="preserve"> </w:t>
      </w:r>
      <w:r w:rsidR="0033127E">
        <w:rPr>
          <w:rFonts w:ascii="Times New Roman" w:hAnsi="Times New Roman" w:cs="Times New Roman"/>
          <w:iCs/>
          <w:color w:val="0D0D0D" w:themeColor="text1" w:themeTint="F2"/>
          <w:sz w:val="22"/>
          <w:szCs w:val="22"/>
        </w:rPr>
        <w:t>28/2018</w:t>
      </w:r>
      <w:r w:rsidR="000157B5" w:rsidRPr="00506990">
        <w:rPr>
          <w:rFonts w:ascii="Times New Roman" w:hAnsi="Times New Roman" w:cs="Times New Roman"/>
          <w:iCs/>
          <w:color w:val="0D0D0D" w:themeColor="text1" w:themeTint="F2"/>
          <w:sz w:val="22"/>
          <w:szCs w:val="22"/>
        </w:rPr>
        <w:t xml:space="preserve"> </w:t>
      </w:r>
      <w:r w:rsidR="0076132E" w:rsidRPr="00506990">
        <w:rPr>
          <w:rFonts w:ascii="Times New Roman" w:hAnsi="Times New Roman" w:cs="Times New Roman"/>
          <w:iCs/>
          <w:color w:val="0D0D0D" w:themeColor="text1" w:themeTint="F2"/>
          <w:sz w:val="22"/>
          <w:szCs w:val="22"/>
        </w:rPr>
        <w:t xml:space="preserve"> y 156/2018</w:t>
      </w:r>
      <w:r w:rsidR="000157B5" w:rsidRPr="00506990">
        <w:rPr>
          <w:rFonts w:ascii="Times New Roman" w:hAnsi="Times New Roman" w:cs="Times New Roman"/>
          <w:iCs/>
          <w:color w:val="0D0D0D" w:themeColor="text1" w:themeTint="F2"/>
          <w:sz w:val="22"/>
          <w:szCs w:val="22"/>
        </w:rPr>
        <w:t xml:space="preserve"> sobre prevención de lavado de dinero y prevención del terrorismo, aplicables a las Cooperativas y Mutuales, y a las Entidades Financieras, respectivamente</w:t>
      </w:r>
      <w:r w:rsidR="0076132E" w:rsidRPr="00506990">
        <w:rPr>
          <w:rFonts w:ascii="Times New Roman" w:hAnsi="Times New Roman" w:cs="Times New Roman"/>
          <w:iCs/>
          <w:color w:val="0D0D0D" w:themeColor="text1" w:themeTint="F2"/>
          <w:sz w:val="22"/>
          <w:szCs w:val="22"/>
        </w:rPr>
        <w:t>.</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77777777" w:rsidR="000D2637" w:rsidRPr="00506990" w:rsidRDefault="000157B5" w:rsidP="00B228F5">
      <w:pPr>
        <w:pStyle w:val="Ttulo1"/>
        <w:jc w:val="center"/>
        <w:rPr>
          <w:rFonts w:ascii="Times New Roman" w:hAnsi="Times New Roman"/>
          <w:sz w:val="22"/>
          <w:szCs w:val="22"/>
        </w:rPr>
      </w:pPr>
      <w:bookmarkStart w:id="61" w:name="_Toc521424869"/>
      <w:bookmarkStart w:id="62"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61"/>
      <w:bookmarkEnd w:id="62"/>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4BAF7DDF" w14:textId="6272BEDD" w:rsidR="00747260" w:rsidRPr="002276F7" w:rsidRDefault="00724F57" w:rsidP="002276F7">
      <w:pPr>
        <w:spacing w:after="200" w:line="276" w:lineRule="auto"/>
        <w:jc w:val="center"/>
        <w:rPr>
          <w:rFonts w:ascii="Times New Roman" w:hAnsi="Times New Roman" w:cs="Times New Roman"/>
          <w:b/>
          <w:color w:val="0D0D0D" w:themeColor="text1" w:themeTint="F2"/>
          <w:sz w:val="22"/>
          <w:szCs w:val="22"/>
        </w:rPr>
      </w:pPr>
      <w:r w:rsidRPr="00724F57">
        <w:rPr>
          <w:rFonts w:ascii="Times New Roman" w:hAnsi="Times New Roman" w:cs="Times New Roman"/>
          <w:b/>
          <w:color w:val="0D0D0D" w:themeColor="text1" w:themeTint="F2"/>
          <w:sz w:val="22"/>
          <w:szCs w:val="22"/>
        </w:rPr>
        <w:t>BAZAR AVENIDA S.A.</w:t>
      </w:r>
    </w:p>
    <w:p w14:paraId="267CBA97" w14:textId="2C9AFA45" w:rsidR="0030646A" w:rsidRPr="00506990" w:rsidRDefault="00546BED" w:rsidP="00F77F79">
      <w:pPr>
        <w:spacing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w:t>
      </w:r>
      <w:r w:rsidR="0057621D" w:rsidRPr="00506990">
        <w:rPr>
          <w:rFonts w:ascii="Times New Roman" w:hAnsi="Times New Roman" w:cs="Times New Roman"/>
          <w:color w:val="0D0D0D" w:themeColor="text1" w:themeTint="F2"/>
          <w:sz w:val="22"/>
          <w:szCs w:val="22"/>
        </w:rPr>
        <w:t xml:space="preserve">e constituyó como Sociedad Anónima el 27 de Diciembre de 1971, inscripta en el Registro Público de Comercio de la Ciudad de Santa Fe bajo el Nro. 742 Folio 270/1, Libro 1; cuya sede social </w:t>
      </w:r>
      <w:r w:rsidR="00E677A6" w:rsidRPr="00506990">
        <w:rPr>
          <w:rFonts w:ascii="Times New Roman" w:hAnsi="Times New Roman" w:cs="Times New Roman"/>
          <w:color w:val="0D0D0D" w:themeColor="text1" w:themeTint="F2"/>
          <w:sz w:val="22"/>
          <w:szCs w:val="22"/>
        </w:rPr>
        <w:t>en curso de inscripción</w:t>
      </w:r>
      <w:r w:rsidR="0057621D" w:rsidRPr="00506990">
        <w:rPr>
          <w:rFonts w:ascii="Times New Roman" w:hAnsi="Times New Roman" w:cs="Times New Roman"/>
          <w:color w:val="0D0D0D" w:themeColor="text1" w:themeTint="F2"/>
          <w:sz w:val="22"/>
          <w:szCs w:val="22"/>
        </w:rPr>
        <w:t xml:space="preserve"> </w:t>
      </w:r>
      <w:r w:rsidR="00BA3CC4" w:rsidRPr="00506990">
        <w:rPr>
          <w:rFonts w:ascii="Times New Roman" w:hAnsi="Times New Roman" w:cs="Times New Roman"/>
          <w:color w:val="0D0D0D" w:themeColor="text1" w:themeTint="F2"/>
          <w:sz w:val="22"/>
          <w:szCs w:val="22"/>
        </w:rPr>
        <w:t xml:space="preserve">por cambio de sede social </w:t>
      </w:r>
      <w:r w:rsidR="0057621D" w:rsidRPr="00506990">
        <w:rPr>
          <w:rFonts w:ascii="Times New Roman" w:hAnsi="Times New Roman" w:cs="Times New Roman"/>
          <w:color w:val="0D0D0D" w:themeColor="text1" w:themeTint="F2"/>
          <w:sz w:val="22"/>
          <w:szCs w:val="22"/>
        </w:rPr>
        <w:t xml:space="preserve">se </w:t>
      </w:r>
      <w:r w:rsidR="0057621D" w:rsidRPr="000579E7">
        <w:rPr>
          <w:rFonts w:ascii="Times New Roman" w:hAnsi="Times New Roman" w:cs="Times New Roman"/>
          <w:color w:val="0D0D0D" w:themeColor="text1" w:themeTint="F2"/>
          <w:sz w:val="22"/>
          <w:szCs w:val="22"/>
        </w:rPr>
        <w:t xml:space="preserve">encuentra en </w:t>
      </w:r>
      <w:r w:rsidR="00C55026">
        <w:rPr>
          <w:rFonts w:ascii="Times New Roman" w:hAnsi="Times New Roman" w:cs="Times New Roman"/>
          <w:color w:val="0D0D0D" w:themeColor="text1" w:themeTint="F2"/>
          <w:sz w:val="22"/>
          <w:szCs w:val="22"/>
        </w:rPr>
        <w:t xml:space="preserve">Calle </w:t>
      </w:r>
      <w:r w:rsidR="009B5242" w:rsidRPr="009B5242">
        <w:rPr>
          <w:rFonts w:ascii="Times New Roman" w:hAnsi="Times New Roman" w:cs="Times New Roman"/>
          <w:color w:val="0D0D0D" w:themeColor="text1" w:themeTint="F2"/>
          <w:sz w:val="22"/>
          <w:szCs w:val="22"/>
        </w:rPr>
        <w:t xml:space="preserve">Cayetano Santi </w:t>
      </w:r>
      <w:r w:rsidR="00C55026">
        <w:rPr>
          <w:rFonts w:ascii="Times New Roman" w:hAnsi="Times New Roman" w:cs="Times New Roman"/>
          <w:color w:val="0D0D0D" w:themeColor="text1" w:themeTint="F2"/>
          <w:sz w:val="22"/>
          <w:szCs w:val="22"/>
        </w:rPr>
        <w:t xml:space="preserve"> N°1045</w:t>
      </w:r>
      <w:r w:rsidR="0057621D" w:rsidRPr="000579E7">
        <w:rPr>
          <w:rFonts w:ascii="Times New Roman" w:hAnsi="Times New Roman" w:cs="Times New Roman"/>
          <w:color w:val="0D0D0D" w:themeColor="text1" w:themeTint="F2"/>
          <w:sz w:val="22"/>
          <w:szCs w:val="22"/>
        </w:rPr>
        <w:t xml:space="preserve"> de la ciudad</w:t>
      </w:r>
      <w:r w:rsidR="0057621D" w:rsidRPr="00506990">
        <w:rPr>
          <w:rFonts w:ascii="Times New Roman" w:hAnsi="Times New Roman" w:cs="Times New Roman"/>
          <w:color w:val="0D0D0D" w:themeColor="text1" w:themeTint="F2"/>
          <w:sz w:val="22"/>
          <w:szCs w:val="22"/>
        </w:rPr>
        <w:t xml:space="preserve"> de Rafaela, Provincia de Santa Fe.</w:t>
      </w:r>
      <w:r w:rsidR="003E02B4" w:rsidRPr="00506990">
        <w:rPr>
          <w:rFonts w:ascii="Times New Roman" w:hAnsi="Times New Roman" w:cs="Times New Roman"/>
          <w:color w:val="0D0D0D" w:themeColor="text1" w:themeTint="F2"/>
          <w:sz w:val="22"/>
          <w:szCs w:val="22"/>
        </w:rPr>
        <w:t xml:space="preserve"> </w:t>
      </w:r>
      <w:r w:rsidR="0057621D" w:rsidRPr="00506990">
        <w:rPr>
          <w:rFonts w:ascii="Times New Roman" w:hAnsi="Times New Roman" w:cs="Times New Roman"/>
          <w:color w:val="0D0D0D" w:themeColor="text1" w:themeTint="F2"/>
          <w:sz w:val="22"/>
          <w:szCs w:val="22"/>
        </w:rPr>
        <w:t>CUIT</w:t>
      </w:r>
      <w:r w:rsidR="003E02B4" w:rsidRPr="00506990">
        <w:rPr>
          <w:rFonts w:ascii="Times New Roman" w:hAnsi="Times New Roman" w:cs="Times New Roman"/>
          <w:color w:val="0D0D0D" w:themeColor="text1" w:themeTint="F2"/>
          <w:sz w:val="22"/>
          <w:szCs w:val="22"/>
        </w:rPr>
        <w:t>: 30-53284754-</w:t>
      </w:r>
      <w:r w:rsidR="000D26CB" w:rsidRPr="00506990">
        <w:rPr>
          <w:rFonts w:ascii="Times New Roman" w:hAnsi="Times New Roman" w:cs="Times New Roman"/>
          <w:color w:val="0D0D0D" w:themeColor="text1" w:themeTint="F2"/>
          <w:sz w:val="22"/>
          <w:szCs w:val="22"/>
        </w:rPr>
        <w:t>7, Teléfono</w:t>
      </w:r>
      <w:r w:rsidR="00F57917" w:rsidRPr="00506990">
        <w:rPr>
          <w:rFonts w:ascii="Times New Roman" w:hAnsi="Times New Roman" w:cs="Times New Roman"/>
          <w:color w:val="0D0D0D" w:themeColor="text1" w:themeTint="F2"/>
          <w:sz w:val="22"/>
          <w:szCs w:val="22"/>
        </w:rPr>
        <w:t xml:space="preserve"> 03492-438090</w:t>
      </w:r>
      <w:r w:rsidR="000D26CB" w:rsidRPr="00506990">
        <w:rPr>
          <w:rFonts w:ascii="Times New Roman" w:hAnsi="Times New Roman" w:cs="Times New Roman"/>
          <w:color w:val="0D0D0D" w:themeColor="text1" w:themeTint="F2"/>
          <w:sz w:val="22"/>
          <w:szCs w:val="22"/>
        </w:rPr>
        <w:t>, Fax: 03492-438070,</w:t>
      </w:r>
      <w:r w:rsidR="00F57917" w:rsidRPr="00506990">
        <w:rPr>
          <w:rFonts w:ascii="Times New Roman" w:hAnsi="Times New Roman" w:cs="Times New Roman"/>
          <w:color w:val="0D0D0D" w:themeColor="text1" w:themeTint="F2"/>
          <w:sz w:val="22"/>
          <w:szCs w:val="22"/>
        </w:rPr>
        <w:t xml:space="preserve"> Correo electrónico </w:t>
      </w:r>
      <w:hyperlink r:id="rId27" w:history="1">
        <w:r w:rsidR="0030646A" w:rsidRPr="00506990">
          <w:rPr>
            <w:rStyle w:val="Hipervnculo"/>
            <w:rFonts w:ascii="Times New Roman" w:hAnsi="Times New Roman"/>
            <w:color w:val="0D0D0D" w:themeColor="text1" w:themeTint="F2"/>
            <w:sz w:val="22"/>
            <w:szCs w:val="22"/>
            <w:lang w:val="es-AR" w:eastAsia="en-US"/>
          </w:rPr>
          <w:t>infofid@bamegatone.com</w:t>
        </w:r>
      </w:hyperlink>
      <w:r w:rsidR="00161D3F" w:rsidRPr="00506990">
        <w:rPr>
          <w:rFonts w:ascii="Times New Roman" w:hAnsi="Times New Roman" w:cs="Times New Roman"/>
          <w:color w:val="0D0D0D" w:themeColor="text1" w:themeTint="F2"/>
          <w:sz w:val="22"/>
          <w:szCs w:val="22"/>
          <w:lang w:val="es-AR" w:eastAsia="en-US"/>
        </w:rPr>
        <w:t>.</w:t>
      </w:r>
      <w:r w:rsidR="00E13361">
        <w:rPr>
          <w:rFonts w:ascii="Times New Roman" w:hAnsi="Times New Roman" w:cs="Times New Roman"/>
          <w:color w:val="0D0D0D" w:themeColor="text1" w:themeTint="F2"/>
          <w:sz w:val="22"/>
          <w:szCs w:val="22"/>
          <w:lang w:val="es-AR" w:eastAsia="en-US"/>
        </w:rPr>
        <w:t xml:space="preserve"> Sitio web: </w:t>
      </w:r>
      <w:hyperlink r:id="rId28" w:history="1">
        <w:r w:rsidR="00E13361" w:rsidRPr="0031590E">
          <w:rPr>
            <w:rStyle w:val="Hipervnculo"/>
            <w:rFonts w:ascii="Times New Roman" w:hAnsi="Times New Roman"/>
            <w:sz w:val="22"/>
            <w:szCs w:val="22"/>
            <w:lang w:val="es-AR" w:eastAsia="en-US"/>
          </w:rPr>
          <w:t>www.megatone.net</w:t>
        </w:r>
      </w:hyperlink>
      <w:r w:rsidR="00E13361">
        <w:rPr>
          <w:rFonts w:ascii="Times New Roman" w:hAnsi="Times New Roman" w:cs="Times New Roman"/>
          <w:color w:val="0D0D0D" w:themeColor="text1" w:themeTint="F2"/>
          <w:sz w:val="22"/>
          <w:szCs w:val="22"/>
          <w:lang w:val="es-AR" w:eastAsia="en-US"/>
        </w:rPr>
        <w:t xml:space="preserve"> </w:t>
      </w:r>
    </w:p>
    <w:p w14:paraId="1A0EFFE2" w14:textId="77777777" w:rsidR="0030646A" w:rsidRPr="00506990" w:rsidRDefault="0030646A"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 encuentra inscripta en el Banco Central de la República Argentina como “Proveedor no financiero” bajo el código 55100.</w:t>
      </w:r>
    </w:p>
    <w:p w14:paraId="4C7B5073" w14:textId="77777777" w:rsidR="00F74B80" w:rsidRPr="00506990" w:rsidRDefault="00F74B80" w:rsidP="00546BED">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ORGANIZACIÓN</w:t>
      </w:r>
    </w:p>
    <w:p w14:paraId="31CA3354" w14:textId="77777777" w:rsidR="00F74B80" w:rsidRPr="00506990" w:rsidRDefault="00F74B80" w:rsidP="00BA443A">
      <w:pPr>
        <w:rPr>
          <w:rFonts w:ascii="Times New Roman" w:hAnsi="Times New Roman" w:cs="Times New Roman"/>
          <w:color w:val="0D0D0D" w:themeColor="text1" w:themeTint="F2"/>
          <w:sz w:val="22"/>
          <w:szCs w:val="22"/>
          <w:lang w:val="es-AR"/>
        </w:rPr>
      </w:pPr>
    </w:p>
    <w:p w14:paraId="351FF868" w14:textId="77777777" w:rsidR="00F74B80" w:rsidRPr="00506990" w:rsidRDefault="00F74B80">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A continuación la composición del Directorio de Bazar Avenida S.A. y la estructura organizativa vigente.</w:t>
      </w:r>
    </w:p>
    <w:p w14:paraId="26896DEC" w14:textId="77777777" w:rsidR="00F74B80" w:rsidRPr="00506990" w:rsidRDefault="00F74B80">
      <w:pPr>
        <w:rPr>
          <w:rFonts w:ascii="Times New Roman" w:hAnsi="Times New Roman" w:cs="Times New Roman"/>
          <w:color w:val="0D0D0D" w:themeColor="text1" w:themeTint="F2"/>
          <w:sz w:val="22"/>
          <w:szCs w:val="22"/>
          <w:lang w:val="es-AR"/>
        </w:rPr>
      </w:pPr>
    </w:p>
    <w:p w14:paraId="014ABCCC" w14:textId="58B09DB9"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Directorio</w:t>
      </w:r>
    </w:p>
    <w:p w14:paraId="2B398B38" w14:textId="77777777" w:rsidR="00F74B80" w:rsidRPr="00506990" w:rsidRDefault="00F74B80">
      <w:pPr>
        <w:rPr>
          <w:rFonts w:ascii="Times New Roman" w:hAnsi="Times New Roman" w:cs="Times New Roman"/>
          <w:color w:val="0D0D0D" w:themeColor="text1" w:themeTint="F2"/>
          <w:sz w:val="22"/>
          <w:szCs w:val="22"/>
          <w:lang w:val="es-AR"/>
        </w:rPr>
      </w:pPr>
    </w:p>
    <w:tbl>
      <w:tblPr>
        <w:tblW w:w="7506" w:type="dxa"/>
        <w:jc w:val="center"/>
        <w:tblCellMar>
          <w:left w:w="70" w:type="dxa"/>
          <w:right w:w="70" w:type="dxa"/>
        </w:tblCellMar>
        <w:tblLook w:val="04A0" w:firstRow="1" w:lastRow="0" w:firstColumn="1" w:lastColumn="0" w:noHBand="0" w:noVBand="1"/>
      </w:tblPr>
      <w:tblGrid>
        <w:gridCol w:w="1836"/>
        <w:gridCol w:w="2595"/>
        <w:gridCol w:w="3075"/>
      </w:tblGrid>
      <w:tr w:rsidR="00F74B80" w:rsidRPr="00506990" w14:paraId="2BB09001" w14:textId="77777777" w:rsidTr="006F15A1">
        <w:trPr>
          <w:trHeight w:val="300"/>
          <w:jc w:val="center"/>
        </w:trPr>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99EA428"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CARGO</w:t>
            </w:r>
          </w:p>
        </w:tc>
        <w:tc>
          <w:tcPr>
            <w:tcW w:w="259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0C7C71"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NOMBRE Y APELLIDO</w:t>
            </w:r>
          </w:p>
        </w:tc>
        <w:tc>
          <w:tcPr>
            <w:tcW w:w="3075" w:type="dxa"/>
            <w:tcBorders>
              <w:top w:val="single" w:sz="4" w:space="0" w:color="auto"/>
              <w:left w:val="nil"/>
              <w:bottom w:val="single" w:sz="4" w:space="0" w:color="auto"/>
              <w:right w:val="single" w:sz="4" w:space="0" w:color="auto"/>
            </w:tcBorders>
            <w:shd w:val="clear" w:color="auto" w:fill="BFBFBF" w:themeFill="background1" w:themeFillShade="BF"/>
          </w:tcPr>
          <w:p w14:paraId="180EDE69"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VENCIMIENTO</w:t>
            </w:r>
          </w:p>
          <w:p w14:paraId="0D771014"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DE MANDATO</w:t>
            </w:r>
          </w:p>
        </w:tc>
      </w:tr>
      <w:tr w:rsidR="00F74B80" w:rsidRPr="00506990" w14:paraId="6BFE6633"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2F914DCE"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Presidente</w:t>
            </w:r>
          </w:p>
        </w:tc>
        <w:tc>
          <w:tcPr>
            <w:tcW w:w="2595" w:type="dxa"/>
            <w:tcBorders>
              <w:top w:val="nil"/>
              <w:left w:val="nil"/>
              <w:bottom w:val="single" w:sz="4" w:space="0" w:color="auto"/>
              <w:right w:val="single" w:sz="4" w:space="0" w:color="auto"/>
            </w:tcBorders>
            <w:shd w:val="clear" w:color="auto" w:fill="auto"/>
            <w:noWrap/>
            <w:vAlign w:val="center"/>
            <w:hideMark/>
          </w:tcPr>
          <w:p w14:paraId="7462B0B3"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Sergio Juan Luis</w:t>
            </w:r>
          </w:p>
        </w:tc>
        <w:tc>
          <w:tcPr>
            <w:tcW w:w="3075" w:type="dxa"/>
            <w:tcBorders>
              <w:top w:val="nil"/>
              <w:left w:val="nil"/>
              <w:bottom w:val="single" w:sz="4" w:space="0" w:color="auto"/>
              <w:right w:val="single" w:sz="4" w:space="0" w:color="auto"/>
            </w:tcBorders>
            <w:vAlign w:val="bottom"/>
          </w:tcPr>
          <w:p w14:paraId="0921AD34" w14:textId="399A4FBC"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FF6E30">
              <w:rPr>
                <w:rFonts w:ascii="Times New Roman" w:hAnsi="Times New Roman" w:cs="Times New Roman"/>
                <w:color w:val="0D0D0D" w:themeColor="text1" w:themeTint="F2"/>
                <w:sz w:val="22"/>
                <w:szCs w:val="22"/>
              </w:rPr>
              <w:t>5</w:t>
            </w:r>
          </w:p>
        </w:tc>
      </w:tr>
      <w:tr w:rsidR="00F74B80" w:rsidRPr="00506990" w14:paraId="2B470781"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9A3A937"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Vicepresidente</w:t>
            </w:r>
          </w:p>
        </w:tc>
        <w:tc>
          <w:tcPr>
            <w:tcW w:w="2595" w:type="dxa"/>
            <w:tcBorders>
              <w:top w:val="nil"/>
              <w:left w:val="nil"/>
              <w:bottom w:val="single" w:sz="4" w:space="0" w:color="auto"/>
              <w:right w:val="single" w:sz="4" w:space="0" w:color="auto"/>
            </w:tcBorders>
            <w:shd w:val="clear" w:color="auto" w:fill="auto"/>
            <w:noWrap/>
            <w:vAlign w:val="center"/>
            <w:hideMark/>
          </w:tcPr>
          <w:p w14:paraId="369F7208"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Jorge Ramón</w:t>
            </w:r>
          </w:p>
        </w:tc>
        <w:tc>
          <w:tcPr>
            <w:tcW w:w="3075" w:type="dxa"/>
            <w:tcBorders>
              <w:top w:val="nil"/>
              <w:left w:val="nil"/>
              <w:bottom w:val="single" w:sz="4" w:space="0" w:color="auto"/>
              <w:right w:val="single" w:sz="4" w:space="0" w:color="auto"/>
            </w:tcBorders>
            <w:vAlign w:val="bottom"/>
          </w:tcPr>
          <w:p w14:paraId="1DE66896" w14:textId="6FF1C113"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w:t>
            </w:r>
            <w:r w:rsidR="00FF6E30">
              <w:rPr>
                <w:rFonts w:ascii="Times New Roman" w:hAnsi="Times New Roman" w:cs="Times New Roman"/>
                <w:color w:val="0D0D0D" w:themeColor="text1" w:themeTint="F2"/>
                <w:sz w:val="22"/>
                <w:szCs w:val="22"/>
              </w:rPr>
              <w:t>5</w:t>
            </w:r>
          </w:p>
        </w:tc>
      </w:tr>
      <w:tr w:rsidR="00F74B80" w:rsidRPr="00506990" w14:paraId="0C3EC284"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5EF79E80"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Titular</w:t>
            </w:r>
          </w:p>
        </w:tc>
        <w:tc>
          <w:tcPr>
            <w:tcW w:w="2595" w:type="dxa"/>
            <w:tcBorders>
              <w:top w:val="nil"/>
              <w:left w:val="nil"/>
              <w:bottom w:val="single" w:sz="4" w:space="0" w:color="auto"/>
              <w:right w:val="single" w:sz="4" w:space="0" w:color="auto"/>
            </w:tcBorders>
            <w:shd w:val="clear" w:color="auto" w:fill="auto"/>
            <w:noWrap/>
            <w:vAlign w:val="center"/>
            <w:hideMark/>
          </w:tcPr>
          <w:p w14:paraId="5C888F02"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Fregona, José Omar</w:t>
            </w:r>
          </w:p>
        </w:tc>
        <w:tc>
          <w:tcPr>
            <w:tcW w:w="3075" w:type="dxa"/>
            <w:tcBorders>
              <w:top w:val="nil"/>
              <w:left w:val="nil"/>
              <w:bottom w:val="single" w:sz="4" w:space="0" w:color="auto"/>
              <w:right w:val="single" w:sz="4" w:space="0" w:color="auto"/>
            </w:tcBorders>
            <w:vAlign w:val="bottom"/>
          </w:tcPr>
          <w:p w14:paraId="7DE318E3" w14:textId="2888F7AE"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FF6E30">
              <w:rPr>
                <w:rFonts w:ascii="Times New Roman" w:hAnsi="Times New Roman" w:cs="Times New Roman"/>
                <w:color w:val="0D0D0D" w:themeColor="text1" w:themeTint="F2"/>
                <w:sz w:val="22"/>
                <w:szCs w:val="22"/>
              </w:rPr>
              <w:t>5</w:t>
            </w:r>
          </w:p>
        </w:tc>
      </w:tr>
      <w:tr w:rsidR="00F74B80" w:rsidRPr="00506990" w14:paraId="58A3125D"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5EB8F3C7"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center"/>
            <w:hideMark/>
          </w:tcPr>
          <w:p w14:paraId="786D117A"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Daniel Alejandro</w:t>
            </w:r>
          </w:p>
        </w:tc>
        <w:tc>
          <w:tcPr>
            <w:tcW w:w="3075" w:type="dxa"/>
            <w:tcBorders>
              <w:top w:val="nil"/>
              <w:left w:val="nil"/>
              <w:bottom w:val="single" w:sz="4" w:space="0" w:color="auto"/>
              <w:right w:val="single" w:sz="4" w:space="0" w:color="auto"/>
            </w:tcBorders>
            <w:vAlign w:val="bottom"/>
          </w:tcPr>
          <w:p w14:paraId="0B445CA6" w14:textId="299298C4" w:rsidR="00F74B80" w:rsidRPr="00506990" w:rsidRDefault="00F74B80" w:rsidP="00414952">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414952" w:rsidRPr="00506990">
              <w:rPr>
                <w:rFonts w:ascii="Times New Roman" w:hAnsi="Times New Roman" w:cs="Times New Roman"/>
                <w:color w:val="0D0D0D" w:themeColor="text1" w:themeTint="F2"/>
                <w:sz w:val="22"/>
                <w:szCs w:val="22"/>
              </w:rPr>
              <w:t>202</w:t>
            </w:r>
            <w:r w:rsidR="00FF6E30">
              <w:rPr>
                <w:rFonts w:ascii="Times New Roman" w:hAnsi="Times New Roman" w:cs="Times New Roman"/>
                <w:color w:val="0D0D0D" w:themeColor="text1" w:themeTint="F2"/>
                <w:sz w:val="22"/>
                <w:szCs w:val="22"/>
              </w:rPr>
              <w:t>5</w:t>
            </w:r>
          </w:p>
        </w:tc>
      </w:tr>
      <w:tr w:rsidR="00F74B80" w:rsidRPr="00506990" w14:paraId="1B21537F"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03044D42"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center"/>
            <w:hideMark/>
          </w:tcPr>
          <w:p w14:paraId="57149DCA" w14:textId="77FB66C6" w:rsidR="00F74B80" w:rsidRPr="00506990" w:rsidRDefault="00F74B80">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Santi, </w:t>
            </w:r>
            <w:r w:rsidR="00FF6E30" w:rsidRPr="00506990">
              <w:rPr>
                <w:rFonts w:ascii="Times New Roman" w:hAnsi="Times New Roman" w:cs="Times New Roman"/>
                <w:color w:val="0D0D0D" w:themeColor="text1" w:themeTint="F2"/>
                <w:sz w:val="22"/>
                <w:szCs w:val="22"/>
              </w:rPr>
              <w:t>M</w:t>
            </w:r>
            <w:r w:rsidR="00FF6E30">
              <w:rPr>
                <w:rFonts w:ascii="Times New Roman" w:hAnsi="Times New Roman" w:cs="Times New Roman"/>
                <w:color w:val="0D0D0D" w:themeColor="text1" w:themeTint="F2"/>
                <w:sz w:val="22"/>
                <w:szCs w:val="22"/>
              </w:rPr>
              <w:t>arco</w:t>
            </w:r>
          </w:p>
        </w:tc>
        <w:tc>
          <w:tcPr>
            <w:tcW w:w="3075" w:type="dxa"/>
            <w:tcBorders>
              <w:top w:val="nil"/>
              <w:left w:val="nil"/>
              <w:bottom w:val="single" w:sz="4" w:space="0" w:color="auto"/>
              <w:right w:val="single" w:sz="4" w:space="0" w:color="auto"/>
            </w:tcBorders>
            <w:vAlign w:val="bottom"/>
          </w:tcPr>
          <w:p w14:paraId="4CF62CCB" w14:textId="02A2B664"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FF6E30">
              <w:rPr>
                <w:rFonts w:ascii="Times New Roman" w:hAnsi="Times New Roman" w:cs="Times New Roman"/>
                <w:color w:val="0D0D0D" w:themeColor="text1" w:themeTint="F2"/>
                <w:sz w:val="22"/>
                <w:szCs w:val="22"/>
              </w:rPr>
              <w:t>5</w:t>
            </w:r>
          </w:p>
        </w:tc>
      </w:tr>
      <w:tr w:rsidR="00F74B80" w:rsidRPr="00506990" w14:paraId="65C74559" w14:textId="77777777" w:rsidTr="00EA5C6B">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88CEA41"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center"/>
            <w:hideMark/>
          </w:tcPr>
          <w:p w14:paraId="0103A585" w14:textId="77777777" w:rsidR="00F74B80" w:rsidRPr="00506990" w:rsidRDefault="00F74B80" w:rsidP="00EA5C6B">
            <w:pPr>
              <w:jc w:val="left"/>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Javier Hernán</w:t>
            </w:r>
          </w:p>
        </w:tc>
        <w:tc>
          <w:tcPr>
            <w:tcW w:w="3075" w:type="dxa"/>
            <w:tcBorders>
              <w:top w:val="nil"/>
              <w:left w:val="nil"/>
              <w:bottom w:val="single" w:sz="4" w:space="0" w:color="auto"/>
              <w:right w:val="single" w:sz="4" w:space="0" w:color="auto"/>
            </w:tcBorders>
            <w:vAlign w:val="bottom"/>
          </w:tcPr>
          <w:p w14:paraId="03F193FF" w14:textId="373BC291"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FF6E30">
              <w:rPr>
                <w:rFonts w:ascii="Times New Roman" w:hAnsi="Times New Roman" w:cs="Times New Roman"/>
                <w:color w:val="0D0D0D" w:themeColor="text1" w:themeTint="F2"/>
                <w:sz w:val="22"/>
                <w:szCs w:val="22"/>
              </w:rPr>
              <w:t>5</w:t>
            </w:r>
          </w:p>
        </w:tc>
      </w:tr>
    </w:tbl>
    <w:p w14:paraId="53DF46E4" w14:textId="77777777" w:rsidR="00E40497" w:rsidRPr="00506990" w:rsidRDefault="00E40497" w:rsidP="00BA443A">
      <w:pPr>
        <w:rPr>
          <w:rFonts w:ascii="Times New Roman" w:hAnsi="Times New Roman" w:cs="Times New Roman"/>
          <w:color w:val="0D0D0D" w:themeColor="text1" w:themeTint="F2"/>
          <w:sz w:val="22"/>
          <w:szCs w:val="22"/>
        </w:rPr>
      </w:pPr>
    </w:p>
    <w:p w14:paraId="37AF70A5"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0813F48" w14:textId="77777777" w:rsidR="00F74B80" w:rsidRPr="00506990" w:rsidRDefault="00F74B80">
      <w:pPr>
        <w:rPr>
          <w:rFonts w:ascii="Times New Roman" w:hAnsi="Times New Roman" w:cs="Times New Roman"/>
          <w:color w:val="0D0D0D" w:themeColor="text1" w:themeTint="F2"/>
          <w:sz w:val="22"/>
          <w:szCs w:val="22"/>
        </w:rPr>
      </w:pPr>
    </w:p>
    <w:p w14:paraId="2C149B78" w14:textId="77777777"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EMPRESA</w:t>
      </w:r>
    </w:p>
    <w:p w14:paraId="2D9D0258" w14:textId="77777777" w:rsidR="00F74B80" w:rsidRPr="00506990" w:rsidRDefault="00F74B80"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S.A. es una empresa de origen familiar que nació en la ciudad de Rafaela (provincia de Santa Fe) en Octubre de 1951, dedicándose a la venta de artículos de Bazar.</w:t>
      </w:r>
    </w:p>
    <w:p w14:paraId="7B6FA2D6"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Basada desde sus inicios en la administración personal de sus propietarios-accionistas, inició su expansión en la región central del país llegando inicialmente a ciudades de la provincia de Santa Fe y Córdoba, para luego alcanzar cobertura nacional. </w:t>
      </w:r>
    </w:p>
    <w:p w14:paraId="04C6E6C7"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Su evolución en el tiempo le permitió incorporar distintos rubros: electrodomésticos, TV, audio, video, computación, muebles, motos, adaptándose a las innovaciones en tecnología y a las necesidades del mercado.</w:t>
      </w:r>
    </w:p>
    <w:p w14:paraId="5D901DA8" w14:textId="07A6C8A4"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En la década del 90 comenzó a operar bajo </w:t>
      </w:r>
      <w:r w:rsidR="00DD3ABB">
        <w:rPr>
          <w:rFonts w:ascii="Times New Roman" w:hAnsi="Times New Roman" w:cs="Times New Roman"/>
          <w:color w:val="0D0D0D" w:themeColor="text1" w:themeTint="F2"/>
          <w:sz w:val="22"/>
          <w:szCs w:val="22"/>
        </w:rPr>
        <w:t xml:space="preserve">el nombre comercial </w:t>
      </w:r>
      <w:r w:rsidRPr="00506990">
        <w:rPr>
          <w:rFonts w:ascii="Times New Roman" w:hAnsi="Times New Roman" w:cs="Times New Roman"/>
          <w:color w:val="0D0D0D" w:themeColor="text1" w:themeTint="F2"/>
          <w:sz w:val="22"/>
          <w:szCs w:val="22"/>
        </w:rPr>
        <w:t>MEGATONE, potenciando su desarrollo institucional y comercial, profesionalizando sus áreas de actividad para adecuarlas a las exigencias de competitividad y desarrollo, contando con un staff de personal que permitió acompañar el crecimiento de la compañía.</w:t>
      </w:r>
    </w:p>
    <w:p w14:paraId="7CCEAD2A"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Este crecimiento siempre fue apuntalado con inversiones en equipamiento y sistemas que le permitieron solventar correctamente las operaciones clave. Ejemplos de ello son la implementación del ERP SAP para sus funciones contables y logísticas; y el sistema de scoring para el proceso de otorgamiento de créditos, proporcionado por SPSS –IBM.</w:t>
      </w:r>
    </w:p>
    <w:p w14:paraId="1FD61D1F"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logística en una empresa de retail con amplia cobertura geográfica se convierte en uno de los procesos estratégicos del negocio. Entendido de esa manera, además de los sistemas incorporados, en 2006 se inaugura en el Parque Industrial de Campana un Centro de Distribución modelo de más de 15.000 metros cuadrados, siendo ésta localización óptima por su cercanía a los proveedores de mercaderías, a los puertos importantes y a las principales vías de comunicación del país, lo que permite lograr las mayores eficiencias en el abastecimiento de todas sus sucursales.</w:t>
      </w:r>
    </w:p>
    <w:p w14:paraId="7427E149"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siempre ha ofrecido a sus clientes las mejores condiciones comerciales, incorporando la facilidad de financiación de los productos, resultando este canal uno de los ejes fundamentales del crecimiento de la empresa.</w:t>
      </w:r>
    </w:p>
    <w:p w14:paraId="38FAA21C"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Dentro del negocio financiero, la empresa fue pionera en la comercialización de créditos personales en efectivo dentro de los mismos locales de retail.</w:t>
      </w:r>
    </w:p>
    <w:p w14:paraId="0229D7EE"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Comprendiendo la importancia estratégica de este esquema comercial, la empresa incorporó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De esta manera, no solamente se simplifica el proceso de otorgamiento, sino que además se logra cumplir con los más exigentes estándares de calidad.</w:t>
      </w:r>
    </w:p>
    <w:p w14:paraId="1A4D6B14"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rPr>
        <w:t xml:space="preserve">Durante 2008/2009, la crisis económica complicó su situación financiera, </w:t>
      </w:r>
      <w:r w:rsidR="002B5951" w:rsidRPr="00506990">
        <w:rPr>
          <w:rFonts w:ascii="Times New Roman" w:hAnsi="Times New Roman" w:cs="Times New Roman"/>
          <w:color w:val="0D0D0D" w:themeColor="text1" w:themeTint="F2"/>
          <w:sz w:val="22"/>
          <w:szCs w:val="22"/>
          <w:lang w:val="es-AR"/>
        </w:rPr>
        <w:t xml:space="preserve">y con fecha 29 de diciembre de 2009 la Compañía solicitó su concurso preventivo ante el Juzgado de Primera Instancia en lo Civil, Comercial y del Trabajo del Distrito Judicial Nro. 5 y de la Tercera Nominación de Rafaela (Provincia de Santa Fe). </w:t>
      </w:r>
      <w:r w:rsidR="002B5951" w:rsidRPr="00506990">
        <w:rPr>
          <w:rFonts w:ascii="Times New Roman" w:hAnsi="Times New Roman" w:cs="Times New Roman"/>
          <w:color w:val="0D0D0D" w:themeColor="text1" w:themeTint="F2"/>
          <w:sz w:val="22"/>
          <w:szCs w:val="22"/>
          <w:lang w:val="pt-BR"/>
        </w:rPr>
        <w:t>Caratulado: “EXPTE. N°2067- AÑO: 2.009- BAZAR AVENIDA S.A S/ CONCURSO PREVENTIVO”.</w:t>
      </w:r>
    </w:p>
    <w:p w14:paraId="6ABBDD3B" w14:textId="33A7DCBF" w:rsidR="008650DB" w:rsidRPr="000256C9" w:rsidRDefault="008650DB" w:rsidP="00FF1ED8">
      <w:pPr>
        <w:numPr>
          <w:ilvl w:val="1"/>
          <w:numId w:val="4"/>
        </w:numPr>
        <w:tabs>
          <w:tab w:val="clear" w:pos="1080"/>
          <w:tab w:val="num" w:pos="720"/>
        </w:tabs>
        <w:spacing w:after="200"/>
        <w:ind w:left="426"/>
        <w:rPr>
          <w:rFonts w:ascii="Times New Roman" w:hAnsi="Times New Roman" w:cs="Times New Roman"/>
          <w:color w:val="0D0D0D" w:themeColor="text1" w:themeTint="F2"/>
          <w:sz w:val="22"/>
          <w:szCs w:val="22"/>
        </w:rPr>
      </w:pPr>
      <w:r w:rsidRPr="000256C9">
        <w:rPr>
          <w:rFonts w:ascii="Times New Roman" w:hAnsi="Times New Roman" w:cs="Times New Roman"/>
          <w:color w:val="0D0D0D" w:themeColor="text1" w:themeTint="F2"/>
          <w:sz w:val="22"/>
          <w:szCs w:val="22"/>
        </w:rPr>
        <w:t>El acuerdo concursal fue homologado mediante resolución N° 549 del 26/08/2013, resolución judicial integradora de la anterior N° 277 de fecha 13/05/2013. Bazar Avenida inició los pagos en octubre de 2013, con perfecto cumplimiento de los compromisos asumidos según surge de la opinión legal de los abogados del concurso</w:t>
      </w:r>
      <w:r w:rsidRPr="004A2F48">
        <w:rPr>
          <w:rFonts w:ascii="Times New Roman" w:hAnsi="Times New Roman" w:cs="Times New Roman"/>
          <w:color w:val="0D0D0D" w:themeColor="text1" w:themeTint="F2"/>
          <w:sz w:val="22"/>
          <w:szCs w:val="22"/>
        </w:rPr>
        <w:t xml:space="preserve">. Al </w:t>
      </w:r>
      <w:r w:rsidR="009A7FE7">
        <w:rPr>
          <w:rFonts w:ascii="Times New Roman" w:hAnsi="Times New Roman" w:cs="Times New Roman"/>
          <w:color w:val="0D0D0D" w:themeColor="text1" w:themeTint="F2"/>
          <w:sz w:val="22"/>
          <w:szCs w:val="22"/>
        </w:rPr>
        <w:t>3</w:t>
      </w:r>
      <w:r w:rsidR="003A6ADC">
        <w:rPr>
          <w:rFonts w:ascii="Times New Roman" w:hAnsi="Times New Roman" w:cs="Times New Roman"/>
          <w:color w:val="0D0D0D" w:themeColor="text1" w:themeTint="F2"/>
          <w:sz w:val="22"/>
          <w:szCs w:val="22"/>
        </w:rPr>
        <w:t>0</w:t>
      </w:r>
      <w:r w:rsidR="00E54225">
        <w:rPr>
          <w:rFonts w:ascii="Times New Roman" w:hAnsi="Times New Roman" w:cs="Times New Roman"/>
          <w:color w:val="0D0D0D" w:themeColor="text1" w:themeTint="F2"/>
          <w:sz w:val="22"/>
          <w:szCs w:val="22"/>
        </w:rPr>
        <w:t>/0</w:t>
      </w:r>
      <w:r w:rsidR="003A6ADC">
        <w:rPr>
          <w:rFonts w:ascii="Times New Roman" w:hAnsi="Times New Roman" w:cs="Times New Roman"/>
          <w:color w:val="0D0D0D" w:themeColor="text1" w:themeTint="F2"/>
          <w:sz w:val="22"/>
          <w:szCs w:val="22"/>
        </w:rPr>
        <w:t>9</w:t>
      </w:r>
      <w:r w:rsidRPr="004A2F48">
        <w:rPr>
          <w:rFonts w:ascii="Times New Roman" w:hAnsi="Times New Roman" w:cs="Times New Roman"/>
          <w:color w:val="0D0D0D" w:themeColor="text1" w:themeTint="F2"/>
          <w:sz w:val="22"/>
          <w:szCs w:val="22"/>
        </w:rPr>
        <w:t>/202</w:t>
      </w:r>
      <w:r w:rsidR="00285F79">
        <w:rPr>
          <w:rFonts w:ascii="Times New Roman" w:hAnsi="Times New Roman" w:cs="Times New Roman"/>
          <w:color w:val="0D0D0D" w:themeColor="text1" w:themeTint="F2"/>
          <w:sz w:val="22"/>
          <w:szCs w:val="22"/>
        </w:rPr>
        <w:t>3</w:t>
      </w:r>
      <w:r w:rsidRPr="004A2F48">
        <w:rPr>
          <w:rFonts w:ascii="Times New Roman" w:hAnsi="Times New Roman" w:cs="Times New Roman"/>
          <w:color w:val="0D0D0D" w:themeColor="text1" w:themeTint="F2"/>
          <w:sz w:val="22"/>
          <w:szCs w:val="22"/>
        </w:rPr>
        <w:t xml:space="preserve"> el monto de capital pendiente de cancelación asciende </w:t>
      </w:r>
      <w:r w:rsidRPr="00F84CE8">
        <w:rPr>
          <w:rFonts w:ascii="Times New Roman" w:hAnsi="Times New Roman" w:cs="Times New Roman"/>
          <w:color w:val="0D0D0D" w:themeColor="text1" w:themeTint="F2"/>
          <w:sz w:val="22"/>
          <w:szCs w:val="22"/>
        </w:rPr>
        <w:t>a $</w:t>
      </w:r>
      <w:r w:rsidR="00FF1ED8" w:rsidRPr="00FF1ED8">
        <w:rPr>
          <w:rFonts w:ascii="Times New Roman" w:hAnsi="Times New Roman" w:cs="Times New Roman"/>
          <w:color w:val="0D0D0D" w:themeColor="text1" w:themeTint="F2"/>
          <w:sz w:val="22"/>
          <w:szCs w:val="22"/>
        </w:rPr>
        <w:t>18</w:t>
      </w:r>
      <w:r w:rsidR="00FF1ED8">
        <w:rPr>
          <w:rFonts w:ascii="Times New Roman" w:hAnsi="Times New Roman" w:cs="Times New Roman"/>
          <w:color w:val="0D0D0D" w:themeColor="text1" w:themeTint="F2"/>
          <w:sz w:val="22"/>
          <w:szCs w:val="22"/>
        </w:rPr>
        <w:t>.</w:t>
      </w:r>
      <w:r w:rsidR="00FF1ED8" w:rsidRPr="00FF1ED8">
        <w:rPr>
          <w:rFonts w:ascii="Times New Roman" w:hAnsi="Times New Roman" w:cs="Times New Roman"/>
          <w:color w:val="0D0D0D" w:themeColor="text1" w:themeTint="F2"/>
          <w:sz w:val="22"/>
          <w:szCs w:val="22"/>
        </w:rPr>
        <w:t>925</w:t>
      </w:r>
      <w:r w:rsidR="00FF1ED8">
        <w:rPr>
          <w:rFonts w:ascii="Times New Roman" w:hAnsi="Times New Roman" w:cs="Times New Roman"/>
          <w:color w:val="0D0D0D" w:themeColor="text1" w:themeTint="F2"/>
          <w:sz w:val="22"/>
          <w:szCs w:val="22"/>
        </w:rPr>
        <w:t>.</w:t>
      </w:r>
      <w:r w:rsidR="00FF1ED8" w:rsidRPr="00FF1ED8">
        <w:rPr>
          <w:rFonts w:ascii="Times New Roman" w:hAnsi="Times New Roman" w:cs="Times New Roman"/>
          <w:color w:val="0D0D0D" w:themeColor="text1" w:themeTint="F2"/>
          <w:sz w:val="22"/>
          <w:szCs w:val="22"/>
        </w:rPr>
        <w:t>814</w:t>
      </w:r>
      <w:r w:rsidRPr="00F84CE8">
        <w:rPr>
          <w:rFonts w:ascii="Times New Roman" w:hAnsi="Times New Roman" w:cs="Times New Roman"/>
          <w:color w:val="0D0D0D" w:themeColor="text1" w:themeTint="F2"/>
          <w:sz w:val="22"/>
          <w:szCs w:val="22"/>
        </w:rPr>
        <w:t xml:space="preserve"> y USD </w:t>
      </w:r>
      <w:r w:rsidR="00FF1ED8">
        <w:rPr>
          <w:rFonts w:ascii="Times New Roman" w:hAnsi="Times New Roman" w:cs="Times New Roman"/>
          <w:color w:val="0D0D0D" w:themeColor="text1" w:themeTint="F2"/>
          <w:sz w:val="22"/>
          <w:szCs w:val="22"/>
        </w:rPr>
        <w:t>304.542</w:t>
      </w:r>
      <w:r w:rsidRPr="00F84CE8">
        <w:rPr>
          <w:rFonts w:ascii="Times New Roman" w:hAnsi="Times New Roman" w:cs="Times New Roman"/>
          <w:color w:val="0D0D0D" w:themeColor="text1" w:themeTint="F2"/>
          <w:sz w:val="22"/>
          <w:szCs w:val="22"/>
        </w:rPr>
        <w:t>.</w:t>
      </w:r>
      <w:r w:rsidRPr="000256C9">
        <w:rPr>
          <w:rFonts w:ascii="Times New Roman" w:hAnsi="Times New Roman" w:cs="Times New Roman"/>
          <w:color w:val="0D0D0D" w:themeColor="text1" w:themeTint="F2"/>
          <w:sz w:val="22"/>
          <w:szCs w:val="22"/>
        </w:rPr>
        <w:t xml:space="preserve"> </w:t>
      </w:r>
    </w:p>
    <w:p w14:paraId="7B2E59BD" w14:textId="3D4AD23C" w:rsidR="008650DB" w:rsidRPr="000256C9" w:rsidRDefault="008650DB" w:rsidP="008650DB">
      <w:pPr>
        <w:spacing w:after="200" w:line="276" w:lineRule="auto"/>
        <w:ind w:left="360"/>
        <w:rPr>
          <w:rFonts w:ascii="Times New Roman" w:hAnsi="Times New Roman" w:cs="Times New Roman"/>
          <w:b/>
          <w:color w:val="0D0D0D" w:themeColor="text1" w:themeTint="F2"/>
          <w:sz w:val="22"/>
          <w:szCs w:val="22"/>
          <w:u w:val="single"/>
        </w:rPr>
      </w:pPr>
      <w:r w:rsidRPr="000256C9">
        <w:rPr>
          <w:rFonts w:ascii="Times New Roman" w:hAnsi="Times New Roman" w:cs="Times New Roman"/>
          <w:b/>
          <w:color w:val="0D0D0D" w:themeColor="text1" w:themeTint="F2"/>
          <w:sz w:val="22"/>
          <w:szCs w:val="22"/>
          <w:u w:val="single"/>
        </w:rPr>
        <w:t xml:space="preserve">Detalle del Estado de la Deuda </w:t>
      </w:r>
      <w:r w:rsidRPr="00D02BC7">
        <w:rPr>
          <w:rFonts w:ascii="Times New Roman" w:hAnsi="Times New Roman" w:cs="Times New Roman"/>
          <w:b/>
          <w:color w:val="0D0D0D" w:themeColor="text1" w:themeTint="F2"/>
          <w:sz w:val="22"/>
          <w:szCs w:val="22"/>
          <w:u w:val="single"/>
        </w:rPr>
        <w:t xml:space="preserve">Concursal </w:t>
      </w:r>
      <w:r w:rsidRPr="00D11818">
        <w:rPr>
          <w:rFonts w:ascii="Times New Roman" w:hAnsi="Times New Roman" w:cs="Times New Roman"/>
          <w:b/>
          <w:color w:val="0D0D0D" w:themeColor="text1" w:themeTint="F2"/>
          <w:sz w:val="22"/>
          <w:szCs w:val="22"/>
          <w:u w:val="single"/>
        </w:rPr>
        <w:t xml:space="preserve">al </w:t>
      </w:r>
      <w:r w:rsidR="0068384B">
        <w:rPr>
          <w:rFonts w:ascii="Times New Roman" w:hAnsi="Times New Roman" w:cs="Times New Roman"/>
          <w:b/>
          <w:color w:val="0D0D0D" w:themeColor="text1" w:themeTint="F2"/>
          <w:sz w:val="22"/>
          <w:szCs w:val="22"/>
          <w:u w:val="single"/>
        </w:rPr>
        <w:t>3</w:t>
      </w:r>
      <w:r w:rsidR="003A6ADC">
        <w:rPr>
          <w:rFonts w:ascii="Times New Roman" w:hAnsi="Times New Roman" w:cs="Times New Roman"/>
          <w:b/>
          <w:color w:val="0D0D0D" w:themeColor="text1" w:themeTint="F2"/>
          <w:sz w:val="22"/>
          <w:szCs w:val="22"/>
          <w:u w:val="single"/>
        </w:rPr>
        <w:t>0</w:t>
      </w:r>
      <w:r w:rsidR="00E54225">
        <w:rPr>
          <w:rFonts w:ascii="Times New Roman" w:hAnsi="Times New Roman" w:cs="Times New Roman"/>
          <w:b/>
          <w:color w:val="0D0D0D" w:themeColor="text1" w:themeTint="F2"/>
          <w:sz w:val="22"/>
          <w:szCs w:val="22"/>
          <w:u w:val="single"/>
        </w:rPr>
        <w:t>/</w:t>
      </w:r>
      <w:r w:rsidR="0068384B">
        <w:rPr>
          <w:rFonts w:ascii="Times New Roman" w:hAnsi="Times New Roman" w:cs="Times New Roman"/>
          <w:b/>
          <w:color w:val="0D0D0D" w:themeColor="text1" w:themeTint="F2"/>
          <w:sz w:val="22"/>
          <w:szCs w:val="22"/>
          <w:u w:val="single"/>
        </w:rPr>
        <w:t>0</w:t>
      </w:r>
      <w:r w:rsidR="003A6ADC">
        <w:rPr>
          <w:rFonts w:ascii="Times New Roman" w:hAnsi="Times New Roman" w:cs="Times New Roman"/>
          <w:b/>
          <w:color w:val="0D0D0D" w:themeColor="text1" w:themeTint="F2"/>
          <w:sz w:val="22"/>
          <w:szCs w:val="22"/>
          <w:u w:val="single"/>
        </w:rPr>
        <w:t>9</w:t>
      </w:r>
      <w:r w:rsidR="00D02BC7" w:rsidRPr="00D11818">
        <w:rPr>
          <w:rFonts w:ascii="Times New Roman" w:hAnsi="Times New Roman" w:cs="Times New Roman"/>
          <w:b/>
          <w:color w:val="0D0D0D" w:themeColor="text1" w:themeTint="F2"/>
          <w:sz w:val="22"/>
          <w:szCs w:val="22"/>
          <w:u w:val="single"/>
        </w:rPr>
        <w:t>/202</w:t>
      </w:r>
      <w:r w:rsidR="00285F79">
        <w:rPr>
          <w:rFonts w:ascii="Times New Roman" w:hAnsi="Times New Roman" w:cs="Times New Roman"/>
          <w:b/>
          <w:color w:val="0D0D0D" w:themeColor="text1" w:themeTint="F2"/>
          <w:sz w:val="22"/>
          <w:szCs w:val="22"/>
          <w:u w:val="single"/>
        </w:rPr>
        <w:t>3</w:t>
      </w:r>
    </w:p>
    <w:p w14:paraId="744B0262" w14:textId="7A7025C1" w:rsidR="00FE7FB1" w:rsidRDefault="000C7946" w:rsidP="00B36621">
      <w:pPr>
        <w:spacing w:after="200" w:line="276" w:lineRule="auto"/>
        <w:ind w:left="360"/>
        <w:jc w:val="center"/>
        <w:rPr>
          <w:rFonts w:ascii="Times New Roman" w:hAnsi="Times New Roman" w:cs="Times New Roman"/>
          <w:b/>
          <w:color w:val="0D0D0D" w:themeColor="text1" w:themeTint="F2"/>
          <w:sz w:val="22"/>
          <w:szCs w:val="22"/>
          <w:u w:val="single"/>
        </w:rPr>
      </w:pPr>
      <w:r w:rsidRPr="000C7946">
        <w:rPr>
          <w:noProof/>
          <w:lang w:val="es-AR" w:eastAsia="es-AR"/>
        </w:rPr>
        <w:t xml:space="preserve"> </w:t>
      </w:r>
      <w:r w:rsidR="007772A7" w:rsidRPr="007772A7">
        <w:rPr>
          <w:noProof/>
          <w:lang w:val="es-AR" w:eastAsia="es-AR"/>
        </w:rPr>
        <w:t xml:space="preserve"> </w:t>
      </w:r>
      <w:r w:rsidR="003A6ADC">
        <w:rPr>
          <w:noProof/>
          <w:lang w:val="es-AR" w:eastAsia="es-AR"/>
        </w:rPr>
        <w:drawing>
          <wp:inline distT="0" distB="0" distL="0" distR="0" wp14:anchorId="0AACABAA" wp14:editId="013A93DF">
            <wp:extent cx="5613400" cy="2189480"/>
            <wp:effectExtent l="0" t="0" r="6350" b="1270"/>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2189480"/>
                    </a:xfrm>
                    <a:prstGeom prst="rect">
                      <a:avLst/>
                    </a:prstGeom>
                    <a:noFill/>
                    <a:extLst/>
                  </pic:spPr>
                </pic:pic>
              </a:graphicData>
            </a:graphic>
          </wp:inline>
        </w:drawing>
      </w:r>
    </w:p>
    <w:p w14:paraId="7CA754AC" w14:textId="77777777" w:rsidR="00DE2DD2" w:rsidRDefault="00FE7FB1" w:rsidP="0065404B">
      <w:pPr>
        <w:spacing w:after="200" w:line="276" w:lineRule="auto"/>
        <w:rPr>
          <w:rFonts w:ascii="Times New Roman" w:hAnsi="Times New Roman" w:cs="Times New Roman"/>
          <w:color w:val="0D0D0D" w:themeColor="text1" w:themeTint="F2"/>
          <w:sz w:val="22"/>
          <w:szCs w:val="22"/>
          <w:lang w:val="es-AR"/>
        </w:rPr>
      </w:pPr>
      <w:r>
        <w:rPr>
          <w:rFonts w:ascii="Times New Roman" w:hAnsi="Times New Roman" w:cs="Times New Roman"/>
          <w:color w:val="0D0D0D" w:themeColor="text1" w:themeTint="F2"/>
          <w:sz w:val="22"/>
          <w:szCs w:val="22"/>
          <w:lang w:val="es-AR"/>
        </w:rPr>
        <w:t>F</w:t>
      </w:r>
      <w:r w:rsidR="00402333" w:rsidRPr="00506990">
        <w:rPr>
          <w:rFonts w:ascii="Times New Roman" w:hAnsi="Times New Roman" w:cs="Times New Roman"/>
          <w:color w:val="0D0D0D" w:themeColor="text1" w:themeTint="F2"/>
          <w:sz w:val="22"/>
          <w:szCs w:val="22"/>
          <w:lang w:val="es-AR"/>
        </w:rPr>
        <w:t>ix SCR monitorear</w:t>
      </w:r>
      <w:r w:rsidR="00FB0098" w:rsidRPr="00506990">
        <w:rPr>
          <w:rFonts w:ascii="Times New Roman" w:hAnsi="Times New Roman" w:cs="Times New Roman"/>
          <w:color w:val="0D0D0D" w:themeColor="text1" w:themeTint="F2"/>
          <w:sz w:val="22"/>
          <w:szCs w:val="22"/>
          <w:lang w:val="es-AR"/>
        </w:rPr>
        <w:t>á</w:t>
      </w:r>
      <w:r w:rsidR="00402333" w:rsidRPr="00506990">
        <w:rPr>
          <w:rFonts w:ascii="Times New Roman" w:hAnsi="Times New Roman" w:cs="Times New Roman"/>
          <w:color w:val="0D0D0D" w:themeColor="text1" w:themeTint="F2"/>
          <w:sz w:val="22"/>
          <w:szCs w:val="22"/>
          <w:lang w:val="es-AR"/>
        </w:rPr>
        <w:t xml:space="preserve"> </w:t>
      </w:r>
      <w:r w:rsidR="00484187" w:rsidRPr="00506990">
        <w:rPr>
          <w:rFonts w:ascii="Times New Roman" w:hAnsi="Times New Roman" w:cs="Times New Roman"/>
          <w:color w:val="0D0D0D" w:themeColor="text1" w:themeTint="F2"/>
          <w:sz w:val="22"/>
          <w:szCs w:val="22"/>
          <w:lang w:val="es-AR"/>
        </w:rPr>
        <w:t>su cumplimiento</w:t>
      </w:r>
      <w:r w:rsidR="00402333" w:rsidRPr="00506990">
        <w:rPr>
          <w:rFonts w:ascii="Times New Roman" w:hAnsi="Times New Roman" w:cs="Times New Roman"/>
          <w:color w:val="0D0D0D" w:themeColor="text1" w:themeTint="F2"/>
          <w:sz w:val="22"/>
          <w:szCs w:val="22"/>
          <w:lang w:val="es-AR"/>
        </w:rPr>
        <w:t xml:space="preserve"> y evolución. </w:t>
      </w:r>
    </w:p>
    <w:p w14:paraId="3A683A0E" w14:textId="19F86E0E"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rPr>
        <w:t>Desde 200</w:t>
      </w:r>
      <w:r w:rsidR="00896868" w:rsidRPr="00506990">
        <w:rPr>
          <w:rFonts w:ascii="Times New Roman" w:hAnsi="Times New Roman" w:cs="Times New Roman"/>
          <w:color w:val="0D0D0D" w:themeColor="text1" w:themeTint="F2"/>
          <w:sz w:val="22"/>
          <w:szCs w:val="22"/>
        </w:rPr>
        <w:t>3</w:t>
      </w:r>
      <w:r w:rsidR="00F55B6C" w:rsidRPr="00506990">
        <w:rPr>
          <w:rFonts w:ascii="Times New Roman" w:hAnsi="Times New Roman" w:cs="Times New Roman"/>
          <w:color w:val="0D0D0D" w:themeColor="text1" w:themeTint="F2"/>
          <w:sz w:val="22"/>
          <w:szCs w:val="22"/>
        </w:rPr>
        <w:t xml:space="preserve"> y hasta </w:t>
      </w:r>
      <w:r w:rsidR="00F55B6C" w:rsidRPr="00506990">
        <w:rPr>
          <w:rFonts w:ascii="Times New Roman" w:hAnsi="Times New Roman" w:cs="Times New Roman"/>
          <w:color w:val="0D0D0D" w:themeColor="text1" w:themeTint="F2"/>
          <w:sz w:val="22"/>
          <w:szCs w:val="22"/>
          <w:lang w:val="es-AR"/>
        </w:rPr>
        <w:t>2009</w:t>
      </w:r>
      <w:r w:rsidRPr="00506990">
        <w:rPr>
          <w:rFonts w:ascii="Times New Roman" w:hAnsi="Times New Roman" w:cs="Times New Roman"/>
          <w:color w:val="0D0D0D" w:themeColor="text1" w:themeTint="F2"/>
          <w:sz w:val="22"/>
          <w:szCs w:val="22"/>
        </w:rPr>
        <w:t xml:space="preserve">, Bazar Avenida emitió </w:t>
      </w:r>
      <w:r w:rsidR="00A27AE4" w:rsidRPr="00506990">
        <w:rPr>
          <w:rFonts w:ascii="Times New Roman" w:hAnsi="Times New Roman" w:cs="Times New Roman"/>
          <w:color w:val="0D0D0D" w:themeColor="text1" w:themeTint="F2"/>
          <w:sz w:val="22"/>
          <w:szCs w:val="22"/>
        </w:rPr>
        <w:t xml:space="preserve">42 </w:t>
      </w:r>
      <w:r w:rsidRPr="00506990">
        <w:rPr>
          <w:rFonts w:ascii="Times New Roman" w:hAnsi="Times New Roman" w:cs="Times New Roman"/>
          <w:color w:val="0D0D0D" w:themeColor="text1" w:themeTint="F2"/>
          <w:sz w:val="22"/>
          <w:szCs w:val="22"/>
        </w:rPr>
        <w:t>series de fideicomisos financieros. Todas las series fueron canceladas en su totalidad de acuerdo con las condiciones originalmente previstas</w:t>
      </w:r>
      <w:r w:rsidR="00A27AE4" w:rsidRPr="00506990">
        <w:rPr>
          <w:rFonts w:ascii="Times New Roman" w:hAnsi="Times New Roman" w:cs="Times New Roman"/>
          <w:color w:val="0D0D0D" w:themeColor="text1" w:themeTint="F2"/>
          <w:sz w:val="22"/>
          <w:szCs w:val="22"/>
        </w:rPr>
        <w:t xml:space="preserve">. </w:t>
      </w:r>
      <w:r w:rsidR="00A27AE4" w:rsidRPr="00506990">
        <w:rPr>
          <w:rFonts w:ascii="Times New Roman" w:hAnsi="Times New Roman" w:cs="Times New Roman"/>
          <w:color w:val="0D0D0D" w:themeColor="text1" w:themeTint="F2"/>
          <w:sz w:val="22"/>
          <w:szCs w:val="22"/>
          <w:lang w:val="es-AR"/>
        </w:rPr>
        <w:t>Al momento de la presentación en concurso preventivo, la sociedad se encontraba en las etapas iniciales de dos series (</w:t>
      </w:r>
      <w:r w:rsidR="00A27AE4" w:rsidRPr="004049CC">
        <w:rPr>
          <w:rFonts w:ascii="Times New Roman" w:hAnsi="Times New Roman" w:cs="Times New Roman"/>
          <w:color w:val="0D0D0D" w:themeColor="text1" w:themeTint="F2"/>
          <w:sz w:val="22"/>
          <w:szCs w:val="22"/>
          <w:lang w:val="es-AR"/>
        </w:rPr>
        <w:t xml:space="preserve">CONFIBONO XLIII y CONFIBONO XLIV) las cuales fueron canceladas en el ámbito privado. Desde noviembre 2017 y hasta la fecha, Bazar Avenida lleva </w:t>
      </w:r>
      <w:r w:rsidR="00A27AE4" w:rsidRPr="00D11818">
        <w:rPr>
          <w:rFonts w:ascii="Times New Roman" w:hAnsi="Times New Roman" w:cs="Times New Roman"/>
          <w:color w:val="0D0D0D" w:themeColor="text1" w:themeTint="F2"/>
          <w:sz w:val="22"/>
          <w:szCs w:val="22"/>
          <w:lang w:val="es-AR"/>
        </w:rPr>
        <w:t xml:space="preserve">emitidas </w:t>
      </w:r>
      <w:r w:rsidR="004049CC" w:rsidRPr="00D11818">
        <w:rPr>
          <w:rFonts w:ascii="Times New Roman" w:hAnsi="Times New Roman" w:cs="Times New Roman"/>
          <w:color w:val="0D0D0D" w:themeColor="text1" w:themeTint="F2"/>
          <w:sz w:val="22"/>
          <w:szCs w:val="22"/>
          <w:lang w:val="es-AR"/>
        </w:rPr>
        <w:t>2</w:t>
      </w:r>
      <w:r w:rsidR="00B0317E">
        <w:rPr>
          <w:rFonts w:ascii="Times New Roman" w:hAnsi="Times New Roman" w:cs="Times New Roman"/>
          <w:color w:val="0D0D0D" w:themeColor="text1" w:themeTint="F2"/>
          <w:sz w:val="22"/>
          <w:szCs w:val="22"/>
          <w:lang w:val="es-AR"/>
        </w:rPr>
        <w:t>2</w:t>
      </w:r>
      <w:r w:rsidR="009E1B62" w:rsidRPr="004049CC">
        <w:rPr>
          <w:rFonts w:ascii="Times New Roman" w:hAnsi="Times New Roman" w:cs="Times New Roman"/>
          <w:color w:val="0D0D0D" w:themeColor="text1" w:themeTint="F2"/>
          <w:sz w:val="22"/>
          <w:szCs w:val="22"/>
          <w:lang w:val="es-AR"/>
        </w:rPr>
        <w:t xml:space="preserve"> </w:t>
      </w:r>
      <w:r w:rsidR="00A27AE4" w:rsidRPr="004049CC">
        <w:rPr>
          <w:rFonts w:ascii="Times New Roman" w:hAnsi="Times New Roman" w:cs="Times New Roman"/>
          <w:color w:val="0D0D0D" w:themeColor="text1" w:themeTint="F2"/>
          <w:sz w:val="22"/>
          <w:szCs w:val="22"/>
          <w:lang w:val="es-AR"/>
        </w:rPr>
        <w:t>series de fideicomisos financieros</w:t>
      </w:r>
      <w:r w:rsidR="000F6B9D">
        <w:rPr>
          <w:rFonts w:ascii="Times New Roman" w:hAnsi="Times New Roman" w:cs="Times New Roman"/>
          <w:color w:val="0D0D0D" w:themeColor="text1" w:themeTint="F2"/>
          <w:sz w:val="22"/>
          <w:szCs w:val="22"/>
          <w:lang w:val="es-AR"/>
        </w:rPr>
        <w:t xml:space="preserve"> bajo el Programa Global Confibono</w:t>
      </w:r>
      <w:r w:rsidR="00A27AE4" w:rsidRPr="004049CC">
        <w:rPr>
          <w:rFonts w:ascii="Times New Roman" w:hAnsi="Times New Roman" w:cs="Times New Roman"/>
          <w:color w:val="0D0D0D" w:themeColor="text1" w:themeTint="F2"/>
          <w:sz w:val="22"/>
          <w:szCs w:val="22"/>
          <w:lang w:val="es-AR"/>
        </w:rPr>
        <w:t>.</w:t>
      </w:r>
      <w:r w:rsidR="00B0317E">
        <w:rPr>
          <w:rFonts w:ascii="Times New Roman" w:hAnsi="Times New Roman" w:cs="Times New Roman"/>
          <w:color w:val="0D0D0D" w:themeColor="text1" w:themeTint="F2"/>
          <w:sz w:val="22"/>
          <w:szCs w:val="22"/>
          <w:lang w:val="es-AR"/>
        </w:rPr>
        <w:t xml:space="preserve"> La Serie LX</w:t>
      </w:r>
      <w:r w:rsidR="00ED5DC8">
        <w:rPr>
          <w:rFonts w:ascii="Times New Roman" w:hAnsi="Times New Roman" w:cs="Times New Roman"/>
          <w:color w:val="0D0D0D" w:themeColor="text1" w:themeTint="F2"/>
          <w:sz w:val="22"/>
          <w:szCs w:val="22"/>
          <w:lang w:val="es-AR"/>
        </w:rPr>
        <w:t>X</w:t>
      </w:r>
      <w:r w:rsidR="00585BF3">
        <w:rPr>
          <w:rFonts w:ascii="Times New Roman" w:hAnsi="Times New Roman" w:cs="Times New Roman"/>
          <w:color w:val="0D0D0D" w:themeColor="text1" w:themeTint="F2"/>
          <w:sz w:val="22"/>
          <w:szCs w:val="22"/>
          <w:lang w:val="es-AR"/>
        </w:rPr>
        <w:t>I</w:t>
      </w:r>
      <w:r w:rsidR="009D6E2B">
        <w:rPr>
          <w:rFonts w:ascii="Times New Roman" w:hAnsi="Times New Roman" w:cs="Times New Roman"/>
          <w:color w:val="0D0D0D" w:themeColor="text1" w:themeTint="F2"/>
          <w:sz w:val="22"/>
          <w:szCs w:val="22"/>
          <w:lang w:val="es-AR"/>
        </w:rPr>
        <w:t>I</w:t>
      </w:r>
      <w:r w:rsidR="00E05EDF">
        <w:rPr>
          <w:rFonts w:ascii="Times New Roman" w:hAnsi="Times New Roman" w:cs="Times New Roman"/>
          <w:color w:val="0D0D0D" w:themeColor="text1" w:themeTint="F2"/>
          <w:sz w:val="22"/>
          <w:szCs w:val="22"/>
          <w:lang w:val="es-AR"/>
        </w:rPr>
        <w:t>I</w:t>
      </w:r>
      <w:r w:rsidR="00B0317E">
        <w:rPr>
          <w:rFonts w:ascii="Times New Roman" w:hAnsi="Times New Roman" w:cs="Times New Roman"/>
          <w:color w:val="0D0D0D" w:themeColor="text1" w:themeTint="F2"/>
          <w:sz w:val="22"/>
          <w:szCs w:val="22"/>
          <w:lang w:val="es-AR"/>
        </w:rPr>
        <w:t xml:space="preserve"> sería la </w:t>
      </w:r>
      <w:r w:rsidR="00284043">
        <w:rPr>
          <w:rFonts w:ascii="Times New Roman" w:hAnsi="Times New Roman" w:cs="Times New Roman"/>
          <w:color w:val="0D0D0D" w:themeColor="text1" w:themeTint="F2"/>
          <w:sz w:val="22"/>
          <w:szCs w:val="22"/>
          <w:lang w:val="es-AR"/>
        </w:rPr>
        <w:t xml:space="preserve">sexta </w:t>
      </w:r>
      <w:r w:rsidR="00B0317E">
        <w:rPr>
          <w:rFonts w:ascii="Times New Roman" w:hAnsi="Times New Roman" w:cs="Times New Roman"/>
          <w:color w:val="0D0D0D" w:themeColor="text1" w:themeTint="F2"/>
          <w:sz w:val="22"/>
          <w:szCs w:val="22"/>
          <w:lang w:val="es-AR"/>
        </w:rPr>
        <w:t>Serie a ser emitida bajo el Programa Global Confibono II.</w:t>
      </w:r>
    </w:p>
    <w:p w14:paraId="4B87F065" w14:textId="77777777" w:rsidR="0057621D"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Luego de reorganizar sus operaciones, desde 2010 la empresa experimenta un proceso de consolidación comercial y patrimonial.</w:t>
      </w:r>
    </w:p>
    <w:p w14:paraId="391E2D35" w14:textId="77777777" w:rsidR="0057621D" w:rsidRPr="00506990" w:rsidRDefault="0057621D" w:rsidP="00546BED">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BAZAR AVENIDA EN LA ACTUALIDAD</w:t>
      </w:r>
    </w:p>
    <w:p w14:paraId="32B8DFAD" w14:textId="77777777" w:rsidR="00925818" w:rsidRPr="00AC5521" w:rsidRDefault="00925818" w:rsidP="00925818">
      <w:pPr>
        <w:spacing w:before="100" w:beforeAutospacing="1" w:after="200"/>
        <w:rPr>
          <w:rFonts w:ascii="Times New Roman" w:hAnsi="Times New Roman" w:cs="Times New Roman"/>
          <w:sz w:val="22"/>
          <w:szCs w:val="22"/>
          <w:lang w:val="es-AR" w:eastAsia="es-AR"/>
        </w:rPr>
      </w:pPr>
      <w:r w:rsidRPr="00AC5521">
        <w:rPr>
          <w:rFonts w:ascii="Times New Roman" w:hAnsi="Times New Roman" w:cs="Times New Roman"/>
          <w:color w:val="000000"/>
          <w:sz w:val="22"/>
          <w:szCs w:val="22"/>
        </w:rPr>
        <w:t>Bazar Avenida es una de las principales cadenas de electrodomésticos del país.</w:t>
      </w:r>
    </w:p>
    <w:p w14:paraId="7969C710" w14:textId="3071569A" w:rsidR="00925818" w:rsidRPr="00AC5521" w:rsidRDefault="00925818" w:rsidP="00925818">
      <w:pPr>
        <w:spacing w:before="100" w:beforeAutospacing="1" w:after="200"/>
        <w:rPr>
          <w:rFonts w:ascii="Times New Roman" w:hAnsi="Times New Roman" w:cs="Times New Roman"/>
          <w:sz w:val="22"/>
          <w:szCs w:val="22"/>
        </w:rPr>
      </w:pPr>
      <w:r w:rsidRPr="002829B5">
        <w:rPr>
          <w:rFonts w:ascii="Times New Roman" w:hAnsi="Times New Roman" w:cs="Times New Roman"/>
          <w:color w:val="000000"/>
          <w:sz w:val="22"/>
          <w:szCs w:val="22"/>
        </w:rPr>
        <w:t xml:space="preserve">Tiene presencia </w:t>
      </w:r>
      <w:r w:rsidRPr="00D02BC7">
        <w:rPr>
          <w:rFonts w:ascii="Times New Roman" w:hAnsi="Times New Roman" w:cs="Times New Roman"/>
          <w:color w:val="000000"/>
          <w:sz w:val="22"/>
          <w:szCs w:val="22"/>
        </w:rPr>
        <w:t xml:space="preserve">en </w:t>
      </w:r>
      <w:r>
        <w:rPr>
          <w:rFonts w:ascii="Times New Roman" w:hAnsi="Times New Roman" w:cs="Times New Roman"/>
          <w:b/>
          <w:bCs/>
          <w:color w:val="000000"/>
          <w:sz w:val="22"/>
          <w:szCs w:val="22"/>
        </w:rPr>
        <w:t>20</w:t>
      </w:r>
      <w:r w:rsidRPr="00D02BC7">
        <w:rPr>
          <w:rFonts w:ascii="Times New Roman" w:hAnsi="Times New Roman" w:cs="Times New Roman"/>
          <w:b/>
          <w:bCs/>
          <w:color w:val="000000"/>
          <w:sz w:val="22"/>
          <w:szCs w:val="22"/>
        </w:rPr>
        <w:t xml:space="preserve"> provincias</w:t>
      </w:r>
      <w:r w:rsidRPr="00D02BC7">
        <w:rPr>
          <w:rFonts w:ascii="Times New Roman" w:hAnsi="Times New Roman" w:cs="Times New Roman"/>
          <w:color w:val="000000"/>
          <w:sz w:val="22"/>
          <w:szCs w:val="22"/>
        </w:rPr>
        <w:t xml:space="preserve"> del territorio nacional.</w:t>
      </w:r>
      <w:r w:rsidRPr="00D02BC7">
        <w:rPr>
          <w:rFonts w:ascii="Times New Roman" w:hAnsi="Times New Roman" w:cs="Times New Roman"/>
          <w:b/>
          <w:bCs/>
          <w:color w:val="000000"/>
          <w:sz w:val="22"/>
          <w:szCs w:val="22"/>
        </w:rPr>
        <w:t xml:space="preserve"> </w:t>
      </w:r>
      <w:r w:rsidRPr="00D02BC7">
        <w:rPr>
          <w:rFonts w:ascii="Times New Roman" w:hAnsi="Times New Roman" w:cs="Times New Roman"/>
          <w:color w:val="000000"/>
          <w:sz w:val="22"/>
          <w:szCs w:val="22"/>
        </w:rPr>
        <w:t xml:space="preserve">Cuenta con </w:t>
      </w:r>
      <w:r w:rsidRPr="00D02BC7">
        <w:rPr>
          <w:rFonts w:ascii="Times New Roman" w:hAnsi="Times New Roman" w:cs="Times New Roman"/>
          <w:b/>
          <w:bCs/>
          <w:color w:val="000000"/>
          <w:sz w:val="22"/>
          <w:szCs w:val="22"/>
        </w:rPr>
        <w:t>5</w:t>
      </w:r>
      <w:r w:rsidR="00426E44">
        <w:rPr>
          <w:rFonts w:ascii="Times New Roman" w:hAnsi="Times New Roman" w:cs="Times New Roman"/>
          <w:b/>
          <w:bCs/>
          <w:color w:val="000000"/>
          <w:sz w:val="22"/>
          <w:szCs w:val="22"/>
        </w:rPr>
        <w:t>9</w:t>
      </w:r>
      <w:r w:rsidRPr="00D02BC7">
        <w:rPr>
          <w:rFonts w:ascii="Times New Roman" w:hAnsi="Times New Roman" w:cs="Times New Roman"/>
          <w:b/>
          <w:bCs/>
          <w:color w:val="000000"/>
          <w:sz w:val="22"/>
          <w:szCs w:val="22"/>
        </w:rPr>
        <w:t xml:space="preserve"> sucursales</w:t>
      </w:r>
      <w:r w:rsidRPr="00D02BC7">
        <w:rPr>
          <w:rFonts w:ascii="Times New Roman" w:hAnsi="Times New Roman" w:cs="Times New Roman"/>
          <w:color w:val="000000"/>
          <w:sz w:val="22"/>
          <w:szCs w:val="22"/>
        </w:rPr>
        <w:t xml:space="preserve"> de venta, cincuenta y </w:t>
      </w:r>
      <w:r w:rsidR="00426E44">
        <w:rPr>
          <w:rFonts w:ascii="Times New Roman" w:hAnsi="Times New Roman" w:cs="Times New Roman"/>
          <w:color w:val="000000"/>
          <w:sz w:val="22"/>
          <w:szCs w:val="22"/>
        </w:rPr>
        <w:t>ocho</w:t>
      </w:r>
      <w:r w:rsidR="00426E44" w:rsidRPr="00D02BC7">
        <w:rPr>
          <w:rFonts w:ascii="Times New Roman" w:hAnsi="Times New Roman" w:cs="Times New Roman"/>
          <w:color w:val="000000"/>
          <w:sz w:val="22"/>
          <w:szCs w:val="22"/>
        </w:rPr>
        <w:t xml:space="preserve"> </w:t>
      </w:r>
      <w:r w:rsidRPr="00D02BC7">
        <w:rPr>
          <w:rFonts w:ascii="Times New Roman" w:hAnsi="Times New Roman" w:cs="Times New Roman"/>
          <w:color w:val="000000"/>
          <w:sz w:val="22"/>
          <w:szCs w:val="22"/>
        </w:rPr>
        <w:t>de ellas ubicadas</w:t>
      </w:r>
      <w:r w:rsidRPr="002829B5">
        <w:rPr>
          <w:rFonts w:ascii="Times New Roman" w:hAnsi="Times New Roman" w:cs="Times New Roman"/>
          <w:color w:val="000000"/>
          <w:sz w:val="22"/>
          <w:szCs w:val="22"/>
        </w:rPr>
        <w:t xml:space="preserve"> </w:t>
      </w:r>
      <w:r w:rsidRPr="002829B5">
        <w:rPr>
          <w:rFonts w:ascii="Times New Roman" w:hAnsi="Times New Roman" w:cs="Times New Roman"/>
          <w:sz w:val="22"/>
          <w:szCs w:val="22"/>
        </w:rPr>
        <w:t>estratégicamente en las principales ciudades de las provincias de Santa Fe, Córdoba, San Luis, Catamarca, La Rioja, Santiago del Estero, Neuquén, Río Negro, La Pampa, Salta, Buenos Aires, Tucumán, Corrientes, Chaco, Jujuy, Formosa</w:t>
      </w:r>
      <w:r>
        <w:rPr>
          <w:rFonts w:ascii="Times New Roman" w:hAnsi="Times New Roman" w:cs="Times New Roman"/>
          <w:sz w:val="22"/>
          <w:szCs w:val="22"/>
        </w:rPr>
        <w:t>, Misiones,</w:t>
      </w:r>
      <w:r w:rsidRPr="00EC04C2">
        <w:rPr>
          <w:rFonts w:ascii="Times New Roman" w:hAnsi="Times New Roman" w:cs="Times New Roman"/>
          <w:sz w:val="22"/>
          <w:szCs w:val="22"/>
        </w:rPr>
        <w:t xml:space="preserve"> Entre Ríos</w:t>
      </w:r>
      <w:r>
        <w:rPr>
          <w:rFonts w:ascii="Times New Roman" w:hAnsi="Times New Roman" w:cs="Times New Roman"/>
          <w:sz w:val="22"/>
          <w:szCs w:val="22"/>
        </w:rPr>
        <w:t>, Mendoza y San Juan</w:t>
      </w:r>
      <w:r w:rsidRPr="002829B5">
        <w:rPr>
          <w:rFonts w:ascii="Times New Roman" w:hAnsi="Times New Roman" w:cs="Times New Roman"/>
          <w:sz w:val="22"/>
          <w:szCs w:val="22"/>
        </w:rPr>
        <w:t>; más una sucursal virtual.</w:t>
      </w:r>
    </w:p>
    <w:p w14:paraId="6A069B22" w14:textId="77777777" w:rsidR="00925818" w:rsidRPr="00AC5521" w:rsidRDefault="00925818" w:rsidP="00925818">
      <w:pPr>
        <w:spacing w:before="100" w:beforeAutospacing="1" w:after="200"/>
        <w:rPr>
          <w:rFonts w:ascii="Times New Roman" w:hAnsi="Times New Roman" w:cs="Times New Roman"/>
          <w:sz w:val="22"/>
          <w:szCs w:val="22"/>
        </w:rPr>
      </w:pPr>
      <w:r w:rsidRPr="00AC5521">
        <w:rPr>
          <w:rFonts w:ascii="Times New Roman" w:hAnsi="Times New Roman" w:cs="Times New Roman"/>
          <w:color w:val="000000"/>
          <w:sz w:val="22"/>
          <w:szCs w:val="22"/>
        </w:rPr>
        <w:t>Ha ido fortaleciendo la comercialización de diversos servicios que acompañan a las ventas de electrodomésticos (extensión de garantía y otros), como una forma de agregar valor, mejorar la rentabilidad de las operaciones, y como estrategia de diferenciación apuntando a la gestión de las experiencias del consumidor.</w:t>
      </w:r>
    </w:p>
    <w:p w14:paraId="1A7A5DF7" w14:textId="77777777" w:rsidR="00925818" w:rsidRPr="00AC5521" w:rsidRDefault="00925818" w:rsidP="00925818">
      <w:pPr>
        <w:spacing w:before="100" w:beforeAutospacing="1" w:after="200"/>
        <w:rPr>
          <w:rFonts w:ascii="Times New Roman" w:hAnsi="Times New Roman" w:cs="Times New Roman"/>
          <w:sz w:val="22"/>
          <w:szCs w:val="22"/>
        </w:rPr>
      </w:pPr>
      <w:r w:rsidRPr="00AC5521">
        <w:rPr>
          <w:rFonts w:ascii="Times New Roman" w:hAnsi="Times New Roman" w:cs="Times New Roman"/>
          <w:color w:val="000000"/>
          <w:sz w:val="22"/>
          <w:szCs w:val="22"/>
        </w:rPr>
        <w:t>Se encuentra a la vanguardia de los avances en canales de comercialización no tradicionales, como son la venta telefónica y por Internet, representando este medio una porción significativa y creciente dentro de la facturación total.</w:t>
      </w:r>
    </w:p>
    <w:p w14:paraId="637394CF" w14:textId="77777777" w:rsidR="00925818" w:rsidRPr="00AC5521" w:rsidRDefault="00925818" w:rsidP="00925818">
      <w:pPr>
        <w:spacing w:before="100" w:beforeAutospacing="1" w:after="200"/>
        <w:rPr>
          <w:rFonts w:ascii="Times New Roman" w:hAnsi="Times New Roman" w:cs="Times New Roman"/>
          <w:sz w:val="22"/>
          <w:szCs w:val="22"/>
        </w:rPr>
      </w:pPr>
      <w:r w:rsidRPr="00AC5521">
        <w:rPr>
          <w:rFonts w:ascii="Times New Roman" w:hAnsi="Times New Roman" w:cs="Times New Roman"/>
          <w:color w:val="000000"/>
          <w:sz w:val="22"/>
          <w:szCs w:val="22"/>
        </w:rPr>
        <w:t>Es firme la decisión de Bazar Avenida por ganar mercados, ampliando y diversificando su presencia geográfica en localidades con potencial de negocios, con un fuerte posicionamiento como referentes en el interior del país, con políticas de financiación competitivas y accesibles y acompañando los cambios que se operan en el mercado en relación a canales de venta no tradicionales.</w:t>
      </w:r>
    </w:p>
    <w:p w14:paraId="01C11C4E" w14:textId="040530FF"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7C0F33">
        <w:rPr>
          <w:rFonts w:ascii="Times New Roman" w:eastAsia="Times New Roman" w:hAnsi="Times New Roman" w:cs="Times New Roman"/>
          <w:iCs/>
          <w:color w:val="222222"/>
          <w:sz w:val="22"/>
          <w:szCs w:val="22"/>
          <w:lang w:val="es-AR" w:eastAsia="es-AR"/>
        </w:rPr>
        <w:t xml:space="preserve"> </w:t>
      </w:r>
      <w:r w:rsidRPr="003312A2">
        <w:rPr>
          <w:rFonts w:ascii="Times New Roman" w:eastAsia="Times New Roman" w:hAnsi="Times New Roman" w:cs="Times New Roman"/>
          <w:iCs/>
          <w:color w:val="222222"/>
          <w:sz w:val="22"/>
          <w:szCs w:val="22"/>
          <w:lang w:val="es-AR" w:eastAsia="es-AR"/>
        </w:rPr>
        <w:t>En un contexto signado por el sostenido incremento en los índices de inflación y la desaceleración en los niveles de consumo respecto de los evidenciados en los dos años precedentes, la Sociedad combinó acciones que apuntaron tanto a incrementar sus niveles de actividad como a proteger su capital de los efectos que los altos niveles inflacionarios ejercen sobre el poder adquisitivo de la moneda.</w:t>
      </w:r>
    </w:p>
    <w:p w14:paraId="686780D3"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 </w:t>
      </w:r>
    </w:p>
    <w:p w14:paraId="65C60A1A"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Fue así que durante el primer semestre del ejercicio se continuó con el plan de apertura de sucursales, inaugurándose tres locales, en las ciudades de San Juan, Rosario, y Martínez, este último, ubicado en el Shopping Unicenter. Concomitantemente a estas acciones que se enfocan en potenciar ingresos, la firma gestionó su stock de manera tal de lograr un adecuado eq</w:t>
      </w:r>
      <w:r w:rsidRPr="00E762F7">
        <w:rPr>
          <w:rFonts w:ascii="Times New Roman" w:eastAsia="Times New Roman" w:hAnsi="Times New Roman" w:cs="Times New Roman"/>
          <w:iCs/>
          <w:color w:val="222222"/>
          <w:sz w:val="22"/>
          <w:szCs w:val="22"/>
          <w:lang w:val="es-AR" w:eastAsia="es-AR"/>
        </w:rPr>
        <w:t>uilibrio entre,</w:t>
      </w:r>
      <w:r w:rsidRPr="003312A2">
        <w:rPr>
          <w:rFonts w:ascii="Times New Roman" w:eastAsia="Times New Roman" w:hAnsi="Times New Roman" w:cs="Times New Roman"/>
          <w:iCs/>
          <w:color w:val="222222"/>
          <w:sz w:val="22"/>
          <w:szCs w:val="22"/>
          <w:lang w:val="es-AR" w:eastAsia="es-AR"/>
        </w:rPr>
        <w:t> eficiencia operativa y empleo de las existencias como factor de protección ante elevados niveles inflacionarios. Esto se tradujo en un fuerte incremento de los resultados por tenencia de Bienes de Cambio.</w:t>
      </w:r>
    </w:p>
    <w:p w14:paraId="797E640E"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 </w:t>
      </w:r>
    </w:p>
    <w:p w14:paraId="00D15A69"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Asimismo la potenciación del crédito propio, sea mediante la venta financiada de bienes y servicios como a través del préstamo de dinero, se tradujo en un alza, comparada contra el mismo semestre del año 2021, del 100%, de los ingresos en términos reales provenientes de Intereses por Financiación.</w:t>
      </w:r>
    </w:p>
    <w:p w14:paraId="7A862237"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 </w:t>
      </w:r>
    </w:p>
    <w:p w14:paraId="06DBA167"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El desenvolvimiento derivado de la gestión de estas variables hizo que, pese a ventas que disminuyeron un 6% en términos reales, comparadas contra igual semestre de 2021, la compensación operada vía mayores Intereses por Financiación y Resultados por Tenencia se termine plasmando en una utilidad de $ 301,92 Millones antes de Impuesto a las Ganancias, la cual en términos reales supera en un 11% al mismo concepto del segundo semestre de 2021.</w:t>
      </w:r>
    </w:p>
    <w:p w14:paraId="32CBB061" w14:textId="77777777" w:rsidR="007C0F33" w:rsidRPr="00E762F7" w:rsidRDefault="007C0F33" w:rsidP="007C0F33">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 </w:t>
      </w:r>
    </w:p>
    <w:p w14:paraId="1F4010D6" w14:textId="7FDD1FA9" w:rsidR="007C0F33" w:rsidRPr="007D10B1" w:rsidRDefault="007C0F33" w:rsidP="007D10B1">
      <w:pPr>
        <w:shd w:val="clear" w:color="auto" w:fill="FFFFFF"/>
        <w:rPr>
          <w:rFonts w:ascii="Times New Roman" w:eastAsia="Times New Roman" w:hAnsi="Times New Roman" w:cs="Times New Roman"/>
          <w:color w:val="222222"/>
          <w:sz w:val="24"/>
          <w:szCs w:val="24"/>
          <w:lang w:val="es-AR" w:eastAsia="es-AR"/>
        </w:rPr>
      </w:pPr>
      <w:r w:rsidRPr="003312A2">
        <w:rPr>
          <w:rFonts w:ascii="Times New Roman" w:eastAsia="Times New Roman" w:hAnsi="Times New Roman" w:cs="Times New Roman"/>
          <w:iCs/>
          <w:color w:val="222222"/>
          <w:sz w:val="22"/>
          <w:szCs w:val="22"/>
          <w:lang w:val="es-AR" w:eastAsia="es-AR"/>
        </w:rPr>
        <w:t>Si se computa el efecto del Impuesto a las Ganancias, la utilidad del primer semestre del ejercicio 2022/2023 supera en un 44,7%, términos reales, a la del mismo período de 2021/2022.</w:t>
      </w:r>
    </w:p>
    <w:p w14:paraId="36414C66" w14:textId="3E81E35B" w:rsidR="00925818" w:rsidRPr="00AC5521" w:rsidRDefault="00925818" w:rsidP="00925818">
      <w:pPr>
        <w:spacing w:before="100" w:beforeAutospacing="1" w:after="200"/>
        <w:rPr>
          <w:rFonts w:ascii="Times New Roman" w:hAnsi="Times New Roman" w:cs="Times New Roman"/>
          <w:sz w:val="22"/>
          <w:szCs w:val="22"/>
        </w:rPr>
      </w:pPr>
      <w:r w:rsidRPr="00AC5521">
        <w:rPr>
          <w:rFonts w:ascii="Times New Roman" w:hAnsi="Times New Roman" w:cs="Times New Roman"/>
          <w:color w:val="000000"/>
          <w:sz w:val="22"/>
          <w:szCs w:val="22"/>
        </w:rPr>
        <w:t xml:space="preserve">También enfocados en la nueva realidad del consumo, se potenció el canal Megatone Express, la plataforma de venta asistida desarrollada especialmente para gestionar en conjunto con la red de cobranza extra bancaria Cobro Express. Hoy se cuenta con más de </w:t>
      </w:r>
      <w:r>
        <w:rPr>
          <w:rFonts w:ascii="Times New Roman" w:hAnsi="Times New Roman" w:cs="Times New Roman"/>
          <w:color w:val="000000"/>
          <w:sz w:val="22"/>
          <w:szCs w:val="22"/>
        </w:rPr>
        <w:t>5</w:t>
      </w:r>
      <w:r w:rsidRPr="00AC5521">
        <w:rPr>
          <w:rFonts w:ascii="Times New Roman" w:hAnsi="Times New Roman" w:cs="Times New Roman"/>
          <w:color w:val="000000"/>
          <w:sz w:val="22"/>
          <w:szCs w:val="22"/>
        </w:rPr>
        <w:t>00 agentes activos distribuidos en todo el país, y se continúa en el proceso de activación con miras a alcanzar a los 2.000 potenciales.</w:t>
      </w:r>
    </w:p>
    <w:p w14:paraId="021CA772" w14:textId="77777777" w:rsidR="00925818" w:rsidRPr="00AC5521" w:rsidRDefault="00925818" w:rsidP="00925818">
      <w:pPr>
        <w:spacing w:before="100" w:beforeAutospacing="1" w:after="200"/>
        <w:rPr>
          <w:rFonts w:ascii="Times New Roman" w:hAnsi="Times New Roman" w:cs="Times New Roman"/>
          <w:sz w:val="22"/>
          <w:szCs w:val="22"/>
        </w:rPr>
      </w:pPr>
      <w:r w:rsidRPr="00AC5521">
        <w:rPr>
          <w:rFonts w:ascii="Times New Roman" w:hAnsi="Times New Roman" w:cs="Times New Roman"/>
          <w:color w:val="000000"/>
          <w:sz w:val="22"/>
          <w:szCs w:val="22"/>
        </w:rPr>
        <w:t>Como se observa, la compañía ha fortalecido su estrategia de crecimiento en todos los canales: físico, digital y asistido, bajo el convencimiento de la complementariedad existente entre los mismos y de la variedad de públicos a los que se apunta. Claramente, esta política ha permitido no sólo alcanzar importantes niveles de crecimiento de ventas, sino también en términos relativos, mejorar sensiblemente el “share” de ventas dentro del mercado de retail.</w:t>
      </w:r>
    </w:p>
    <w:p w14:paraId="20507158" w14:textId="77777777" w:rsidR="00925818" w:rsidRDefault="00925818" w:rsidP="00925818">
      <w:pPr>
        <w:spacing w:before="100" w:beforeAutospacing="1" w:after="200"/>
        <w:rPr>
          <w:rFonts w:ascii="Times New Roman" w:hAnsi="Times New Roman" w:cs="Times New Roman"/>
          <w:color w:val="000000"/>
          <w:sz w:val="22"/>
          <w:szCs w:val="22"/>
        </w:rPr>
      </w:pPr>
      <w:r w:rsidRPr="00AC5521">
        <w:rPr>
          <w:rFonts w:ascii="Times New Roman" w:hAnsi="Times New Roman" w:cs="Times New Roman"/>
          <w:color w:val="000000"/>
          <w:sz w:val="22"/>
          <w:szCs w:val="22"/>
        </w:rPr>
        <w:t>Además, se continuaron acciones tendientes a mejorar la eficiencia en los gastos de estructura:</w:t>
      </w:r>
    </w:p>
    <w:p w14:paraId="491907E6" w14:textId="36C2FBFF" w:rsidR="00925818" w:rsidRPr="00D95FCF" w:rsidRDefault="00925818" w:rsidP="00925818">
      <w:pPr>
        <w:pStyle w:val="Prrafodelista"/>
        <w:numPr>
          <w:ilvl w:val="0"/>
          <w:numId w:val="54"/>
        </w:numPr>
        <w:spacing w:before="100" w:beforeAutospacing="1" w:after="200"/>
        <w:jc w:val="both"/>
        <w:rPr>
          <w:sz w:val="22"/>
          <w:szCs w:val="22"/>
        </w:rPr>
      </w:pPr>
      <w:r w:rsidRPr="00883FCC">
        <w:rPr>
          <w:sz w:val="22"/>
        </w:rPr>
        <w:t xml:space="preserve">Control de Gastos de Estructura y adecuación de dotaciones de personal a los nuevos niveles de Actividad. A pesar del fuerte incremento en las ventas, la dotación del personal solo se incrementó un </w:t>
      </w:r>
      <w:r w:rsidRPr="00D95FCF">
        <w:rPr>
          <w:sz w:val="22"/>
          <w:szCs w:val="22"/>
        </w:rPr>
        <w:t>11.5</w:t>
      </w:r>
      <w:r w:rsidRPr="00883FCC">
        <w:rPr>
          <w:sz w:val="22"/>
        </w:rPr>
        <w:t xml:space="preserve">% en el primer semestre </w:t>
      </w:r>
      <w:r w:rsidRPr="00D95FCF">
        <w:rPr>
          <w:sz w:val="22"/>
          <w:szCs w:val="22"/>
        </w:rPr>
        <w:t xml:space="preserve">2022 (comparado a diciembre </w:t>
      </w:r>
      <w:r w:rsidRPr="00883FCC">
        <w:rPr>
          <w:sz w:val="22"/>
        </w:rPr>
        <w:t>2021</w:t>
      </w:r>
      <w:r w:rsidRPr="00D95FCF">
        <w:rPr>
          <w:sz w:val="22"/>
          <w:szCs w:val="22"/>
        </w:rPr>
        <w:t>).</w:t>
      </w:r>
    </w:p>
    <w:p w14:paraId="6050E59C" w14:textId="77777777" w:rsidR="00925818" w:rsidRPr="00AC5521" w:rsidRDefault="00925818" w:rsidP="00925818">
      <w:pPr>
        <w:pStyle w:val="Prrafodelista"/>
        <w:numPr>
          <w:ilvl w:val="0"/>
          <w:numId w:val="54"/>
        </w:numPr>
        <w:spacing w:before="100" w:beforeAutospacing="1" w:after="200"/>
        <w:jc w:val="both"/>
        <w:rPr>
          <w:sz w:val="22"/>
          <w:szCs w:val="22"/>
        </w:rPr>
      </w:pPr>
      <w:r>
        <w:rPr>
          <w:color w:val="000000"/>
          <w:sz w:val="22"/>
          <w:szCs w:val="22"/>
        </w:rPr>
        <w:t>Eficiencia en el manejo de stocks, mejorando fuertemente los niveles de rotación del mismo.</w:t>
      </w:r>
    </w:p>
    <w:p w14:paraId="1A857075" w14:textId="714A3668" w:rsidR="00925818" w:rsidRPr="00AC5521" w:rsidRDefault="00925818" w:rsidP="00925818">
      <w:pPr>
        <w:pStyle w:val="Prrafodelista"/>
        <w:numPr>
          <w:ilvl w:val="0"/>
          <w:numId w:val="54"/>
        </w:numPr>
        <w:spacing w:before="100" w:beforeAutospacing="1" w:after="200"/>
        <w:jc w:val="both"/>
        <w:rPr>
          <w:sz w:val="22"/>
          <w:szCs w:val="22"/>
        </w:rPr>
      </w:pPr>
      <w:r>
        <w:rPr>
          <w:color w:val="000000"/>
          <w:sz w:val="22"/>
          <w:szCs w:val="22"/>
        </w:rPr>
        <w:t>Control sobre las cobranzas y restricciones en el otorgamiento de créditos. Esto se traduce en que en la actualidad, Bazar Avenida SA tiene uno de los porcentajes más altos de cartera en situación 1 y por encima de la media del mercado (considerando cartera hasta 180 días en zona de influencia - fuente Central de Deudores BCRA).</w:t>
      </w:r>
    </w:p>
    <w:p w14:paraId="3F46B17D" w14:textId="77777777" w:rsidR="0057621D" w:rsidRPr="00506990" w:rsidRDefault="0057621D" w:rsidP="0057621D">
      <w:pPr>
        <w:rPr>
          <w:rFonts w:ascii="Times New Roman" w:hAnsi="Times New Roman" w:cs="Times New Roman"/>
          <w:b/>
          <w:color w:val="0D0D0D" w:themeColor="text1" w:themeTint="F2"/>
          <w:sz w:val="22"/>
          <w:szCs w:val="22"/>
        </w:rPr>
      </w:pPr>
    </w:p>
    <w:p w14:paraId="12E44E0C"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Avenida A.C.E.:</w:t>
      </w:r>
      <w:r w:rsidRPr="00506990">
        <w:rPr>
          <w:rFonts w:ascii="Times New Roman" w:hAnsi="Times New Roman" w:cs="Times New Roman"/>
          <w:color w:val="0D0D0D" w:themeColor="text1" w:themeTint="F2"/>
          <w:sz w:val="22"/>
          <w:szCs w:val="22"/>
        </w:rPr>
        <w:t xml:space="preserve"> Es una agrupación de colaboración empresaria dedicada a brindar asesoramiento corporativo integral en diversas áreas de trabajo: marketing y comunicación, recursos humanos, administración</w:t>
      </w:r>
      <w:r w:rsidR="00FF1602" w:rsidRPr="00506990">
        <w:rPr>
          <w:rFonts w:ascii="Times New Roman" w:hAnsi="Times New Roman" w:cs="Times New Roman"/>
          <w:color w:val="0D0D0D" w:themeColor="text1" w:themeTint="F2"/>
          <w:sz w:val="22"/>
          <w:szCs w:val="22"/>
        </w:rPr>
        <w:t xml:space="preserve"> e impuestos, finanzas y </w:t>
      </w:r>
      <w:r w:rsidRPr="00506990">
        <w:rPr>
          <w:rFonts w:ascii="Times New Roman" w:hAnsi="Times New Roman" w:cs="Times New Roman"/>
          <w:color w:val="0D0D0D" w:themeColor="text1" w:themeTint="F2"/>
          <w:sz w:val="22"/>
          <w:szCs w:val="22"/>
        </w:rPr>
        <w:t>auditoría.</w:t>
      </w:r>
      <w:r w:rsidR="003A3FE8" w:rsidRPr="00506990">
        <w:rPr>
          <w:rFonts w:ascii="Times New Roman" w:hAnsi="Times New Roman" w:cs="Times New Roman"/>
          <w:color w:val="0D0D0D" w:themeColor="text1" w:themeTint="F2"/>
          <w:sz w:val="22"/>
          <w:szCs w:val="22"/>
        </w:rPr>
        <w:t xml:space="preserve"> </w:t>
      </w:r>
      <w:r w:rsidR="000B696A" w:rsidRPr="00506990">
        <w:rPr>
          <w:rFonts w:ascii="Times New Roman" w:hAnsi="Times New Roman" w:cs="Times New Roman"/>
          <w:color w:val="0D0D0D" w:themeColor="text1" w:themeTint="F2"/>
          <w:sz w:val="22"/>
          <w:szCs w:val="22"/>
        </w:rPr>
        <w:t xml:space="preserve">Se debe tener presente que </w:t>
      </w:r>
      <w:r w:rsidR="003A3FE8" w:rsidRPr="00506990">
        <w:rPr>
          <w:rFonts w:ascii="Times New Roman" w:hAnsi="Times New Roman" w:cs="Times New Roman"/>
          <w:color w:val="0D0D0D" w:themeColor="text1" w:themeTint="F2"/>
          <w:sz w:val="22"/>
          <w:szCs w:val="22"/>
        </w:rPr>
        <w:t xml:space="preserve">Bazar Avenida S.A. </w:t>
      </w:r>
      <w:r w:rsidR="0064635C" w:rsidRPr="00506990">
        <w:rPr>
          <w:rFonts w:ascii="Times New Roman" w:hAnsi="Times New Roman" w:cs="Times New Roman"/>
          <w:color w:val="0D0D0D" w:themeColor="text1" w:themeTint="F2"/>
          <w:sz w:val="22"/>
          <w:szCs w:val="22"/>
        </w:rPr>
        <w:t>no delega en Avenida A.C.E la administración y cobranza de los Créditos que genera por su actividad comercial.</w:t>
      </w:r>
    </w:p>
    <w:p w14:paraId="5B92DE8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Nacida para dar soporte a las restantes empresas participantes, está preparada para asistirlas con profesionales altamente capacitados y en constante formación.</w:t>
      </w:r>
    </w:p>
    <w:p w14:paraId="2C6FB56A" w14:textId="77777777" w:rsidR="00421B8D" w:rsidRPr="00506990" w:rsidRDefault="00421B8D" w:rsidP="00883FC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relación con el fiduciante surge del contrato de colaboración empresaria de fecha 01/12/2001, inscripto en el Registro Público el 29/04/2002 bajo el N° 19, a folios 17, 18, 19 y 20 del Libro I de Agrupación de Colaboración.</w:t>
      </w:r>
    </w:p>
    <w:p w14:paraId="548F6B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participantes que surgen de la última modificación al contrato según acta del 17/07/2015 son: Bazar Avenida SA, Consumo SA, Tinsa SA, Total Support SA y Logme S.A.</w:t>
      </w:r>
    </w:p>
    <w:p w14:paraId="1D10F04E"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2DDF93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751F6544" w14:textId="77777777" w:rsidR="00225858" w:rsidRPr="00506990" w:rsidRDefault="00225858" w:rsidP="00225858">
      <w:pPr>
        <w:rPr>
          <w:rFonts w:ascii="Times New Roman" w:hAnsi="Times New Roman" w:cs="Times New Roman"/>
          <w:b/>
          <w:color w:val="0D0D0D" w:themeColor="text1" w:themeTint="F2"/>
          <w:sz w:val="22"/>
          <w:szCs w:val="22"/>
        </w:rPr>
      </w:pPr>
    </w:p>
    <w:p w14:paraId="507CDC0F"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Logme S.A.:</w:t>
      </w:r>
      <w:r w:rsidRPr="00506990">
        <w:rPr>
          <w:rFonts w:ascii="Times New Roman" w:hAnsi="Times New Roman" w:cs="Times New Roman"/>
          <w:color w:val="0D0D0D" w:themeColor="text1" w:themeTint="F2"/>
          <w:sz w:val="22"/>
          <w:szCs w:val="22"/>
        </w:rPr>
        <w:t xml:space="preserve"> Es una empresa dedicada a la Logística retail.</w:t>
      </w:r>
    </w:p>
    <w:p w14:paraId="61131D1D"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Centro de Operaciones Logísticas ubicado en Parque Industrial Campana, nuclea las actividades de recepción desde proveedores, almacenamiento, despacho y logística inversa (comercial y de posventa); de bienes de cambio, bienes de uso, insumos, repuestos, material promocional y POP, para sucursales de Bazar Avenida y su Casa Central.</w:t>
      </w:r>
    </w:p>
    <w:p w14:paraId="3550D06E" w14:textId="77777777" w:rsidR="00F73AF2" w:rsidRPr="00506990" w:rsidRDefault="00F73AF2" w:rsidP="00F73AF2">
      <w:pPr>
        <w:rPr>
          <w:rFonts w:ascii="Times New Roman" w:hAnsi="Times New Roman" w:cs="Times New Roman"/>
          <w:b/>
          <w:color w:val="0D0D0D" w:themeColor="text1" w:themeTint="F2"/>
          <w:sz w:val="22"/>
          <w:szCs w:val="22"/>
        </w:rPr>
      </w:pPr>
      <w:r w:rsidRPr="00506990">
        <w:rPr>
          <w:rFonts w:ascii="Times New Roman" w:hAnsi="Times New Roman" w:cs="Times New Roman"/>
          <w:color w:val="0D0D0D" w:themeColor="text1" w:themeTint="F2"/>
          <w:sz w:val="22"/>
          <w:szCs w:val="22"/>
        </w:rPr>
        <w:t xml:space="preserve">Bazar Avenida S.A. y Logme S.A. se encuentran vinculadas ya que los accionistas de Logme S.A., Fideicomiso MARSAN (50%) y Fideicomiso WISECONSOL (50%), son a su vez accionistas de Bazar Avenida S.A. en un </w:t>
      </w:r>
      <w:r>
        <w:rPr>
          <w:rFonts w:ascii="Times New Roman" w:hAnsi="Times New Roman" w:cs="Times New Roman"/>
          <w:color w:val="0D0D0D" w:themeColor="text1" w:themeTint="F2"/>
          <w:sz w:val="22"/>
          <w:szCs w:val="22"/>
        </w:rPr>
        <w:t>50</w:t>
      </w:r>
      <w:r w:rsidRPr="00506990">
        <w:rPr>
          <w:rFonts w:ascii="Times New Roman" w:hAnsi="Times New Roman" w:cs="Times New Roman"/>
          <w:color w:val="0D0D0D" w:themeColor="text1" w:themeTint="F2"/>
          <w:sz w:val="22"/>
          <w:szCs w:val="22"/>
        </w:rPr>
        <w:t xml:space="preserve">% cada uno. </w:t>
      </w:r>
      <w:r w:rsidRPr="00506990">
        <w:rPr>
          <w:rFonts w:ascii="Times New Roman" w:hAnsi="Times New Roman" w:cs="Times New Roman"/>
          <w:color w:val="0D0D0D" w:themeColor="text1" w:themeTint="F2"/>
          <w:sz w:val="22"/>
          <w:szCs w:val="22"/>
          <w:lang w:val="es-ES"/>
        </w:rPr>
        <w:t>Asimismo, ambas empresas comparten los miembros de sus directorios.</w:t>
      </w:r>
    </w:p>
    <w:p w14:paraId="7858DF34" w14:textId="77777777" w:rsidR="00421B8D" w:rsidRPr="00506990" w:rsidRDefault="00421B8D" w:rsidP="00375AFE">
      <w:pPr>
        <w:rPr>
          <w:rFonts w:ascii="Times New Roman" w:hAnsi="Times New Roman" w:cs="Times New Roman"/>
          <w:b/>
          <w:color w:val="0D0D0D" w:themeColor="text1" w:themeTint="F2"/>
          <w:sz w:val="22"/>
          <w:szCs w:val="22"/>
          <w:lang w:val="es-ES"/>
        </w:rPr>
      </w:pPr>
    </w:p>
    <w:p w14:paraId="0477C687" w14:textId="77777777" w:rsidR="00F73AF2" w:rsidRPr="00C42B42" w:rsidRDefault="00F73AF2" w:rsidP="00E4104F">
      <w:pPr>
        <w:shd w:val="clear" w:color="auto" w:fill="D9D9D9"/>
        <w:spacing w:after="120"/>
        <w:rPr>
          <w:rFonts w:ascii="Times New Roman" w:hAnsi="Times New Roman" w:cs="Times New Roman"/>
          <w:b/>
          <w:color w:val="0D0D0D"/>
          <w:sz w:val="22"/>
          <w:szCs w:val="22"/>
          <w:lang w:val="es-AR" w:eastAsia="en-US"/>
        </w:rPr>
      </w:pPr>
      <w:r w:rsidRPr="00506990">
        <w:rPr>
          <w:rFonts w:ascii="Times New Roman" w:hAnsi="Times New Roman" w:cs="Times New Roman"/>
          <w:b/>
          <w:color w:val="0D0D0D"/>
          <w:sz w:val="22"/>
          <w:szCs w:val="22"/>
          <w:lang w:val="es-AR" w:eastAsia="en-US"/>
        </w:rPr>
        <w:t>COMPOSICIÓN DEL GRUPO ECONÓMICO</w:t>
      </w:r>
    </w:p>
    <w:tbl>
      <w:tblPr>
        <w:tblW w:w="8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2837"/>
        <w:gridCol w:w="1936"/>
        <w:gridCol w:w="1936"/>
      </w:tblGrid>
      <w:tr w:rsidR="00F73AF2" w:rsidRPr="000A4FF4" w14:paraId="284AC6BC" w14:textId="77777777" w:rsidTr="00E4104F">
        <w:trPr>
          <w:trHeight w:val="529"/>
        </w:trPr>
        <w:tc>
          <w:tcPr>
            <w:tcW w:w="2139" w:type="dxa"/>
            <w:vMerge w:val="restart"/>
            <w:shd w:val="clear" w:color="auto" w:fill="auto"/>
            <w:vAlign w:val="center"/>
            <w:hideMark/>
          </w:tcPr>
          <w:p w14:paraId="0207ED9B" w14:textId="77777777" w:rsidR="00F73AF2" w:rsidRPr="0065404B" w:rsidRDefault="00A1210B" w:rsidP="00F73AF2">
            <w:pP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 </w:t>
            </w:r>
          </w:p>
        </w:tc>
        <w:tc>
          <w:tcPr>
            <w:tcW w:w="2837" w:type="dxa"/>
            <w:vMerge w:val="restart"/>
            <w:shd w:val="clear" w:color="auto" w:fill="auto"/>
            <w:vAlign w:val="center"/>
            <w:hideMark/>
          </w:tcPr>
          <w:p w14:paraId="05330E82"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w:t>
            </w:r>
          </w:p>
        </w:tc>
        <w:tc>
          <w:tcPr>
            <w:tcW w:w="1936" w:type="dxa"/>
            <w:vMerge w:val="restart"/>
            <w:shd w:val="clear" w:color="auto" w:fill="auto"/>
            <w:vAlign w:val="center"/>
            <w:hideMark/>
          </w:tcPr>
          <w:p w14:paraId="12C03160"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Marsan</w:t>
            </w:r>
          </w:p>
        </w:tc>
        <w:tc>
          <w:tcPr>
            <w:tcW w:w="1936" w:type="dxa"/>
            <w:vMerge w:val="restart"/>
            <w:shd w:val="clear" w:color="auto" w:fill="auto"/>
            <w:vAlign w:val="center"/>
            <w:hideMark/>
          </w:tcPr>
          <w:p w14:paraId="7232F76B"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Wiseconsol</w:t>
            </w:r>
          </w:p>
        </w:tc>
      </w:tr>
      <w:tr w:rsidR="00F73AF2" w:rsidRPr="000A4FF4" w14:paraId="3E9AF8D4" w14:textId="77777777" w:rsidTr="00E4104F">
        <w:trPr>
          <w:trHeight w:val="366"/>
        </w:trPr>
        <w:tc>
          <w:tcPr>
            <w:tcW w:w="2139" w:type="dxa"/>
            <w:vMerge/>
            <w:vAlign w:val="center"/>
            <w:hideMark/>
          </w:tcPr>
          <w:p w14:paraId="57B6EA18" w14:textId="77777777" w:rsidR="00F73AF2" w:rsidRPr="0065404B" w:rsidRDefault="00F73AF2" w:rsidP="00F73AF2">
            <w:pPr>
              <w:rPr>
                <w:rFonts w:ascii="Times New Roman" w:eastAsia="Times New Roman" w:hAnsi="Times New Roman" w:cs="Times New Roman"/>
                <w:color w:val="0D0D0D"/>
                <w:sz w:val="22"/>
                <w:lang w:eastAsia="es-AR"/>
              </w:rPr>
            </w:pPr>
          </w:p>
        </w:tc>
        <w:tc>
          <w:tcPr>
            <w:tcW w:w="2837" w:type="dxa"/>
            <w:vMerge/>
            <w:vAlign w:val="center"/>
            <w:hideMark/>
          </w:tcPr>
          <w:p w14:paraId="1F3F85B8"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62F9A601"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1E625D1E" w14:textId="77777777" w:rsidR="00F73AF2" w:rsidRPr="0065404B" w:rsidRDefault="00F73AF2" w:rsidP="00F73AF2">
            <w:pPr>
              <w:rPr>
                <w:rFonts w:ascii="Times New Roman" w:eastAsia="Times New Roman" w:hAnsi="Times New Roman" w:cs="Times New Roman"/>
                <w:b/>
                <w:bCs/>
                <w:color w:val="000000"/>
                <w:sz w:val="22"/>
                <w:lang w:eastAsia="es-AR"/>
              </w:rPr>
            </w:pPr>
          </w:p>
        </w:tc>
      </w:tr>
      <w:tr w:rsidR="00F73AF2" w:rsidRPr="000A4FF4" w14:paraId="411C4A10" w14:textId="77777777" w:rsidTr="00E4104F">
        <w:trPr>
          <w:trHeight w:val="615"/>
        </w:trPr>
        <w:tc>
          <w:tcPr>
            <w:tcW w:w="2139" w:type="dxa"/>
            <w:shd w:val="clear" w:color="auto" w:fill="auto"/>
            <w:vAlign w:val="center"/>
            <w:hideMark/>
          </w:tcPr>
          <w:p w14:paraId="5A48A7F1"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Bazar Avenida S.A.</w:t>
            </w:r>
          </w:p>
        </w:tc>
        <w:tc>
          <w:tcPr>
            <w:tcW w:w="2837" w:type="dxa"/>
            <w:shd w:val="clear" w:color="auto" w:fill="auto"/>
            <w:vAlign w:val="center"/>
            <w:hideMark/>
          </w:tcPr>
          <w:p w14:paraId="305FBAF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Retail dedicado a la comercialización de electrodomésticos.</w:t>
            </w:r>
          </w:p>
        </w:tc>
        <w:tc>
          <w:tcPr>
            <w:tcW w:w="1936" w:type="dxa"/>
            <w:shd w:val="clear" w:color="auto" w:fill="auto"/>
            <w:vAlign w:val="center"/>
            <w:hideMark/>
          </w:tcPr>
          <w:p w14:paraId="63947D9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52A28D87"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2F8B86C9" w14:textId="77777777" w:rsidTr="00E4104F">
        <w:trPr>
          <w:trHeight w:val="545"/>
        </w:trPr>
        <w:tc>
          <w:tcPr>
            <w:tcW w:w="2139" w:type="dxa"/>
            <w:shd w:val="clear" w:color="auto" w:fill="auto"/>
            <w:vAlign w:val="center"/>
            <w:hideMark/>
          </w:tcPr>
          <w:p w14:paraId="75520F5E"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Consumo S.A.</w:t>
            </w:r>
          </w:p>
        </w:tc>
        <w:tc>
          <w:tcPr>
            <w:tcW w:w="2837" w:type="dxa"/>
            <w:shd w:val="clear" w:color="auto" w:fill="auto"/>
            <w:vAlign w:val="center"/>
            <w:hideMark/>
          </w:tcPr>
          <w:p w14:paraId="682474E5"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otorgamiento de préstamos personales de dinero.</w:t>
            </w:r>
          </w:p>
        </w:tc>
        <w:tc>
          <w:tcPr>
            <w:tcW w:w="1936" w:type="dxa"/>
            <w:shd w:val="clear" w:color="auto" w:fill="auto"/>
            <w:vAlign w:val="center"/>
            <w:hideMark/>
          </w:tcPr>
          <w:p w14:paraId="59A556D2"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3700AA21"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02416112" w14:textId="77777777" w:rsidTr="00E4104F">
        <w:trPr>
          <w:trHeight w:val="724"/>
        </w:trPr>
        <w:tc>
          <w:tcPr>
            <w:tcW w:w="2139" w:type="dxa"/>
            <w:shd w:val="clear" w:color="auto" w:fill="auto"/>
            <w:vAlign w:val="center"/>
            <w:hideMark/>
          </w:tcPr>
          <w:p w14:paraId="16BE9BD9"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Total Support S.A.</w:t>
            </w:r>
          </w:p>
        </w:tc>
        <w:tc>
          <w:tcPr>
            <w:tcW w:w="2837" w:type="dxa"/>
            <w:shd w:val="clear" w:color="auto" w:fill="auto"/>
            <w:vAlign w:val="center"/>
            <w:hideMark/>
          </w:tcPr>
          <w:p w14:paraId="296D8A9B"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especializada en la gestión integral de cobranza de carteras de clientes en mora.</w:t>
            </w:r>
          </w:p>
        </w:tc>
        <w:tc>
          <w:tcPr>
            <w:tcW w:w="1936" w:type="dxa"/>
            <w:shd w:val="clear" w:color="auto" w:fill="auto"/>
            <w:vAlign w:val="center"/>
            <w:hideMark/>
          </w:tcPr>
          <w:p w14:paraId="6A6B2DAE"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2CC45018"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6FF700A5" w14:textId="77777777" w:rsidTr="00E4104F">
        <w:trPr>
          <w:trHeight w:val="903"/>
        </w:trPr>
        <w:tc>
          <w:tcPr>
            <w:tcW w:w="2139" w:type="dxa"/>
            <w:shd w:val="clear" w:color="auto" w:fill="auto"/>
            <w:vAlign w:val="center"/>
            <w:hideMark/>
          </w:tcPr>
          <w:p w14:paraId="2135936F"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Tinsa S.A.</w:t>
            </w:r>
          </w:p>
        </w:tc>
        <w:tc>
          <w:tcPr>
            <w:tcW w:w="2837" w:type="dxa"/>
            <w:shd w:val="clear" w:color="auto" w:fill="auto"/>
            <w:vAlign w:val="center"/>
            <w:hideMark/>
          </w:tcPr>
          <w:p w14:paraId="1F65BD0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cobro extrabancario de impuestos y servicios y recarga virtual de crédito prepago de telefonía celular y fija.</w:t>
            </w:r>
          </w:p>
        </w:tc>
        <w:tc>
          <w:tcPr>
            <w:tcW w:w="1936" w:type="dxa"/>
            <w:shd w:val="clear" w:color="auto" w:fill="auto"/>
            <w:vAlign w:val="center"/>
            <w:hideMark/>
          </w:tcPr>
          <w:p w14:paraId="1D118CC3"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4551D8CD"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390E443B" w14:textId="77777777" w:rsidTr="00E4104F">
        <w:trPr>
          <w:trHeight w:val="366"/>
        </w:trPr>
        <w:tc>
          <w:tcPr>
            <w:tcW w:w="2139" w:type="dxa"/>
            <w:shd w:val="clear" w:color="auto" w:fill="auto"/>
            <w:vAlign w:val="center"/>
            <w:hideMark/>
          </w:tcPr>
          <w:p w14:paraId="71E0A16A"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Logme S.A.</w:t>
            </w:r>
          </w:p>
        </w:tc>
        <w:tc>
          <w:tcPr>
            <w:tcW w:w="2837" w:type="dxa"/>
            <w:shd w:val="clear" w:color="auto" w:fill="auto"/>
            <w:vAlign w:val="center"/>
            <w:hideMark/>
          </w:tcPr>
          <w:p w14:paraId="519D59DD"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 la logística retail.</w:t>
            </w:r>
          </w:p>
        </w:tc>
        <w:tc>
          <w:tcPr>
            <w:tcW w:w="1936" w:type="dxa"/>
            <w:shd w:val="clear" w:color="auto" w:fill="auto"/>
            <w:vAlign w:val="center"/>
            <w:hideMark/>
          </w:tcPr>
          <w:p w14:paraId="1C8D64F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7766AD2B"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bl>
    <w:p w14:paraId="39868D09" w14:textId="77777777" w:rsidR="0057621D" w:rsidRPr="00506990" w:rsidRDefault="000210CD" w:rsidP="00E4104F">
      <w:pPr>
        <w:shd w:val="clear" w:color="auto" w:fill="D9D9D9"/>
        <w:spacing w:before="24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POLÍTICA DE PROTECCIÓN DEL MEDIO AMBIENTE</w:t>
      </w:r>
    </w:p>
    <w:p w14:paraId="04F80A43" w14:textId="77777777" w:rsidR="0096254D" w:rsidRDefault="0096254D" w:rsidP="0057621D">
      <w:pPr>
        <w:spacing w:before="60"/>
        <w:rPr>
          <w:rFonts w:ascii="Times New Roman" w:hAnsi="Times New Roman" w:cs="Times New Roman"/>
          <w:color w:val="0D0D0D" w:themeColor="text1" w:themeTint="F2"/>
          <w:sz w:val="22"/>
          <w:szCs w:val="22"/>
        </w:rPr>
      </w:pPr>
    </w:p>
    <w:p w14:paraId="6439FCE6" w14:textId="47162CA4" w:rsidR="00925818" w:rsidRPr="0096254D" w:rsidRDefault="00925818" w:rsidP="00925818">
      <w:pPr>
        <w:spacing w:before="60" w:after="100" w:afterAutospacing="1"/>
        <w:jc w:val="left"/>
        <w:rPr>
          <w:rFonts w:ascii="Times New Roman" w:eastAsia="Times New Roman" w:hAnsi="Times New Roman" w:cs="Times New Roman"/>
          <w:sz w:val="24"/>
          <w:szCs w:val="24"/>
          <w:lang w:val="es-AR" w:eastAsia="es-AR"/>
        </w:rPr>
      </w:pPr>
      <w:r w:rsidRPr="0096254D">
        <w:rPr>
          <w:rFonts w:ascii="Times New Roman" w:eastAsia="Times New Roman" w:hAnsi="Times New Roman" w:cs="Times New Roman"/>
          <w:color w:val="0D0D0D"/>
          <w:sz w:val="22"/>
          <w:szCs w:val="22"/>
          <w:lang w:val="es-AR" w:eastAsia="es-AR"/>
        </w:rPr>
        <w:t>La empresa no posee al presente una política ambiental establecida formalmente, dado que las actividades desarrolladas no acarrean un fuerte grado de riesgo en este sentido.</w:t>
      </w:r>
    </w:p>
    <w:p w14:paraId="1FA7FA2B" w14:textId="38BB68F8" w:rsidR="00925818" w:rsidRPr="0096254D" w:rsidRDefault="00925818" w:rsidP="00883FCC">
      <w:pPr>
        <w:spacing w:before="100" w:beforeAutospacing="1" w:after="100" w:afterAutospacing="1"/>
        <w:rPr>
          <w:rFonts w:ascii="Times New Roman" w:eastAsia="Times New Roman" w:hAnsi="Times New Roman" w:cs="Times New Roman"/>
          <w:sz w:val="24"/>
          <w:szCs w:val="24"/>
          <w:lang w:val="es-AR" w:eastAsia="es-AR"/>
        </w:rPr>
      </w:pPr>
      <w:r w:rsidRPr="0096254D">
        <w:rPr>
          <w:rFonts w:ascii="Times New Roman" w:eastAsia="Times New Roman" w:hAnsi="Times New Roman" w:cs="Times New Roman"/>
          <w:color w:val="0D0D0D"/>
          <w:sz w:val="22"/>
          <w:szCs w:val="22"/>
          <w:lang w:val="es-AR" w:eastAsia="es-AR"/>
        </w:rPr>
        <w:t xml:space="preserve">No obstante ello, dentro del marco de las </w:t>
      </w:r>
      <w:r w:rsidRPr="0096254D">
        <w:rPr>
          <w:rFonts w:ascii="Times New Roman" w:eastAsia="Times New Roman" w:hAnsi="Times New Roman" w:cs="Times New Roman"/>
          <w:b/>
          <w:bCs/>
          <w:color w:val="0D0D0D"/>
          <w:sz w:val="22"/>
          <w:szCs w:val="22"/>
          <w:lang w:val="es-AR" w:eastAsia="es-AR"/>
        </w:rPr>
        <w:t>políticas de Responsabilidad Social Empresaria</w:t>
      </w:r>
      <w:r w:rsidRPr="0096254D">
        <w:rPr>
          <w:rFonts w:ascii="Times New Roman" w:eastAsia="Times New Roman" w:hAnsi="Times New Roman" w:cs="Times New Roman"/>
          <w:color w:val="0D0D0D"/>
          <w:sz w:val="22"/>
          <w:szCs w:val="22"/>
          <w:lang w:val="es-AR" w:eastAsia="es-AR"/>
        </w:rPr>
        <w:t>, existe el compromiso con el</w:t>
      </w:r>
      <w:r w:rsidRPr="0096254D">
        <w:rPr>
          <w:rFonts w:ascii="Times New Roman" w:eastAsia="Times New Roman" w:hAnsi="Times New Roman" w:cs="Times New Roman"/>
          <w:b/>
          <w:bCs/>
          <w:color w:val="0D0D0D"/>
          <w:sz w:val="22"/>
          <w:szCs w:val="22"/>
          <w:lang w:val="es-AR" w:eastAsia="es-AR"/>
        </w:rPr>
        <w:t xml:space="preserve"> fomento de prácticas que aporten al desarrollo socio-ambiental de la comunidad</w:t>
      </w:r>
      <w:r w:rsidRPr="0096254D">
        <w:rPr>
          <w:rFonts w:ascii="Times New Roman" w:eastAsia="Times New Roman" w:hAnsi="Times New Roman" w:cs="Times New Roman"/>
          <w:color w:val="0D0D0D"/>
          <w:sz w:val="22"/>
          <w:szCs w:val="22"/>
          <w:lang w:val="es-AR" w:eastAsia="es-AR"/>
        </w:rPr>
        <w:t xml:space="preserve"> en que se inserta el Grupo empresario, y se han generado acciones en pos de ese objetivo.</w:t>
      </w:r>
    </w:p>
    <w:p w14:paraId="0A350BB5" w14:textId="77777777" w:rsidR="00925818" w:rsidRDefault="00925818" w:rsidP="00925818">
      <w:pPr>
        <w:spacing w:before="100" w:beforeAutospacing="1" w:after="100" w:afterAutospacing="1"/>
        <w:rPr>
          <w:rFonts w:ascii="Times New Roman" w:eastAsia="Times New Roman" w:hAnsi="Times New Roman" w:cs="Times New Roman"/>
          <w:color w:val="0D0D0D"/>
          <w:sz w:val="22"/>
          <w:szCs w:val="22"/>
          <w:lang w:val="es-AR" w:eastAsia="es-AR"/>
        </w:rPr>
      </w:pPr>
      <w:r w:rsidRPr="0096254D">
        <w:rPr>
          <w:rFonts w:ascii="Times New Roman" w:eastAsia="Times New Roman" w:hAnsi="Times New Roman" w:cs="Times New Roman"/>
          <w:color w:val="0D0D0D"/>
          <w:sz w:val="22"/>
          <w:szCs w:val="22"/>
          <w:lang w:val="es-AR" w:eastAsia="es-AR"/>
        </w:rPr>
        <w:t>Algunos ejemplos son los siguientes:</w:t>
      </w:r>
    </w:p>
    <w:p w14:paraId="300EC831" w14:textId="77777777" w:rsidR="00925818" w:rsidRPr="00AC5521" w:rsidRDefault="00925818" w:rsidP="00925818">
      <w:pPr>
        <w:pStyle w:val="Prrafodelista"/>
        <w:numPr>
          <w:ilvl w:val="0"/>
          <w:numId w:val="55"/>
        </w:numPr>
        <w:spacing w:before="100" w:beforeAutospacing="1" w:after="100" w:afterAutospacing="1"/>
        <w:jc w:val="both"/>
        <w:rPr>
          <w:lang w:val="es-AR" w:eastAsia="es-AR"/>
        </w:rPr>
      </w:pPr>
      <w:r>
        <w:rPr>
          <w:color w:val="0D0D0D"/>
          <w:sz w:val="22"/>
          <w:szCs w:val="22"/>
        </w:rPr>
        <w:t>Migración a lámparas LED, reemplazo de los tradicionales monitores tubo por pantallas LED, temporizadores para el apagado de luces en los locales comerciales, y correctores de factor de potencia (acciones orientadas a eficientizar el consumo energético).</w:t>
      </w:r>
    </w:p>
    <w:p w14:paraId="4222C46F" w14:textId="77777777" w:rsidR="00925818" w:rsidRPr="00AC5521" w:rsidRDefault="00925818" w:rsidP="00925818">
      <w:pPr>
        <w:pStyle w:val="Prrafodelista"/>
        <w:numPr>
          <w:ilvl w:val="0"/>
          <w:numId w:val="55"/>
        </w:numPr>
        <w:spacing w:before="100" w:beforeAutospacing="1" w:after="100" w:afterAutospacing="1"/>
        <w:jc w:val="both"/>
        <w:rPr>
          <w:lang w:val="es-AR" w:eastAsia="es-AR"/>
        </w:rPr>
      </w:pPr>
      <w:r>
        <w:rPr>
          <w:color w:val="0D0D0D"/>
          <w:sz w:val="22"/>
          <w:szCs w:val="22"/>
        </w:rPr>
        <w:t>Política de No Impresión en papel en el ámbito laboral (donde puede prescindirse). Reemplazo por escaneados y circuitos administrativos informatizados.</w:t>
      </w:r>
    </w:p>
    <w:p w14:paraId="4AD6BED9" w14:textId="77777777" w:rsidR="00925818" w:rsidRPr="00AC5521" w:rsidRDefault="00925818" w:rsidP="00925818">
      <w:pPr>
        <w:pStyle w:val="Prrafodelista"/>
        <w:numPr>
          <w:ilvl w:val="0"/>
          <w:numId w:val="55"/>
        </w:numPr>
        <w:spacing w:before="100" w:beforeAutospacing="1" w:after="100" w:afterAutospacing="1"/>
        <w:jc w:val="both"/>
        <w:rPr>
          <w:lang w:val="es-AR" w:eastAsia="es-AR"/>
        </w:rPr>
      </w:pPr>
      <w:r>
        <w:rPr>
          <w:color w:val="0D0D0D"/>
          <w:sz w:val="22"/>
          <w:szCs w:val="22"/>
        </w:rPr>
        <w:t>Utilización de cartuchos de impresión remanufacturados en Casa Central y Sucursales.</w:t>
      </w:r>
    </w:p>
    <w:p w14:paraId="2B647395" w14:textId="77777777" w:rsidR="00925818" w:rsidRPr="003E677D" w:rsidRDefault="00925818" w:rsidP="00925818">
      <w:pPr>
        <w:pStyle w:val="m3569216401588287257msolistparagraph"/>
        <w:numPr>
          <w:ilvl w:val="0"/>
          <w:numId w:val="55"/>
        </w:numPr>
        <w:spacing w:after="200" w:afterAutospacing="0"/>
        <w:jc w:val="both"/>
      </w:pPr>
      <w:r>
        <w:rPr>
          <w:color w:val="0D0D0D"/>
          <w:sz w:val="22"/>
          <w:szCs w:val="22"/>
        </w:rPr>
        <w:t>Campañas solidarias, a propuesta de Directivos o empleados, según los proyectos o actividades en que cada uno participa (BZA Solidario, se comparte la información con la totalidad de los empleados para que todos puedan participar de la Campaña publicitada).</w:t>
      </w:r>
    </w:p>
    <w:p w14:paraId="5F181792" w14:textId="73A6705A" w:rsidR="003C6A63" w:rsidRPr="00506990" w:rsidRDefault="0057621D" w:rsidP="00375AFE">
      <w:pPr>
        <w:shd w:val="clear" w:color="auto" w:fill="D9D9D9"/>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lang w:val="es-AR"/>
        </w:rPr>
        <w:t>Estados Contables</w:t>
      </w:r>
      <w:r w:rsidR="009F05CF" w:rsidRPr="00506990">
        <w:rPr>
          <w:rFonts w:ascii="Times New Roman" w:hAnsi="Times New Roman" w:cs="Times New Roman"/>
          <w:b/>
          <w:color w:val="0D0D0D" w:themeColor="text1" w:themeTint="F2"/>
          <w:sz w:val="22"/>
          <w:szCs w:val="22"/>
          <w:lang w:val="es-AR"/>
        </w:rPr>
        <w:t>*</w:t>
      </w:r>
    </w:p>
    <w:p w14:paraId="4793DF06" w14:textId="6EE09DD5" w:rsidR="0096254D" w:rsidRPr="00506990" w:rsidRDefault="0096254D" w:rsidP="0057621D">
      <w:pPr>
        <w:rPr>
          <w:rFonts w:ascii="Times New Roman" w:hAnsi="Times New Roman" w:cs="Times New Roman"/>
          <w:b/>
          <w:color w:val="0D0D0D" w:themeColor="text1" w:themeTint="F2"/>
          <w:sz w:val="22"/>
          <w:szCs w:val="22"/>
          <w:u w:val="single"/>
        </w:rPr>
      </w:pPr>
    </w:p>
    <w:p w14:paraId="4C97F80B" w14:textId="01A41DCA" w:rsidR="0057621D" w:rsidRPr="006A5AAA" w:rsidRDefault="00607C40" w:rsidP="0057621D">
      <w:pPr>
        <w:rPr>
          <w:rFonts w:ascii="Times New Roman" w:hAnsi="Times New Roman" w:cs="Times New Roman"/>
          <w:b/>
          <w:color w:val="0D0D0D" w:themeColor="text1" w:themeTint="F2"/>
          <w:sz w:val="22"/>
          <w:szCs w:val="22"/>
          <w:u w:val="single"/>
        </w:rPr>
      </w:pPr>
      <w:r>
        <w:rPr>
          <w:noProof/>
          <w:lang w:val="es-AR" w:eastAsia="es-AR"/>
        </w:rPr>
        <w:drawing>
          <wp:inline distT="0" distB="0" distL="0" distR="0" wp14:anchorId="101777BF" wp14:editId="22AD32A6">
            <wp:extent cx="5613400" cy="6826250"/>
            <wp:effectExtent l="0" t="0" r="6350" b="0"/>
            <wp:docPr id="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6826250"/>
                    </a:xfrm>
                    <a:prstGeom prst="rect">
                      <a:avLst/>
                    </a:prstGeom>
                    <a:noFill/>
                    <a:extLst/>
                  </pic:spPr>
                </pic:pic>
              </a:graphicData>
            </a:graphic>
          </wp:inline>
        </w:drawing>
      </w:r>
    </w:p>
    <w:p w14:paraId="7D13AB63"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76A2FCA8" w14:textId="35D7CB15" w:rsidR="005D2BAF" w:rsidRPr="006A5AAA" w:rsidRDefault="009903C6" w:rsidP="0057621D">
      <w:pPr>
        <w:rPr>
          <w:rFonts w:ascii="Times New Roman" w:hAnsi="Times New Roman" w:cs="Times New Roman"/>
          <w:b/>
          <w:color w:val="0D0D0D" w:themeColor="text1" w:themeTint="F2"/>
          <w:sz w:val="22"/>
          <w:szCs w:val="22"/>
          <w:u w:val="single"/>
        </w:rPr>
      </w:pPr>
      <w:r w:rsidRPr="009903C6">
        <w:rPr>
          <w:rFonts w:ascii="Times New Roman" w:hAnsi="Times New Roman" w:cs="Times New Roman"/>
          <w:b/>
          <w:color w:val="0D0D0D" w:themeColor="text1" w:themeTint="F2"/>
          <w:sz w:val="22"/>
          <w:szCs w:val="22"/>
          <w:u w:val="single"/>
        </w:rPr>
        <w:t xml:space="preserve"> </w:t>
      </w:r>
      <w:r w:rsidR="008344BC">
        <w:rPr>
          <w:noProof/>
          <w:lang w:val="es-AR" w:eastAsia="es-AR"/>
        </w:rPr>
        <w:drawing>
          <wp:inline distT="0" distB="0" distL="0" distR="0" wp14:anchorId="21F4CE1C" wp14:editId="74D45B84">
            <wp:extent cx="5613400" cy="3336290"/>
            <wp:effectExtent l="0" t="0" r="6350" b="0"/>
            <wp:docPr id="1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3336290"/>
                    </a:xfrm>
                    <a:prstGeom prst="rect">
                      <a:avLst/>
                    </a:prstGeom>
                    <a:noFill/>
                    <a:extLst/>
                  </pic:spPr>
                </pic:pic>
              </a:graphicData>
            </a:graphic>
          </wp:inline>
        </w:drawing>
      </w:r>
    </w:p>
    <w:p w14:paraId="456F3B7A"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57499ECC" w14:textId="48784CEC" w:rsidR="008C292B" w:rsidRPr="00E4104F" w:rsidRDefault="006A5AAA" w:rsidP="0057621D">
      <w:pPr>
        <w:rPr>
          <w:rFonts w:ascii="Times New Roman" w:hAnsi="Times New Roman" w:cs="Times New Roman"/>
          <w:b/>
          <w:color w:val="0D0D0D" w:themeColor="text1" w:themeTint="F2"/>
          <w:sz w:val="16"/>
          <w:szCs w:val="16"/>
          <w:u w:val="single"/>
        </w:rPr>
      </w:pPr>
      <w:r w:rsidRPr="00E4104F">
        <w:rPr>
          <w:rFonts w:ascii="Times New Roman" w:hAnsi="Times New Roman" w:cs="Times New Roman"/>
          <w:i/>
          <w:color w:val="0D0D0D" w:themeColor="text1" w:themeTint="F2"/>
          <w:sz w:val="16"/>
          <w:szCs w:val="16"/>
        </w:rPr>
        <w:t>La información precedente de los EECC puede contener redondeos</w:t>
      </w:r>
      <w:r w:rsidRPr="00E4104F">
        <w:rPr>
          <w:rFonts w:ascii="Times New Roman" w:hAnsi="Times New Roman" w:cs="Times New Roman"/>
          <w:color w:val="0D0D0D" w:themeColor="text1" w:themeTint="F2"/>
          <w:sz w:val="16"/>
          <w:szCs w:val="16"/>
        </w:rPr>
        <w:t>.</w:t>
      </w:r>
    </w:p>
    <w:p w14:paraId="3E5DCC08" w14:textId="77777777" w:rsidR="0057621D" w:rsidRPr="00506990" w:rsidRDefault="0057621D" w:rsidP="0057621D">
      <w:pPr>
        <w:rPr>
          <w:rFonts w:ascii="Times New Roman" w:hAnsi="Times New Roman" w:cs="Times New Roman"/>
          <w:b/>
          <w:noProof/>
          <w:color w:val="0D0D0D" w:themeColor="text1" w:themeTint="F2"/>
          <w:sz w:val="22"/>
          <w:szCs w:val="22"/>
          <w:lang w:val="es-AR" w:eastAsia="es-AR"/>
        </w:rPr>
      </w:pPr>
    </w:p>
    <w:p w14:paraId="2F69132B" w14:textId="00720E4F" w:rsidR="0057621D" w:rsidRPr="00AC5521" w:rsidRDefault="00F05BCB" w:rsidP="00AC5521">
      <w:pPr>
        <w:shd w:val="clear" w:color="auto" w:fill="D9D9D9"/>
        <w:rPr>
          <w:b/>
          <w:color w:val="0D0D0D" w:themeColor="text1" w:themeTint="F2"/>
          <w:sz w:val="22"/>
          <w:szCs w:val="22"/>
          <w:lang w:val="es-AR"/>
        </w:rPr>
      </w:pPr>
      <w:r w:rsidRPr="00AC5521">
        <w:rPr>
          <w:rFonts w:ascii="Times New Roman" w:hAnsi="Times New Roman" w:cs="Times New Roman"/>
          <w:b/>
          <w:color w:val="0D0D0D" w:themeColor="text1" w:themeTint="F2"/>
          <w:sz w:val="22"/>
          <w:szCs w:val="22"/>
          <w:lang w:val="es-AR"/>
        </w:rPr>
        <w:t>Índices</w:t>
      </w:r>
    </w:p>
    <w:p w14:paraId="6D111E4D" w14:textId="4407DEEE" w:rsidR="00B709BB" w:rsidRPr="00506990" w:rsidRDefault="0083534B" w:rsidP="0057621D">
      <w:pPr>
        <w:rPr>
          <w:rFonts w:ascii="Times New Roman" w:hAnsi="Times New Roman" w:cs="Times New Roman"/>
          <w:b/>
          <w:noProof/>
          <w:color w:val="0D0D0D" w:themeColor="text1" w:themeTint="F2"/>
          <w:sz w:val="22"/>
          <w:szCs w:val="22"/>
          <w:lang w:val="es-AR" w:eastAsia="es-AR"/>
        </w:rPr>
      </w:pPr>
      <w:r w:rsidRPr="0083534B">
        <w:rPr>
          <w:noProof/>
          <w:lang w:val="es-AR" w:eastAsia="es-AR"/>
        </w:rPr>
        <w:t xml:space="preserve"> </w:t>
      </w:r>
      <w:r w:rsidR="009903C6" w:rsidRPr="009903C6">
        <w:rPr>
          <w:noProof/>
          <w:lang w:val="es-AR" w:eastAsia="es-AR"/>
        </w:rPr>
        <w:t xml:space="preserve"> </w:t>
      </w:r>
      <w:r w:rsidR="008344BC">
        <w:rPr>
          <w:noProof/>
          <w:lang w:val="es-AR" w:eastAsia="es-AR"/>
        </w:rPr>
        <w:drawing>
          <wp:inline distT="0" distB="0" distL="0" distR="0" wp14:anchorId="4B7F7DBF" wp14:editId="441764ED">
            <wp:extent cx="5612400" cy="749029"/>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400" cy="749029"/>
                    </a:xfrm>
                    <a:prstGeom prst="rect">
                      <a:avLst/>
                    </a:prstGeom>
                    <a:noFill/>
                  </pic:spPr>
                </pic:pic>
              </a:graphicData>
            </a:graphic>
          </wp:inline>
        </w:drawing>
      </w:r>
    </w:p>
    <w:p w14:paraId="44C46D54" w14:textId="2F402E12" w:rsidR="00781453" w:rsidRDefault="00781453" w:rsidP="0057621D">
      <w:pPr>
        <w:rPr>
          <w:rFonts w:ascii="Times New Roman" w:hAnsi="Times New Roman" w:cs="Times New Roman"/>
          <w:b/>
          <w:noProof/>
          <w:color w:val="0D0D0D" w:themeColor="text1" w:themeTint="F2"/>
          <w:sz w:val="22"/>
          <w:szCs w:val="22"/>
          <w:lang w:val="es-AR" w:eastAsia="es-AR"/>
        </w:rPr>
      </w:pPr>
    </w:p>
    <w:p w14:paraId="705431B1" w14:textId="0B2F3C64" w:rsidR="0083534B" w:rsidRPr="00AC5521" w:rsidRDefault="00A1210B" w:rsidP="0083534B">
      <w:pPr>
        <w:jc w:val="left"/>
        <w:rPr>
          <w:rFonts w:ascii="Times New Roman" w:eastAsia="Times New Roman" w:hAnsi="Times New Roman" w:cs="Times New Roman"/>
          <w:sz w:val="22"/>
          <w:szCs w:val="22"/>
          <w:lang w:val="es-AR" w:eastAsia="es-AR"/>
        </w:rPr>
      </w:pPr>
      <w:r w:rsidRPr="003B23F1">
        <w:rPr>
          <w:rFonts w:ascii="Times New Roman" w:hAnsi="Times New Roman" w:cs="Times New Roman"/>
          <w:i/>
          <w:color w:val="0D0D0D" w:themeColor="text1" w:themeTint="F2"/>
          <w:sz w:val="22"/>
          <w:szCs w:val="22"/>
        </w:rPr>
        <w:t>*</w:t>
      </w:r>
      <w:r w:rsidR="0083534B" w:rsidRPr="00AC5521">
        <w:rPr>
          <w:rFonts w:ascii="Times New Roman" w:eastAsia="Times New Roman" w:hAnsi="Times New Roman" w:cs="Times New Roman"/>
          <w:sz w:val="22"/>
          <w:szCs w:val="22"/>
          <w:lang w:val="es-AR" w:eastAsia="es-AR"/>
        </w:rPr>
        <w:t xml:space="preserve"> Los Estados Financieros correspondientes al 3</w:t>
      </w:r>
      <w:r w:rsidR="009903C6">
        <w:rPr>
          <w:rFonts w:ascii="Times New Roman" w:eastAsia="Times New Roman" w:hAnsi="Times New Roman" w:cs="Times New Roman"/>
          <w:sz w:val="22"/>
          <w:szCs w:val="22"/>
          <w:lang w:val="es-AR" w:eastAsia="es-AR"/>
        </w:rPr>
        <w:t>0</w:t>
      </w:r>
      <w:r w:rsidR="0083534B" w:rsidRPr="00AC5521">
        <w:rPr>
          <w:rFonts w:ascii="Times New Roman" w:eastAsia="Times New Roman" w:hAnsi="Times New Roman" w:cs="Times New Roman"/>
          <w:sz w:val="22"/>
          <w:szCs w:val="22"/>
          <w:lang w:val="es-AR" w:eastAsia="es-AR"/>
        </w:rPr>
        <w:t xml:space="preserve"> de junio de 202</w:t>
      </w:r>
      <w:r w:rsidR="00607C40">
        <w:rPr>
          <w:rFonts w:ascii="Times New Roman" w:eastAsia="Times New Roman" w:hAnsi="Times New Roman" w:cs="Times New Roman"/>
          <w:sz w:val="22"/>
          <w:szCs w:val="22"/>
          <w:lang w:val="es-AR" w:eastAsia="es-AR"/>
        </w:rPr>
        <w:t>3</w:t>
      </w:r>
      <w:r w:rsidR="0083534B" w:rsidRPr="00AC5521">
        <w:rPr>
          <w:rFonts w:ascii="Times New Roman" w:eastAsia="Times New Roman" w:hAnsi="Times New Roman" w:cs="Times New Roman"/>
          <w:sz w:val="22"/>
          <w:szCs w:val="22"/>
          <w:lang w:val="es-AR" w:eastAsia="es-AR"/>
        </w:rPr>
        <w:t xml:space="preserve"> y 202</w:t>
      </w:r>
      <w:r w:rsidR="00607C40">
        <w:rPr>
          <w:rFonts w:ascii="Times New Roman" w:eastAsia="Times New Roman" w:hAnsi="Times New Roman" w:cs="Times New Roman"/>
          <w:sz w:val="22"/>
          <w:szCs w:val="22"/>
          <w:lang w:val="es-AR" w:eastAsia="es-AR"/>
        </w:rPr>
        <w:t>2</w:t>
      </w:r>
      <w:r w:rsidR="0083534B" w:rsidRPr="00AC5521">
        <w:rPr>
          <w:rFonts w:ascii="Times New Roman" w:eastAsia="Times New Roman" w:hAnsi="Times New Roman" w:cs="Times New Roman"/>
          <w:sz w:val="22"/>
          <w:szCs w:val="22"/>
          <w:lang w:val="es-AR" w:eastAsia="es-AR"/>
        </w:rPr>
        <w:t xml:space="preserve"> se encuentran ajustados por inflación al 30 de junio de 202</w:t>
      </w:r>
      <w:r w:rsidR="00607C40">
        <w:rPr>
          <w:rFonts w:ascii="Times New Roman" w:eastAsia="Times New Roman" w:hAnsi="Times New Roman" w:cs="Times New Roman"/>
          <w:sz w:val="22"/>
          <w:szCs w:val="22"/>
          <w:lang w:val="es-AR" w:eastAsia="es-AR"/>
        </w:rPr>
        <w:t>3</w:t>
      </w:r>
      <w:r w:rsidR="0083534B" w:rsidRPr="00AC5521">
        <w:rPr>
          <w:rFonts w:ascii="Times New Roman" w:eastAsia="Times New Roman" w:hAnsi="Times New Roman" w:cs="Times New Roman"/>
          <w:sz w:val="22"/>
          <w:szCs w:val="22"/>
          <w:lang w:val="es-AR" w:eastAsia="es-AR"/>
        </w:rPr>
        <w:t>, por lo que sus cifras no son comparables con las del ejercicio 20</w:t>
      </w:r>
      <w:r w:rsidR="009903C6">
        <w:rPr>
          <w:rFonts w:ascii="Times New Roman" w:eastAsia="Times New Roman" w:hAnsi="Times New Roman" w:cs="Times New Roman"/>
          <w:sz w:val="22"/>
          <w:szCs w:val="22"/>
          <w:lang w:val="es-AR" w:eastAsia="es-AR"/>
        </w:rPr>
        <w:t>2</w:t>
      </w:r>
      <w:r w:rsidR="00607C40">
        <w:rPr>
          <w:rFonts w:ascii="Times New Roman" w:eastAsia="Times New Roman" w:hAnsi="Times New Roman" w:cs="Times New Roman"/>
          <w:sz w:val="22"/>
          <w:szCs w:val="22"/>
          <w:lang w:val="es-AR" w:eastAsia="es-AR"/>
        </w:rPr>
        <w:t>1 (que se encuentran ajustados por inflación al 30 de junio del 2022)</w:t>
      </w:r>
      <w:r w:rsidR="0083534B" w:rsidRPr="00AC5521">
        <w:rPr>
          <w:rFonts w:ascii="Times New Roman" w:eastAsia="Times New Roman" w:hAnsi="Times New Roman" w:cs="Times New Roman"/>
          <w:sz w:val="22"/>
          <w:szCs w:val="22"/>
          <w:lang w:val="es-AR" w:eastAsia="es-AR"/>
        </w:rPr>
        <w:t>.</w:t>
      </w:r>
    </w:p>
    <w:p w14:paraId="2D875BA1" w14:textId="77777777" w:rsidR="00D64A20" w:rsidRDefault="00D64A20" w:rsidP="00594DD2">
      <w:pPr>
        <w:rPr>
          <w:rFonts w:ascii="Times New Roman" w:hAnsi="Times New Roman" w:cs="Times New Roman"/>
          <w:i/>
          <w:color w:val="0D0D0D" w:themeColor="text1" w:themeTint="F2"/>
          <w:sz w:val="22"/>
          <w:szCs w:val="22"/>
        </w:rPr>
      </w:pPr>
    </w:p>
    <w:p w14:paraId="59514B50" w14:textId="4A402926" w:rsidR="00FF6E30" w:rsidRPr="00E4104F" w:rsidRDefault="00FF6E30" w:rsidP="00594DD2">
      <w:pPr>
        <w:rPr>
          <w:rFonts w:ascii="Times New Roman" w:hAnsi="Times New Roman" w:cs="Times New Roman"/>
          <w:color w:val="0D0D0D" w:themeColor="text1" w:themeTint="F2"/>
          <w:sz w:val="22"/>
          <w:szCs w:val="22"/>
        </w:rPr>
      </w:pPr>
      <w:r w:rsidRPr="00FF6E30">
        <w:rPr>
          <w:rFonts w:ascii="Times New Roman" w:hAnsi="Times New Roman" w:cs="Times New Roman"/>
          <w:color w:val="0D0D0D" w:themeColor="text1" w:themeTint="F2"/>
          <w:sz w:val="22"/>
          <w:szCs w:val="22"/>
        </w:rPr>
        <w:t>Los Estad</w:t>
      </w:r>
      <w:r>
        <w:rPr>
          <w:rFonts w:ascii="Times New Roman" w:hAnsi="Times New Roman" w:cs="Times New Roman"/>
          <w:color w:val="0D0D0D" w:themeColor="text1" w:themeTint="F2"/>
          <w:sz w:val="22"/>
          <w:szCs w:val="22"/>
        </w:rPr>
        <w:t>os Contables con cierre al 3</w:t>
      </w:r>
      <w:r w:rsidR="00C97701">
        <w:rPr>
          <w:rFonts w:ascii="Times New Roman" w:hAnsi="Times New Roman" w:cs="Times New Roman"/>
          <w:color w:val="0D0D0D" w:themeColor="text1" w:themeTint="F2"/>
          <w:sz w:val="22"/>
          <w:szCs w:val="22"/>
        </w:rPr>
        <w:t>0</w:t>
      </w:r>
      <w:r>
        <w:rPr>
          <w:rFonts w:ascii="Times New Roman" w:hAnsi="Times New Roman" w:cs="Times New Roman"/>
          <w:color w:val="0D0D0D" w:themeColor="text1" w:themeTint="F2"/>
          <w:sz w:val="22"/>
          <w:szCs w:val="22"/>
        </w:rPr>
        <w:t>/06</w:t>
      </w:r>
      <w:r w:rsidRPr="00FF6E30">
        <w:rPr>
          <w:rFonts w:ascii="Times New Roman" w:hAnsi="Times New Roman" w:cs="Times New Roman"/>
          <w:color w:val="0D0D0D" w:themeColor="text1" w:themeTint="F2"/>
          <w:sz w:val="22"/>
          <w:szCs w:val="22"/>
        </w:rPr>
        <w:t xml:space="preserve">/2023 fueron aprobados por la asamblea de accionistas de </w:t>
      </w:r>
      <w:r w:rsidRPr="00E45310">
        <w:rPr>
          <w:rFonts w:ascii="Times New Roman" w:hAnsi="Times New Roman" w:cs="Times New Roman"/>
          <w:color w:val="0D0D0D" w:themeColor="text1" w:themeTint="F2"/>
          <w:sz w:val="22"/>
          <w:szCs w:val="22"/>
        </w:rPr>
        <w:t>BAZAR AVENIDA S.A.</w:t>
      </w:r>
      <w:r>
        <w:rPr>
          <w:rFonts w:ascii="Times New Roman" w:hAnsi="Times New Roman" w:cs="Times New Roman"/>
          <w:color w:val="0D0D0D" w:themeColor="text1" w:themeTint="F2"/>
          <w:sz w:val="22"/>
          <w:szCs w:val="22"/>
        </w:rPr>
        <w:t xml:space="preserve"> celebrada el 15/11</w:t>
      </w:r>
      <w:r w:rsidRPr="00FF6E30">
        <w:rPr>
          <w:rFonts w:ascii="Times New Roman" w:hAnsi="Times New Roman" w:cs="Times New Roman"/>
          <w:color w:val="0D0D0D" w:themeColor="text1" w:themeTint="F2"/>
          <w:sz w:val="22"/>
          <w:szCs w:val="22"/>
        </w:rPr>
        <w:t>/2023</w:t>
      </w:r>
      <w:r>
        <w:rPr>
          <w:rFonts w:ascii="Times New Roman" w:hAnsi="Times New Roman" w:cs="Times New Roman"/>
          <w:color w:val="0D0D0D" w:themeColor="text1" w:themeTint="F2"/>
          <w:sz w:val="22"/>
          <w:szCs w:val="22"/>
        </w:rPr>
        <w:t>.</w:t>
      </w:r>
    </w:p>
    <w:p w14:paraId="3CA1C397" w14:textId="77777777" w:rsidR="000D7B9F" w:rsidRPr="00506990" w:rsidRDefault="000D7B9F" w:rsidP="0057621D">
      <w:pPr>
        <w:rPr>
          <w:rFonts w:ascii="Times New Roman" w:hAnsi="Times New Roman" w:cs="Times New Roman"/>
          <w:b/>
          <w:noProof/>
          <w:color w:val="0D0D0D" w:themeColor="text1" w:themeTint="F2"/>
          <w:sz w:val="22"/>
          <w:szCs w:val="22"/>
          <w:u w:val="single"/>
          <w:lang w:val="es-AR" w:eastAsia="es-AR"/>
        </w:rPr>
      </w:pPr>
    </w:p>
    <w:p w14:paraId="24D949AE" w14:textId="77777777" w:rsidR="00F77E58" w:rsidRPr="00506990" w:rsidRDefault="00F77E58" w:rsidP="0057621D">
      <w:pPr>
        <w:rPr>
          <w:rFonts w:ascii="Times New Roman" w:hAnsi="Times New Roman" w:cs="Times New Roman"/>
          <w:b/>
          <w:noProof/>
          <w:color w:val="0D0D0D" w:themeColor="text1" w:themeTint="F2"/>
          <w:sz w:val="22"/>
          <w:szCs w:val="22"/>
          <w:u w:val="single"/>
          <w:lang w:val="es-AR" w:eastAsia="es-AR"/>
        </w:rPr>
      </w:pPr>
      <w:r w:rsidRPr="00506990">
        <w:rPr>
          <w:rFonts w:ascii="Times New Roman" w:hAnsi="Times New Roman" w:cs="Times New Roman"/>
          <w:b/>
          <w:noProof/>
          <w:color w:val="0D0D0D" w:themeColor="text1" w:themeTint="F2"/>
          <w:sz w:val="22"/>
          <w:szCs w:val="22"/>
          <w:u w:val="single"/>
          <w:lang w:val="es-AR" w:eastAsia="es-AR"/>
        </w:rPr>
        <w:t>PRINCIPALES RUBROS DE</w:t>
      </w:r>
      <w:r w:rsidR="00A017F9" w:rsidRPr="00506990">
        <w:rPr>
          <w:rFonts w:ascii="Times New Roman" w:hAnsi="Times New Roman" w:cs="Times New Roman"/>
          <w:b/>
          <w:noProof/>
          <w:color w:val="0D0D0D" w:themeColor="text1" w:themeTint="F2"/>
          <w:sz w:val="22"/>
          <w:szCs w:val="22"/>
          <w:u w:val="single"/>
          <w:lang w:val="es-AR" w:eastAsia="es-AR"/>
        </w:rPr>
        <w:t xml:space="preserve"> </w:t>
      </w:r>
      <w:r w:rsidRPr="00506990">
        <w:rPr>
          <w:rFonts w:ascii="Times New Roman" w:hAnsi="Times New Roman" w:cs="Times New Roman"/>
          <w:b/>
          <w:noProof/>
          <w:color w:val="0D0D0D" w:themeColor="text1" w:themeTint="F2"/>
          <w:sz w:val="22"/>
          <w:szCs w:val="22"/>
          <w:u w:val="single"/>
          <w:lang w:val="es-AR" w:eastAsia="es-AR"/>
        </w:rPr>
        <w:t>L</w:t>
      </w:r>
      <w:r w:rsidR="00A017F9" w:rsidRPr="00506990">
        <w:rPr>
          <w:rFonts w:ascii="Times New Roman" w:hAnsi="Times New Roman" w:cs="Times New Roman"/>
          <w:b/>
          <w:noProof/>
          <w:color w:val="0D0D0D" w:themeColor="text1" w:themeTint="F2"/>
          <w:sz w:val="22"/>
          <w:szCs w:val="22"/>
          <w:u w:val="single"/>
          <w:lang w:val="es-AR" w:eastAsia="es-AR"/>
        </w:rPr>
        <w:t>OS</w:t>
      </w:r>
      <w:r w:rsidRPr="00506990">
        <w:rPr>
          <w:rFonts w:ascii="Times New Roman" w:hAnsi="Times New Roman" w:cs="Times New Roman"/>
          <w:b/>
          <w:noProof/>
          <w:color w:val="0D0D0D" w:themeColor="text1" w:themeTint="F2"/>
          <w:sz w:val="22"/>
          <w:szCs w:val="22"/>
          <w:u w:val="single"/>
          <w:lang w:val="es-AR" w:eastAsia="es-AR"/>
        </w:rPr>
        <w:t xml:space="preserve"> ESTADO</w:t>
      </w:r>
      <w:r w:rsidR="00A017F9" w:rsidRPr="00506990">
        <w:rPr>
          <w:rFonts w:ascii="Times New Roman" w:hAnsi="Times New Roman" w:cs="Times New Roman"/>
          <w:b/>
          <w:noProof/>
          <w:color w:val="0D0D0D" w:themeColor="text1" w:themeTint="F2"/>
          <w:sz w:val="22"/>
          <w:szCs w:val="22"/>
          <w:u w:val="single"/>
          <w:lang w:val="es-AR" w:eastAsia="es-AR"/>
        </w:rPr>
        <w:t>S</w:t>
      </w:r>
      <w:r w:rsidRPr="00506990">
        <w:rPr>
          <w:rFonts w:ascii="Times New Roman" w:hAnsi="Times New Roman" w:cs="Times New Roman"/>
          <w:b/>
          <w:noProof/>
          <w:color w:val="0D0D0D" w:themeColor="text1" w:themeTint="F2"/>
          <w:sz w:val="22"/>
          <w:szCs w:val="22"/>
          <w:u w:val="single"/>
          <w:lang w:val="es-AR" w:eastAsia="es-AR"/>
        </w:rPr>
        <w:t xml:space="preserve"> </w:t>
      </w:r>
      <w:r w:rsidR="00A017F9" w:rsidRPr="00506990">
        <w:rPr>
          <w:rFonts w:ascii="Times New Roman" w:hAnsi="Times New Roman" w:cs="Times New Roman"/>
          <w:b/>
          <w:noProof/>
          <w:color w:val="0D0D0D" w:themeColor="text1" w:themeTint="F2"/>
          <w:sz w:val="22"/>
          <w:szCs w:val="22"/>
          <w:u w:val="single"/>
          <w:lang w:val="es-AR" w:eastAsia="es-AR"/>
        </w:rPr>
        <w:t>CONTABLES</w:t>
      </w:r>
    </w:p>
    <w:p w14:paraId="3EEC592D" w14:textId="77777777" w:rsidR="00F77E58" w:rsidRDefault="00F77E58" w:rsidP="0057621D">
      <w:pPr>
        <w:rPr>
          <w:rFonts w:ascii="Times New Roman" w:hAnsi="Times New Roman" w:cs="Times New Roman"/>
          <w:b/>
          <w:noProof/>
          <w:color w:val="0D0D0D" w:themeColor="text1" w:themeTint="F2"/>
          <w:sz w:val="22"/>
          <w:szCs w:val="22"/>
          <w:u w:val="single"/>
          <w:lang w:val="es-AR" w:eastAsia="es-AR"/>
        </w:rPr>
      </w:pPr>
    </w:p>
    <w:p w14:paraId="44774079" w14:textId="77777777" w:rsidR="009525E0" w:rsidRDefault="009564B0" w:rsidP="009525E0">
      <w:pPr>
        <w:pStyle w:val="Prrafodelista"/>
        <w:numPr>
          <w:ilvl w:val="0"/>
          <w:numId w:val="63"/>
        </w:numPr>
        <w:spacing w:after="160" w:line="259" w:lineRule="auto"/>
        <w:jc w:val="both"/>
        <w:rPr>
          <w:sz w:val="22"/>
        </w:rPr>
      </w:pPr>
      <w:r w:rsidRPr="00B978D9">
        <w:rPr>
          <w:i/>
          <w:sz w:val="22"/>
          <w:u w:val="single"/>
        </w:rPr>
        <w:t>Caja y Bancos</w:t>
      </w:r>
      <w:r w:rsidRPr="00B978D9">
        <w:rPr>
          <w:sz w:val="22"/>
        </w:rPr>
        <w:t xml:space="preserve">: </w:t>
      </w:r>
      <w:r w:rsidR="009525E0" w:rsidRPr="009525E0">
        <w:rPr>
          <w:sz w:val="22"/>
        </w:rPr>
        <w:t>El disponible al cierre del Ejercicio se reduce un 57%, en términos reales, respecto del período anterior, al alcanzar los $ 103,5 MM. Esta sustancial reducción obedece a la necesidad de disminuir los saldos monetarios no remunerados expuestos a la pérdida de poder adquisitivo ocasionada por los altos niveles inflacionarios. Por tal motivo, las disponibilidades en Caja y Bancos se restringen a lo indispensable para cubrir necesidades operativas inmediatas.</w:t>
      </w:r>
    </w:p>
    <w:p w14:paraId="24A2D4C0" w14:textId="77777777" w:rsidR="009525E0" w:rsidRDefault="009525E0" w:rsidP="00DF6BB2">
      <w:pPr>
        <w:pStyle w:val="Prrafodelista"/>
        <w:spacing w:after="160" w:line="259" w:lineRule="auto"/>
        <w:jc w:val="both"/>
        <w:rPr>
          <w:sz w:val="22"/>
        </w:rPr>
      </w:pPr>
    </w:p>
    <w:p w14:paraId="54DC7A43" w14:textId="6FFA840B" w:rsidR="009564B0" w:rsidRPr="00B978D9" w:rsidRDefault="009525E0" w:rsidP="009525E0">
      <w:pPr>
        <w:pStyle w:val="Prrafodelista"/>
        <w:numPr>
          <w:ilvl w:val="0"/>
          <w:numId w:val="63"/>
        </w:numPr>
        <w:spacing w:after="160" w:line="259" w:lineRule="auto"/>
        <w:jc w:val="both"/>
        <w:rPr>
          <w:sz w:val="22"/>
        </w:rPr>
      </w:pPr>
      <w:r w:rsidRPr="00DF6BB2">
        <w:rPr>
          <w:i/>
          <w:sz w:val="22"/>
          <w:u w:val="single"/>
        </w:rPr>
        <w:t>Inversiones Temporarias</w:t>
      </w:r>
      <w:r>
        <w:rPr>
          <w:sz w:val="22"/>
        </w:rPr>
        <w:t xml:space="preserve">: </w:t>
      </w:r>
      <w:r w:rsidRPr="009525E0">
        <w:rPr>
          <w:sz w:val="22"/>
        </w:rPr>
        <w:t>Se triplican, al crecer un 207% en términos reales respecto del cierre de ejercicio anterior, alcanzando los $ 1.356 MM. Se debe principalmente a contar con mayor saldo de títulos de participación en distintas series de los Fideicomisos Financieros “Confibono”, lo cual a su vez deriva tanto del incremento en la cantidad y volúmenes de créditos fideicomitidos como por haberse emitido un número mayor de series respecto del ejercicio previo.</w:t>
      </w:r>
    </w:p>
    <w:p w14:paraId="294B42FE" w14:textId="77777777" w:rsidR="009564B0" w:rsidRPr="00B978D9" w:rsidRDefault="009564B0" w:rsidP="00B978D9">
      <w:pPr>
        <w:pStyle w:val="Prrafodelista"/>
        <w:jc w:val="both"/>
        <w:rPr>
          <w:sz w:val="22"/>
        </w:rPr>
      </w:pPr>
    </w:p>
    <w:p w14:paraId="4755DE45" w14:textId="74B244FB"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Créditos por Ventas</w:t>
      </w:r>
      <w:r w:rsidRPr="00B978D9">
        <w:rPr>
          <w:sz w:val="22"/>
        </w:rPr>
        <w:t xml:space="preserve">: </w:t>
      </w:r>
      <w:r w:rsidR="009525E0" w:rsidRPr="009525E0">
        <w:rPr>
          <w:sz w:val="22"/>
        </w:rPr>
        <w:t>La totalidad de los mismos (Corrientes y No Corrientes), alcanza los $ 6.222 MM, lo que significa una disminución, en términos reales, del 30% respecto del año anterior. Esta variación obedece a un aumento en la frecuencia de emisiones de Fideicomisos Financieros, con lo cual se incrementó el ritmo de cesiones de los créditos originados. Estos créditos, al ser cedidos, dejan de formar parte del Activo de Bazar Avenida. Como contrapartida, se producen incrementos en los saldos de otros rubros del Activo, tales como el ya tratado “Inversiones Temporarias” o “Bienes de Cambio”, que se analiza a continuación.</w:t>
      </w:r>
    </w:p>
    <w:p w14:paraId="443CC84B" w14:textId="77777777" w:rsidR="009564B0" w:rsidRPr="00B978D9" w:rsidRDefault="009564B0" w:rsidP="00B978D9">
      <w:pPr>
        <w:pStyle w:val="Prrafodelista"/>
        <w:jc w:val="both"/>
        <w:rPr>
          <w:sz w:val="22"/>
        </w:rPr>
      </w:pPr>
    </w:p>
    <w:p w14:paraId="6ADCCD2B" w14:textId="7814D36A" w:rsidR="009564B0" w:rsidRPr="00B978D9" w:rsidRDefault="009564B0" w:rsidP="009525E0">
      <w:pPr>
        <w:pStyle w:val="Prrafodelista"/>
        <w:numPr>
          <w:ilvl w:val="0"/>
          <w:numId w:val="63"/>
        </w:numPr>
        <w:spacing w:after="160" w:line="259" w:lineRule="auto"/>
        <w:jc w:val="both"/>
        <w:rPr>
          <w:sz w:val="22"/>
        </w:rPr>
      </w:pPr>
      <w:r w:rsidRPr="00883FCC">
        <w:rPr>
          <w:i/>
          <w:sz w:val="22"/>
          <w:u w:val="single"/>
        </w:rPr>
        <w:t>Bienes de Cambio</w:t>
      </w:r>
      <w:r w:rsidRPr="00B978D9">
        <w:rPr>
          <w:sz w:val="22"/>
        </w:rPr>
        <w:t xml:space="preserve">: </w:t>
      </w:r>
      <w:r w:rsidR="009525E0" w:rsidRPr="009525E0">
        <w:rPr>
          <w:sz w:val="22"/>
        </w:rPr>
        <w:t>El saldo del rubro crece un 11,7% interanual, llegando a los $ 8.575 MM al cierre del ejercicio. La variación se debe principalmente a anticipos en torno a los $ 2.400 MM efectuados con el objeto de asegurar, varios meses antes del pico de su demanda, el aprovisionamiento de mercadería con alta estacionalidad. Esta situación no se presentaba al cierre del ejercicio anterior.</w:t>
      </w:r>
      <w:r w:rsidRPr="00B978D9">
        <w:rPr>
          <w:sz w:val="22"/>
        </w:rPr>
        <w:t xml:space="preserve"> </w:t>
      </w:r>
    </w:p>
    <w:p w14:paraId="33B7E85A" w14:textId="30850A76" w:rsidR="009564B0" w:rsidRPr="00B978D9" w:rsidRDefault="009564B0" w:rsidP="00B978D9">
      <w:pPr>
        <w:pStyle w:val="Prrafodelista"/>
        <w:jc w:val="both"/>
        <w:rPr>
          <w:sz w:val="22"/>
        </w:rPr>
      </w:pPr>
    </w:p>
    <w:p w14:paraId="315996BE" w14:textId="53E29666"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Bienes de Uso</w:t>
      </w:r>
      <w:r w:rsidRPr="00B978D9">
        <w:rPr>
          <w:sz w:val="22"/>
        </w:rPr>
        <w:t xml:space="preserve">: </w:t>
      </w:r>
      <w:r w:rsidR="009525E0" w:rsidRPr="009525E0">
        <w:rPr>
          <w:sz w:val="22"/>
        </w:rPr>
        <w:t>Su valor contable alcanzó los $ 1.568,84 MM, lo cual representa un crecimiento del 22,77% en relación al ejercicio anterior. Tal variación obedeció fundamentalmente a las obras e inversiones en equipamiento necesarias para la apertura de nuevas sucursales.</w:t>
      </w:r>
    </w:p>
    <w:p w14:paraId="54F8CCE4" w14:textId="77777777" w:rsidR="009564B0" w:rsidRPr="00B978D9" w:rsidRDefault="009564B0" w:rsidP="00B978D9">
      <w:pPr>
        <w:pStyle w:val="Prrafodelista"/>
        <w:jc w:val="both"/>
        <w:rPr>
          <w:sz w:val="22"/>
        </w:rPr>
      </w:pPr>
    </w:p>
    <w:p w14:paraId="67D926CF" w14:textId="2FF1302F"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Deudas Comerciales</w:t>
      </w:r>
      <w:r w:rsidRPr="00B978D9">
        <w:rPr>
          <w:sz w:val="22"/>
        </w:rPr>
        <w:t xml:space="preserve">: </w:t>
      </w:r>
      <w:r w:rsidR="009525E0" w:rsidRPr="009525E0">
        <w:rPr>
          <w:sz w:val="22"/>
        </w:rPr>
        <w:t>Crecen un 15,4% interanual, llegando a los $ 9.179 MM, lo cual principalmente se explica por aumento del capital de trabajo que se requirió en función de la apertura de nuevas sucursales y por una leve mejora en los márgenes de financiación otorgados por nuestros principales proveedores. El total adeudado guarda plena relación con los stocks de Bienes de Cambio.</w:t>
      </w:r>
    </w:p>
    <w:p w14:paraId="10B2C731" w14:textId="77777777" w:rsidR="009564B0" w:rsidRPr="00B978D9" w:rsidRDefault="009564B0" w:rsidP="00B978D9">
      <w:pPr>
        <w:pStyle w:val="Prrafodelista"/>
        <w:jc w:val="both"/>
        <w:rPr>
          <w:sz w:val="22"/>
        </w:rPr>
      </w:pPr>
    </w:p>
    <w:p w14:paraId="35905D2C" w14:textId="6A5E0330"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Deudas Financieras</w:t>
      </w:r>
      <w:r w:rsidRPr="00B978D9">
        <w:rPr>
          <w:sz w:val="22"/>
        </w:rPr>
        <w:t xml:space="preserve">: </w:t>
      </w:r>
      <w:r w:rsidR="009525E0" w:rsidRPr="009525E0">
        <w:rPr>
          <w:sz w:val="22"/>
        </w:rPr>
        <w:t>Considerando en conjunto los tramos Corriente y No Corriente del Pasivo, llegan a $ 3.366 MM, lo que representa un aumento del 31,3% respecto del ejercicio anterior. Esta variación obedece principalmente a la toma de préstamos para contribuir a financiar la apertura de nuevas sucursales, tanto en lo vinculado a inversiones requeridas como al aumento del capital de trabajo.</w:t>
      </w:r>
    </w:p>
    <w:p w14:paraId="7E532790" w14:textId="77777777" w:rsidR="009564B0" w:rsidRPr="00B978D9" w:rsidRDefault="009564B0" w:rsidP="00B978D9">
      <w:pPr>
        <w:pStyle w:val="Prrafodelista"/>
        <w:jc w:val="both"/>
        <w:rPr>
          <w:sz w:val="22"/>
        </w:rPr>
      </w:pPr>
    </w:p>
    <w:p w14:paraId="5721C38F" w14:textId="148A29A6"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Pasivo Concursal</w:t>
      </w:r>
      <w:r w:rsidRPr="00B978D9">
        <w:rPr>
          <w:sz w:val="22"/>
        </w:rPr>
        <w:t xml:space="preserve">: </w:t>
      </w:r>
      <w:r w:rsidR="009525E0" w:rsidRPr="009525E0">
        <w:rPr>
          <w:sz w:val="22"/>
        </w:rPr>
        <w:t>Alcanza los $ 202 MM, significando un descenso del 46% respecto del año anterior. Esto se debe a la normal evolución del acuerdo concursal homologado, que se encuentra en sus fases finales de pago de servicios, representando este saldo en la actualidad una ínfima proporción de los ingresos de la compañía.</w:t>
      </w:r>
    </w:p>
    <w:p w14:paraId="455835B7" w14:textId="77777777" w:rsidR="009564B0" w:rsidRPr="00B978D9" w:rsidRDefault="009564B0" w:rsidP="00B978D9">
      <w:pPr>
        <w:pStyle w:val="Prrafodelista"/>
        <w:jc w:val="both"/>
        <w:rPr>
          <w:sz w:val="22"/>
        </w:rPr>
      </w:pPr>
    </w:p>
    <w:p w14:paraId="6411957B" w14:textId="4445781D" w:rsidR="009564B0" w:rsidRPr="00B978D9" w:rsidRDefault="009564B0" w:rsidP="009525E0">
      <w:pPr>
        <w:pStyle w:val="Prrafodelista"/>
        <w:numPr>
          <w:ilvl w:val="0"/>
          <w:numId w:val="63"/>
        </w:numPr>
        <w:spacing w:after="160" w:line="259" w:lineRule="auto"/>
        <w:jc w:val="both"/>
        <w:rPr>
          <w:sz w:val="22"/>
        </w:rPr>
      </w:pPr>
      <w:r w:rsidRPr="00B978D9">
        <w:rPr>
          <w:i/>
          <w:sz w:val="22"/>
          <w:u w:val="single"/>
        </w:rPr>
        <w:t>Ventas de Bienes</w:t>
      </w:r>
      <w:r w:rsidRPr="00B978D9">
        <w:rPr>
          <w:sz w:val="22"/>
        </w:rPr>
        <w:t xml:space="preserve">: </w:t>
      </w:r>
      <w:r w:rsidR="009525E0" w:rsidRPr="009525E0">
        <w:rPr>
          <w:sz w:val="22"/>
        </w:rPr>
        <w:t>Disminuyen un 7% interanual en términos reales, se explica en gran medida por la retracción en la demanda de bienes durables operada a partir de segundo semestre del ejercicio.</w:t>
      </w:r>
    </w:p>
    <w:p w14:paraId="11A06E05" w14:textId="77777777" w:rsidR="009564B0" w:rsidRPr="00B978D9" w:rsidRDefault="009564B0" w:rsidP="00B978D9">
      <w:pPr>
        <w:pStyle w:val="Prrafodelista"/>
        <w:jc w:val="both"/>
        <w:rPr>
          <w:sz w:val="22"/>
        </w:rPr>
      </w:pPr>
    </w:p>
    <w:p w14:paraId="2121AA47" w14:textId="654FF616" w:rsidR="00847C62" w:rsidRDefault="00847C62" w:rsidP="00B65A6E">
      <w:pPr>
        <w:autoSpaceDE w:val="0"/>
        <w:autoSpaceDN w:val="0"/>
        <w:adjustRightInd w:val="0"/>
        <w:jc w:val="center"/>
        <w:rPr>
          <w:i/>
          <w:sz w:val="22"/>
          <w:u w:val="single"/>
        </w:rPr>
      </w:pPr>
    </w:p>
    <w:p w14:paraId="1AEDBDAA" w14:textId="77777777" w:rsidR="004F43F0" w:rsidRPr="00506990" w:rsidRDefault="003C769E" w:rsidP="00B65A6E">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CARTERA DE CRÉDITOS DE</w:t>
      </w:r>
      <w:r w:rsidR="00CC479E" w:rsidRPr="00506990">
        <w:rPr>
          <w:rFonts w:ascii="Times New Roman" w:hAnsi="Times New Roman" w:cs="Times New Roman"/>
          <w:b/>
          <w:bCs/>
          <w:iCs/>
          <w:color w:val="0D0D0D" w:themeColor="text1" w:themeTint="F2"/>
          <w:sz w:val="22"/>
          <w:szCs w:val="22"/>
          <w:lang w:val="es-AR"/>
        </w:rPr>
        <w:t xml:space="preserve"> BAZAR AVENIDA S.A.</w:t>
      </w:r>
    </w:p>
    <w:p w14:paraId="2D91DAE1" w14:textId="77777777" w:rsidR="009C0365" w:rsidRPr="00506990" w:rsidRDefault="009C0365" w:rsidP="009C0365">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4D28E3FE" w14:textId="4EDC9FFA" w:rsidR="008650DB" w:rsidRPr="001B7743" w:rsidRDefault="008650DB" w:rsidP="008650DB">
      <w:pPr>
        <w:autoSpaceDE w:val="0"/>
        <w:autoSpaceDN w:val="0"/>
        <w:adjustRightInd w:val="0"/>
        <w:jc w:val="center"/>
        <w:rPr>
          <w:rFonts w:ascii="Times New Roman" w:hAnsi="Times New Roman" w:cs="Times New Roman"/>
          <w:bCs/>
          <w:iCs/>
          <w:color w:val="0D0D0D" w:themeColor="text1" w:themeTint="F2"/>
          <w:sz w:val="22"/>
          <w:szCs w:val="22"/>
          <w:lang w:val="es-AR"/>
        </w:rPr>
      </w:pPr>
      <w:r w:rsidRPr="000E6BEA">
        <w:rPr>
          <w:rFonts w:ascii="Times New Roman" w:hAnsi="Times New Roman" w:cs="Times New Roman"/>
          <w:bCs/>
          <w:iCs/>
          <w:color w:val="0D0D0D" w:themeColor="text1" w:themeTint="F2"/>
          <w:sz w:val="22"/>
          <w:szCs w:val="22"/>
          <w:lang w:val="es-AR"/>
        </w:rPr>
        <w:t xml:space="preserve">(Información al </w:t>
      </w:r>
      <w:r w:rsidR="0068384B">
        <w:rPr>
          <w:rFonts w:ascii="Times New Roman" w:hAnsi="Times New Roman" w:cs="Times New Roman"/>
          <w:bCs/>
          <w:iCs/>
          <w:color w:val="0D0D0D" w:themeColor="text1" w:themeTint="F2"/>
          <w:sz w:val="22"/>
          <w:szCs w:val="22"/>
          <w:lang w:val="es-AR"/>
        </w:rPr>
        <w:t>3</w:t>
      </w:r>
      <w:r w:rsidR="003A6ADC">
        <w:rPr>
          <w:rFonts w:ascii="Times New Roman" w:hAnsi="Times New Roman" w:cs="Times New Roman"/>
          <w:bCs/>
          <w:iCs/>
          <w:color w:val="0D0D0D" w:themeColor="text1" w:themeTint="F2"/>
          <w:sz w:val="22"/>
          <w:szCs w:val="22"/>
          <w:lang w:val="es-AR"/>
        </w:rPr>
        <w:t>0</w:t>
      </w:r>
      <w:r w:rsidR="0068384B">
        <w:rPr>
          <w:rFonts w:ascii="Times New Roman" w:hAnsi="Times New Roman" w:cs="Times New Roman"/>
          <w:bCs/>
          <w:iCs/>
          <w:color w:val="0D0D0D" w:themeColor="text1" w:themeTint="F2"/>
          <w:sz w:val="22"/>
          <w:szCs w:val="22"/>
          <w:lang w:val="es-AR"/>
        </w:rPr>
        <w:t xml:space="preserve"> </w:t>
      </w:r>
      <w:r w:rsidR="001D1D74">
        <w:rPr>
          <w:rFonts w:ascii="Times New Roman" w:hAnsi="Times New Roman" w:cs="Times New Roman"/>
          <w:bCs/>
          <w:iCs/>
          <w:color w:val="0D0D0D" w:themeColor="text1" w:themeTint="F2"/>
          <w:sz w:val="22"/>
          <w:szCs w:val="22"/>
          <w:lang w:val="es-AR"/>
        </w:rPr>
        <w:t xml:space="preserve">de </w:t>
      </w:r>
      <w:r w:rsidR="003A6ADC">
        <w:rPr>
          <w:rFonts w:ascii="Times New Roman" w:hAnsi="Times New Roman" w:cs="Times New Roman"/>
          <w:bCs/>
          <w:iCs/>
          <w:color w:val="0D0D0D" w:themeColor="text1" w:themeTint="F2"/>
          <w:sz w:val="22"/>
          <w:szCs w:val="22"/>
          <w:lang w:val="es-AR"/>
        </w:rPr>
        <w:t xml:space="preserve">septiembre </w:t>
      </w:r>
      <w:r w:rsidRPr="000E6BEA">
        <w:rPr>
          <w:rFonts w:ascii="Times New Roman" w:hAnsi="Times New Roman" w:cs="Times New Roman"/>
          <w:bCs/>
          <w:iCs/>
          <w:color w:val="0D0D0D" w:themeColor="text1" w:themeTint="F2"/>
          <w:sz w:val="22"/>
          <w:szCs w:val="22"/>
          <w:lang w:val="es-AR"/>
        </w:rPr>
        <w:t>de 202</w:t>
      </w:r>
      <w:r w:rsidR="00285F79">
        <w:rPr>
          <w:rFonts w:ascii="Times New Roman" w:hAnsi="Times New Roman" w:cs="Times New Roman"/>
          <w:bCs/>
          <w:iCs/>
          <w:color w:val="0D0D0D" w:themeColor="text1" w:themeTint="F2"/>
          <w:sz w:val="22"/>
          <w:szCs w:val="22"/>
          <w:lang w:val="es-AR"/>
        </w:rPr>
        <w:t>3</w:t>
      </w:r>
      <w:r w:rsidRPr="000E6BEA">
        <w:rPr>
          <w:rFonts w:ascii="Times New Roman" w:hAnsi="Times New Roman" w:cs="Times New Roman"/>
          <w:bCs/>
          <w:iCs/>
          <w:color w:val="0D0D0D" w:themeColor="text1" w:themeTint="F2"/>
          <w:sz w:val="22"/>
          <w:szCs w:val="22"/>
          <w:lang w:val="es-AR"/>
        </w:rPr>
        <w:t>)</w:t>
      </w:r>
    </w:p>
    <w:p w14:paraId="083F9D24" w14:textId="4CE6ECC9" w:rsidR="003F7E14" w:rsidRDefault="003A6ADC"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r w:rsidRPr="003A6ADC">
        <w:rPr>
          <w:noProof/>
          <w:lang w:val="es-AR" w:eastAsia="es-AR"/>
        </w:rPr>
        <w:drawing>
          <wp:inline distT="0" distB="0" distL="0" distR="0" wp14:anchorId="524FF685" wp14:editId="0AA0A79B">
            <wp:extent cx="5613400" cy="1811805"/>
            <wp:effectExtent l="0" t="0" r="635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1811805"/>
                    </a:xfrm>
                    <a:prstGeom prst="rect">
                      <a:avLst/>
                    </a:prstGeom>
                    <a:noFill/>
                    <a:ln>
                      <a:noFill/>
                    </a:ln>
                  </pic:spPr>
                </pic:pic>
              </a:graphicData>
            </a:graphic>
          </wp:inline>
        </w:drawing>
      </w:r>
      <w:r w:rsidR="007772A7" w:rsidRPr="007772A7">
        <w:rPr>
          <w:noProof/>
          <w:lang w:val="es-AR" w:eastAsia="es-AR"/>
        </w:rPr>
        <w:t xml:space="preserve"> </w:t>
      </w:r>
      <w:r w:rsidR="003E677D" w:rsidRPr="003E677D">
        <w:rPr>
          <w:noProof/>
          <w:lang w:val="es-AR" w:eastAsia="es-AR"/>
        </w:rPr>
        <w:t xml:space="preserve"> </w:t>
      </w:r>
      <w:r w:rsidR="00601B78" w:rsidRPr="00601B78">
        <w:rPr>
          <w:noProof/>
          <w:lang w:val="es-AR" w:eastAsia="es-AR"/>
        </w:rPr>
        <w:t xml:space="preserve"> </w:t>
      </w:r>
      <w:r w:rsidR="00D25C16" w:rsidRPr="00D25C16">
        <w:rPr>
          <w:noProof/>
          <w:lang w:val="es-AR" w:eastAsia="es-AR"/>
        </w:rPr>
        <w:t xml:space="preserve"> </w:t>
      </w:r>
      <w:r w:rsidR="005A0A48" w:rsidRPr="005A0A48">
        <w:rPr>
          <w:noProof/>
          <w:lang w:val="es-AR" w:eastAsia="es-AR"/>
        </w:rPr>
        <w:t xml:space="preserve"> </w:t>
      </w:r>
    </w:p>
    <w:p w14:paraId="0B7C24DB" w14:textId="7730BC60" w:rsidR="003F7E14" w:rsidRDefault="00BE4FAA" w:rsidP="00C00C15">
      <w:pPr>
        <w:tabs>
          <w:tab w:val="left" w:pos="1680"/>
        </w:tabs>
        <w:autoSpaceDE w:val="0"/>
        <w:autoSpaceDN w:val="0"/>
        <w:adjustRightInd w:val="0"/>
        <w:rPr>
          <w:rFonts w:ascii="Times New Roman" w:hAnsi="Times New Roman" w:cs="Times New Roman"/>
          <w:bCs/>
          <w:iCs/>
          <w:color w:val="0D0D0D" w:themeColor="text1" w:themeTint="F2"/>
          <w:sz w:val="22"/>
          <w:szCs w:val="22"/>
          <w:lang w:val="es-AR"/>
        </w:rPr>
      </w:pPr>
      <w:r>
        <w:rPr>
          <w:rFonts w:ascii="Times New Roman" w:hAnsi="Times New Roman" w:cs="Times New Roman"/>
          <w:bCs/>
          <w:iCs/>
          <w:color w:val="0D0D0D" w:themeColor="text1" w:themeTint="F2"/>
          <w:sz w:val="22"/>
          <w:szCs w:val="22"/>
          <w:lang w:val="es-AR"/>
        </w:rPr>
        <w:tab/>
      </w:r>
    </w:p>
    <w:p w14:paraId="52B49F4E" w14:textId="68515EFD" w:rsidR="007D2427" w:rsidRPr="00506990" w:rsidRDefault="007A2C93" w:rsidP="00557525">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r w:rsidR="00FD1400" w:rsidRPr="00FD1400">
        <w:rPr>
          <w:rFonts w:ascii="Times New Roman" w:hAnsi="Times New Roman" w:cs="Times New Roman"/>
          <w:bCs/>
          <w:iCs/>
          <w:color w:val="0D0D0D" w:themeColor="text1" w:themeTint="F2"/>
          <w:sz w:val="22"/>
          <w:szCs w:val="22"/>
          <w:lang w:val="es-AR"/>
        </w:rPr>
        <w:t xml:space="preserve"> </w:t>
      </w:r>
    </w:p>
    <w:p w14:paraId="5E90D9DD" w14:textId="4B7B4CEB" w:rsidR="003F7E14" w:rsidRPr="00506990" w:rsidRDefault="007D2427"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7D2427">
        <w:rPr>
          <w:noProof/>
          <w:lang w:val="es-AR" w:eastAsia="es-AR"/>
        </w:rPr>
        <w:t xml:space="preserve"> </w:t>
      </w:r>
      <w:r w:rsidR="003E677D" w:rsidRPr="003E677D">
        <w:rPr>
          <w:noProof/>
          <w:lang w:val="es-AR" w:eastAsia="es-AR"/>
        </w:rPr>
        <w:t xml:space="preserve"> </w:t>
      </w:r>
      <w:r w:rsidR="00601B78" w:rsidRPr="00601B78">
        <w:rPr>
          <w:noProof/>
          <w:lang w:val="es-AR" w:eastAsia="es-AR"/>
        </w:rPr>
        <w:t xml:space="preserve"> </w:t>
      </w:r>
      <w:r w:rsidR="00AF1405" w:rsidRPr="00AF1405">
        <w:rPr>
          <w:noProof/>
          <w:lang w:val="es-AR" w:eastAsia="es-AR"/>
        </w:rPr>
        <w:t xml:space="preserve"> </w:t>
      </w:r>
    </w:p>
    <w:p w14:paraId="648F95C7" w14:textId="02D4C724" w:rsidR="00D93AD0" w:rsidRPr="00506990" w:rsidRDefault="003A6ADC"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3A6ADC">
        <w:rPr>
          <w:noProof/>
          <w:lang w:val="es-AR" w:eastAsia="es-AR"/>
        </w:rPr>
        <w:drawing>
          <wp:inline distT="0" distB="0" distL="0" distR="0" wp14:anchorId="3BF3456C" wp14:editId="3CB09286">
            <wp:extent cx="5613400" cy="679997"/>
            <wp:effectExtent l="0" t="0" r="0"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679997"/>
                    </a:xfrm>
                    <a:prstGeom prst="rect">
                      <a:avLst/>
                    </a:prstGeom>
                    <a:noFill/>
                    <a:ln>
                      <a:noFill/>
                    </a:ln>
                  </pic:spPr>
                </pic:pic>
              </a:graphicData>
            </a:graphic>
          </wp:inline>
        </w:drawing>
      </w:r>
    </w:p>
    <w:p w14:paraId="7371E2B5" w14:textId="5EA2BF63" w:rsidR="009803D6" w:rsidRPr="00506990" w:rsidRDefault="009803D6"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r w:rsidR="00913DAE">
        <w:rPr>
          <w:rFonts w:ascii="Times New Roman" w:hAnsi="Times New Roman" w:cs="Times New Roman"/>
          <w:bCs/>
          <w:iCs/>
          <w:color w:val="0D0D0D" w:themeColor="text1" w:themeTint="F2"/>
          <w:sz w:val="22"/>
          <w:szCs w:val="22"/>
          <w:lang w:val="es-AR"/>
        </w:rPr>
        <w:t>.</w:t>
      </w:r>
    </w:p>
    <w:p w14:paraId="73133DC6" w14:textId="77777777" w:rsidR="007A2C93" w:rsidRPr="00506990" w:rsidRDefault="007A2C93"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4435D73B" w14:textId="4FECFE49" w:rsidR="00D66F1A" w:rsidRDefault="006E36BA" w:rsidP="008B3986">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Bazar Avenida S.A.</w:t>
      </w:r>
      <w:r w:rsidR="00690303"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w:t>
      </w:r>
    </w:p>
    <w:p w14:paraId="608EC77A" w14:textId="77777777" w:rsidR="00D66F1A" w:rsidRDefault="00690303"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en estos</w:t>
      </w:r>
      <w:r w:rsidR="00FE2DFF"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 xml:space="preserve">casos se previsiona el 100% del capital adeudado más los intereses devengados sin </w:t>
      </w:r>
    </w:p>
    <w:p w14:paraId="2ECF1E9A" w14:textId="41460619" w:rsidR="00601B78" w:rsidRDefault="00690303" w:rsidP="00AC5521">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perjuicio de la continuación de las acciones judiciales de cobro.</w:t>
      </w:r>
    </w:p>
    <w:p w14:paraId="7CA3663A" w14:textId="76634533" w:rsidR="003F7E14" w:rsidRPr="00506990" w:rsidRDefault="007D2427" w:rsidP="00502438">
      <w:pPr>
        <w:autoSpaceDE w:val="0"/>
        <w:autoSpaceDN w:val="0"/>
        <w:adjustRightInd w:val="0"/>
        <w:jc w:val="center"/>
        <w:rPr>
          <w:rFonts w:ascii="Times New Roman" w:hAnsi="Times New Roman" w:cs="Times New Roman"/>
          <w:bCs/>
          <w:iCs/>
          <w:color w:val="0D0D0D" w:themeColor="text1" w:themeTint="F2"/>
          <w:sz w:val="22"/>
          <w:szCs w:val="22"/>
          <w:lang w:val="es-AR"/>
        </w:rPr>
      </w:pPr>
      <w:r w:rsidRPr="007D2427">
        <w:rPr>
          <w:noProof/>
          <w:lang w:val="es-AR" w:eastAsia="es-AR"/>
        </w:rPr>
        <w:t xml:space="preserve"> </w:t>
      </w:r>
      <w:r w:rsidR="003A6ADC" w:rsidRPr="003A6ADC">
        <w:rPr>
          <w:noProof/>
          <w:lang w:val="es-AR" w:eastAsia="es-AR"/>
        </w:rPr>
        <w:drawing>
          <wp:inline distT="0" distB="0" distL="0" distR="0" wp14:anchorId="7CC954C1" wp14:editId="0BCBB382">
            <wp:extent cx="5613400" cy="2393657"/>
            <wp:effectExtent l="0" t="0" r="6350" b="698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2393657"/>
                    </a:xfrm>
                    <a:prstGeom prst="rect">
                      <a:avLst/>
                    </a:prstGeom>
                    <a:noFill/>
                    <a:ln>
                      <a:noFill/>
                    </a:ln>
                  </pic:spPr>
                </pic:pic>
              </a:graphicData>
            </a:graphic>
          </wp:inline>
        </w:drawing>
      </w:r>
      <w:r w:rsidR="003E677D" w:rsidRPr="003E677D">
        <w:rPr>
          <w:noProof/>
          <w:lang w:val="es-AR" w:eastAsia="es-AR"/>
        </w:rPr>
        <w:t xml:space="preserve"> </w:t>
      </w:r>
      <w:r w:rsidR="00601B78" w:rsidRPr="00601B78">
        <w:rPr>
          <w:noProof/>
          <w:lang w:val="es-AR" w:eastAsia="es-AR"/>
        </w:rPr>
        <w:t xml:space="preserve"> </w:t>
      </w:r>
      <w:r w:rsidR="00AF1405" w:rsidRPr="00AF1405">
        <w:rPr>
          <w:noProof/>
          <w:lang w:val="es-AR" w:eastAsia="es-AR"/>
        </w:rPr>
        <w:t xml:space="preserve"> </w:t>
      </w:r>
    </w:p>
    <w:p w14:paraId="77201956" w14:textId="77777777" w:rsidR="00FD7A58" w:rsidRDefault="00FD7A58" w:rsidP="008B3986">
      <w:pPr>
        <w:autoSpaceDE w:val="0"/>
        <w:autoSpaceDN w:val="0"/>
        <w:adjustRightInd w:val="0"/>
        <w:rPr>
          <w:rFonts w:ascii="Times New Roman" w:hAnsi="Times New Roman" w:cs="Times New Roman"/>
          <w:b/>
          <w:bCs/>
          <w:iCs/>
          <w:color w:val="0D0D0D" w:themeColor="text1" w:themeTint="F2"/>
          <w:sz w:val="22"/>
          <w:szCs w:val="22"/>
          <w:lang w:val="es-AR"/>
        </w:rPr>
      </w:pPr>
    </w:p>
    <w:p w14:paraId="6BCB0DCF" w14:textId="5AF26C20" w:rsidR="009803D6" w:rsidRPr="00506990" w:rsidRDefault="009803D6">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sidR="000579E7">
        <w:rPr>
          <w:rFonts w:ascii="Times New Roman" w:hAnsi="Times New Roman" w:cs="Times New Roman"/>
          <w:b/>
          <w:bCs/>
          <w:iCs/>
          <w:color w:val="0D0D0D" w:themeColor="text1" w:themeTint="F2"/>
          <w:sz w:val="22"/>
          <w:szCs w:val="22"/>
          <w:lang w:val="es-AR"/>
        </w:rPr>
        <w:t xml:space="preserve"> Saldos de Carter</w:t>
      </w:r>
      <w:r w:rsidR="005F533D">
        <w:rPr>
          <w:rFonts w:ascii="Times New Roman" w:hAnsi="Times New Roman" w:cs="Times New Roman"/>
          <w:b/>
          <w:bCs/>
          <w:iCs/>
          <w:color w:val="0D0D0D" w:themeColor="text1" w:themeTint="F2"/>
          <w:sz w:val="22"/>
          <w:szCs w:val="22"/>
          <w:lang w:val="es-AR"/>
        </w:rPr>
        <w:t>a</w:t>
      </w:r>
      <w:r w:rsidR="00C00447">
        <w:rPr>
          <w:rFonts w:ascii="Times New Roman" w:hAnsi="Times New Roman" w:cs="Times New Roman"/>
          <w:b/>
          <w:bCs/>
          <w:iCs/>
          <w:color w:val="0D0D0D" w:themeColor="text1" w:themeTint="F2"/>
          <w:sz w:val="22"/>
          <w:szCs w:val="22"/>
          <w:lang w:val="es-AR"/>
        </w:rPr>
        <w:t xml:space="preserve"> </w:t>
      </w:r>
    </w:p>
    <w:p w14:paraId="3E4924E9" w14:textId="2BD19449" w:rsidR="009E14F1" w:rsidRPr="00506990" w:rsidRDefault="008650DB" w:rsidP="00EA5C6B">
      <w:pPr>
        <w:autoSpaceDE w:val="0"/>
        <w:autoSpaceDN w:val="0"/>
        <w:adjustRightInd w:val="0"/>
        <w:jc w:val="center"/>
        <w:rPr>
          <w:rFonts w:ascii="Times New Roman" w:hAnsi="Times New Roman" w:cs="Times New Roman"/>
          <w:bCs/>
          <w:iCs/>
          <w:color w:val="0D0D0D" w:themeColor="text1" w:themeTint="F2"/>
          <w:sz w:val="22"/>
          <w:szCs w:val="22"/>
          <w:lang w:val="es-AR"/>
        </w:rPr>
      </w:pPr>
      <w:r w:rsidRPr="00295F24">
        <w:rPr>
          <w:rFonts w:ascii="Times New Roman" w:hAnsi="Times New Roman" w:cs="Times New Roman"/>
          <w:bCs/>
          <w:iCs/>
          <w:color w:val="0D0D0D" w:themeColor="text1" w:themeTint="F2"/>
          <w:sz w:val="22"/>
          <w:szCs w:val="22"/>
          <w:lang w:val="es-AR"/>
        </w:rPr>
        <w:t xml:space="preserve">(Información al </w:t>
      </w:r>
      <w:r w:rsidR="0068384B">
        <w:rPr>
          <w:rFonts w:ascii="Times New Roman" w:hAnsi="Times New Roman" w:cs="Times New Roman"/>
          <w:bCs/>
          <w:iCs/>
          <w:color w:val="0D0D0D" w:themeColor="text1" w:themeTint="F2"/>
          <w:sz w:val="22"/>
          <w:szCs w:val="22"/>
          <w:lang w:val="es-AR"/>
        </w:rPr>
        <w:t>3</w:t>
      </w:r>
      <w:r w:rsidR="003A6ADC">
        <w:rPr>
          <w:rFonts w:ascii="Times New Roman" w:hAnsi="Times New Roman" w:cs="Times New Roman"/>
          <w:bCs/>
          <w:iCs/>
          <w:color w:val="0D0D0D" w:themeColor="text1" w:themeTint="F2"/>
          <w:sz w:val="22"/>
          <w:szCs w:val="22"/>
          <w:lang w:val="es-AR"/>
        </w:rPr>
        <w:t>0</w:t>
      </w:r>
      <w:r w:rsidR="0068384B">
        <w:rPr>
          <w:rFonts w:ascii="Times New Roman" w:hAnsi="Times New Roman" w:cs="Times New Roman"/>
          <w:bCs/>
          <w:iCs/>
          <w:color w:val="0D0D0D" w:themeColor="text1" w:themeTint="F2"/>
          <w:sz w:val="22"/>
          <w:szCs w:val="22"/>
          <w:lang w:val="es-AR"/>
        </w:rPr>
        <w:t xml:space="preserve"> </w:t>
      </w:r>
      <w:r w:rsidR="001D1D74">
        <w:rPr>
          <w:rFonts w:ascii="Times New Roman" w:hAnsi="Times New Roman" w:cs="Times New Roman"/>
          <w:bCs/>
          <w:iCs/>
          <w:color w:val="0D0D0D" w:themeColor="text1" w:themeTint="F2"/>
          <w:sz w:val="22"/>
          <w:szCs w:val="22"/>
          <w:lang w:val="es-AR"/>
        </w:rPr>
        <w:t xml:space="preserve">de </w:t>
      </w:r>
      <w:r w:rsidR="003A6ADC">
        <w:rPr>
          <w:rFonts w:ascii="Times New Roman" w:hAnsi="Times New Roman" w:cs="Times New Roman"/>
          <w:bCs/>
          <w:iCs/>
          <w:color w:val="0D0D0D" w:themeColor="text1" w:themeTint="F2"/>
          <w:sz w:val="22"/>
          <w:szCs w:val="22"/>
          <w:lang w:val="es-AR"/>
        </w:rPr>
        <w:t>septiembre</w:t>
      </w:r>
      <w:r w:rsidR="003A6ADC" w:rsidRPr="00295F24" w:rsidDel="002A27D0">
        <w:rPr>
          <w:rFonts w:ascii="Times New Roman" w:hAnsi="Times New Roman" w:cs="Times New Roman"/>
          <w:bCs/>
          <w:iCs/>
          <w:color w:val="0D0D0D" w:themeColor="text1" w:themeTint="F2"/>
          <w:sz w:val="22"/>
          <w:szCs w:val="22"/>
          <w:lang w:val="es-AR"/>
        </w:rPr>
        <w:t xml:space="preserve"> </w:t>
      </w:r>
      <w:r w:rsidRPr="00295F24">
        <w:rPr>
          <w:rFonts w:ascii="Times New Roman" w:hAnsi="Times New Roman" w:cs="Times New Roman"/>
          <w:bCs/>
          <w:iCs/>
          <w:color w:val="0D0D0D" w:themeColor="text1" w:themeTint="F2"/>
          <w:sz w:val="22"/>
          <w:szCs w:val="22"/>
          <w:lang w:val="es-AR"/>
        </w:rPr>
        <w:t>de 202</w:t>
      </w:r>
      <w:r w:rsidR="00285F79">
        <w:rPr>
          <w:rFonts w:ascii="Times New Roman" w:hAnsi="Times New Roman" w:cs="Times New Roman"/>
          <w:bCs/>
          <w:iCs/>
          <w:color w:val="0D0D0D" w:themeColor="text1" w:themeTint="F2"/>
          <w:sz w:val="22"/>
          <w:szCs w:val="22"/>
          <w:lang w:val="es-AR"/>
        </w:rPr>
        <w:t>3</w:t>
      </w:r>
      <w:r w:rsidRPr="00295F24">
        <w:rPr>
          <w:rFonts w:ascii="Times New Roman" w:hAnsi="Times New Roman" w:cs="Times New Roman"/>
          <w:bCs/>
          <w:iCs/>
          <w:color w:val="0D0D0D" w:themeColor="text1" w:themeTint="F2"/>
          <w:sz w:val="22"/>
          <w:szCs w:val="22"/>
          <w:lang w:val="es-AR"/>
        </w:rPr>
        <w:t>)</w:t>
      </w:r>
    </w:p>
    <w:p w14:paraId="08E55BF1" w14:textId="2760AB09" w:rsidR="00BC36C5" w:rsidRPr="008A3A16" w:rsidRDefault="003E677D">
      <w:pPr>
        <w:autoSpaceDE w:val="0"/>
        <w:autoSpaceDN w:val="0"/>
        <w:adjustRightInd w:val="0"/>
        <w:jc w:val="center"/>
        <w:rPr>
          <w:rFonts w:ascii="Times New Roman" w:hAnsi="Times New Roman" w:cs="Times New Roman"/>
          <w:bCs/>
          <w:iCs/>
          <w:color w:val="0D0D0D" w:themeColor="text1" w:themeTint="F2"/>
          <w:sz w:val="22"/>
          <w:szCs w:val="22"/>
        </w:rPr>
      </w:pPr>
      <w:r w:rsidRPr="003E677D">
        <w:rPr>
          <w:noProof/>
          <w:lang w:val="es-AR" w:eastAsia="es-AR"/>
        </w:rPr>
        <w:t xml:space="preserve"> </w:t>
      </w:r>
      <w:r w:rsidR="00601B78" w:rsidRPr="00601B78">
        <w:rPr>
          <w:noProof/>
          <w:lang w:val="es-AR" w:eastAsia="es-AR"/>
        </w:rPr>
        <w:t xml:space="preserve"> </w:t>
      </w:r>
      <w:r w:rsidR="00296CFC" w:rsidRPr="00296CFC">
        <w:rPr>
          <w:noProof/>
          <w:lang w:val="es-AR" w:eastAsia="es-AR"/>
        </w:rPr>
        <w:drawing>
          <wp:inline distT="0" distB="0" distL="0" distR="0" wp14:anchorId="7FF6BE0C" wp14:editId="23799CE8">
            <wp:extent cx="3524250" cy="1936750"/>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0" cy="1936750"/>
                    </a:xfrm>
                    <a:prstGeom prst="rect">
                      <a:avLst/>
                    </a:prstGeom>
                    <a:noFill/>
                    <a:ln>
                      <a:noFill/>
                    </a:ln>
                  </pic:spPr>
                </pic:pic>
              </a:graphicData>
            </a:graphic>
          </wp:inline>
        </w:drawing>
      </w:r>
      <w:r w:rsidR="00AF1405" w:rsidRPr="00AF1405">
        <w:rPr>
          <w:noProof/>
          <w:lang w:val="es-AR" w:eastAsia="es-AR"/>
        </w:rPr>
        <w:t xml:space="preserve"> </w:t>
      </w:r>
    </w:p>
    <w:p w14:paraId="5784DE9F" w14:textId="77777777" w:rsidR="00BC36C5" w:rsidRPr="00506990" w:rsidRDefault="00BC36C5">
      <w:pPr>
        <w:autoSpaceDE w:val="0"/>
        <w:autoSpaceDN w:val="0"/>
        <w:adjustRightInd w:val="0"/>
        <w:jc w:val="center"/>
        <w:rPr>
          <w:rFonts w:ascii="Times New Roman" w:hAnsi="Times New Roman" w:cs="Times New Roman"/>
          <w:bCs/>
          <w:iCs/>
          <w:color w:val="0D0D0D" w:themeColor="text1" w:themeTint="F2"/>
          <w:sz w:val="22"/>
          <w:szCs w:val="22"/>
          <w:lang w:val="es-AR"/>
        </w:rPr>
      </w:pPr>
    </w:p>
    <w:p w14:paraId="693B993F" w14:textId="77777777" w:rsidR="00C54494" w:rsidRPr="00506990" w:rsidRDefault="00C54494">
      <w:pPr>
        <w:autoSpaceDE w:val="0"/>
        <w:autoSpaceDN w:val="0"/>
        <w:adjustRightInd w:val="0"/>
        <w:jc w:val="center"/>
        <w:rPr>
          <w:rFonts w:ascii="Times New Roman" w:hAnsi="Times New Roman" w:cs="Times New Roman"/>
          <w:bCs/>
          <w:iCs/>
          <w:color w:val="0D0D0D" w:themeColor="text1" w:themeTint="F2"/>
          <w:sz w:val="22"/>
          <w:szCs w:val="22"/>
          <w:lang w:val="es-AR"/>
        </w:rPr>
      </w:pPr>
    </w:p>
    <w:p w14:paraId="2E72EFB0" w14:textId="6DDD1A1E" w:rsidR="00F74B80" w:rsidRPr="00506990" w:rsidRDefault="00F74B80" w:rsidP="00F74B80">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ESTADO DE FLUJ</w:t>
      </w:r>
      <w:r w:rsidR="000579E7">
        <w:rPr>
          <w:rFonts w:ascii="Times New Roman" w:hAnsi="Times New Roman" w:cs="Times New Roman"/>
          <w:b/>
          <w:color w:val="0D0D0D" w:themeColor="text1" w:themeTint="F2"/>
          <w:sz w:val="22"/>
          <w:szCs w:val="22"/>
          <w:lang w:val="es-AR"/>
        </w:rPr>
        <w:t>O DE FONDOS – BAZAR AVENIDA S.A.</w:t>
      </w:r>
      <w:r w:rsidR="004F6FC3" w:rsidRPr="004F6FC3">
        <w:rPr>
          <w:rFonts w:ascii="Times New Roman" w:hAnsi="Times New Roman" w:cs="Times New Roman"/>
          <w:b/>
          <w:bCs/>
          <w:iCs/>
          <w:color w:val="0D0D0D" w:themeColor="text1" w:themeTint="F2"/>
          <w:sz w:val="22"/>
          <w:szCs w:val="22"/>
          <w:highlight w:val="yellow"/>
        </w:rPr>
        <w:t xml:space="preserve"> </w:t>
      </w:r>
    </w:p>
    <w:p w14:paraId="41863725" w14:textId="062DAAA3" w:rsidR="00E01705" w:rsidRDefault="0046671E" w:rsidP="00945AE3">
      <w:pPr>
        <w:rPr>
          <w:rFonts w:ascii="Times New Roman" w:hAnsi="Times New Roman" w:cs="Times New Roman"/>
          <w:sz w:val="22"/>
          <w:szCs w:val="22"/>
        </w:rPr>
      </w:pPr>
      <w:r w:rsidRPr="0046671E">
        <w:rPr>
          <w:noProof/>
          <w:lang w:val="es-AR" w:eastAsia="es-AR"/>
        </w:rPr>
        <w:t xml:space="preserve"> </w:t>
      </w:r>
      <w:r w:rsidR="00601B78" w:rsidRPr="00601B78">
        <w:rPr>
          <w:noProof/>
          <w:lang w:val="es-AR" w:eastAsia="es-AR"/>
        </w:rPr>
        <w:t xml:space="preserve"> </w:t>
      </w:r>
      <w:r w:rsidR="00B568F3">
        <w:rPr>
          <w:noProof/>
          <w:lang w:val="es-AR" w:eastAsia="es-AR"/>
        </w:rPr>
        <w:drawing>
          <wp:inline distT="0" distB="0" distL="0" distR="0" wp14:anchorId="077A2912" wp14:editId="541D3E37">
            <wp:extent cx="5613400" cy="4578985"/>
            <wp:effectExtent l="0" t="0" r="6350" b="0"/>
            <wp:docPr id="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3400" cy="4578985"/>
                    </a:xfrm>
                    <a:prstGeom prst="rect">
                      <a:avLst/>
                    </a:prstGeom>
                    <a:noFill/>
                    <a:extLst/>
                  </pic:spPr>
                </pic:pic>
              </a:graphicData>
            </a:graphic>
          </wp:inline>
        </w:drawing>
      </w:r>
    </w:p>
    <w:p w14:paraId="30C31E2A" w14:textId="77777777" w:rsidR="00F55B30" w:rsidRPr="00E4104F" w:rsidRDefault="00F55B30" w:rsidP="00945AE3">
      <w:pPr>
        <w:rPr>
          <w:rFonts w:ascii="Times New Roman" w:hAnsi="Times New Roman" w:cs="Times New Roman"/>
          <w:sz w:val="22"/>
          <w:szCs w:val="22"/>
        </w:rPr>
      </w:pPr>
    </w:p>
    <w:p w14:paraId="5E4D1E15" w14:textId="10C777FA" w:rsidR="00A924E0" w:rsidRDefault="00A924E0" w:rsidP="00882F14">
      <w:pPr>
        <w:rPr>
          <w:rFonts w:ascii="Times New Roman" w:hAnsi="Times New Roman" w:cs="Times New Roman"/>
          <w:sz w:val="22"/>
          <w:szCs w:val="22"/>
          <w:lang w:val="es-AR"/>
        </w:rPr>
      </w:pPr>
      <w:r w:rsidRPr="00A924E0">
        <w:rPr>
          <w:rFonts w:ascii="Times New Roman" w:hAnsi="Times New Roman" w:cs="Times New Roman"/>
          <w:sz w:val="22"/>
          <w:szCs w:val="22"/>
          <w:lang w:val="es-AR"/>
        </w:rPr>
        <w:t>La principal causa de la Variación de Efectivo negativa en</w:t>
      </w:r>
      <w:r>
        <w:rPr>
          <w:rFonts w:ascii="Times New Roman" w:hAnsi="Times New Roman" w:cs="Times New Roman"/>
          <w:sz w:val="22"/>
          <w:szCs w:val="22"/>
          <w:lang w:val="es-AR"/>
        </w:rPr>
        <w:t xml:space="preserve"> </w:t>
      </w:r>
      <w:r w:rsidR="00023E8C">
        <w:rPr>
          <w:rFonts w:ascii="Times New Roman" w:hAnsi="Times New Roman" w:cs="Times New Roman"/>
          <w:sz w:val="22"/>
          <w:szCs w:val="22"/>
          <w:lang w:val="es-AR"/>
        </w:rPr>
        <w:t xml:space="preserve">el </w:t>
      </w:r>
      <w:r w:rsidR="00295F24">
        <w:rPr>
          <w:rFonts w:ascii="Times New Roman" w:hAnsi="Times New Roman" w:cs="Times New Roman"/>
          <w:sz w:val="22"/>
          <w:szCs w:val="22"/>
          <w:lang w:val="es-AR"/>
        </w:rPr>
        <w:t>mes de</w:t>
      </w:r>
      <w:r w:rsidR="0012378C">
        <w:rPr>
          <w:rFonts w:ascii="Times New Roman" w:hAnsi="Times New Roman" w:cs="Times New Roman"/>
          <w:sz w:val="22"/>
          <w:szCs w:val="22"/>
          <w:lang w:val="es-AR"/>
        </w:rPr>
        <w:t xml:space="preserve"> </w:t>
      </w:r>
      <w:r w:rsidR="000C5FB1">
        <w:rPr>
          <w:rFonts w:ascii="Times New Roman" w:hAnsi="Times New Roman" w:cs="Times New Roman"/>
          <w:sz w:val="22"/>
          <w:szCs w:val="22"/>
          <w:lang w:val="es-AR"/>
        </w:rPr>
        <w:t>abril de 2023</w:t>
      </w:r>
      <w:r w:rsidR="001E7BB0">
        <w:rPr>
          <w:rFonts w:ascii="Times New Roman" w:hAnsi="Times New Roman" w:cs="Times New Roman"/>
          <w:sz w:val="22"/>
          <w:szCs w:val="22"/>
          <w:lang w:val="es-AR"/>
        </w:rPr>
        <w:t xml:space="preserve"> fue</w:t>
      </w:r>
      <w:r w:rsidR="000C5FB1">
        <w:rPr>
          <w:rFonts w:ascii="Times New Roman" w:hAnsi="Times New Roman" w:cs="Times New Roman"/>
          <w:sz w:val="22"/>
          <w:szCs w:val="22"/>
          <w:lang w:val="es-AR"/>
        </w:rPr>
        <w:t xml:space="preserve"> por pagos a proveedores</w:t>
      </w:r>
      <w:r w:rsidR="00FB5F81">
        <w:rPr>
          <w:rFonts w:ascii="Times New Roman" w:hAnsi="Times New Roman" w:cs="Times New Roman"/>
          <w:sz w:val="22"/>
          <w:szCs w:val="22"/>
          <w:lang w:val="es-AR"/>
        </w:rPr>
        <w:t>. E</w:t>
      </w:r>
      <w:r w:rsidR="001A25B5">
        <w:rPr>
          <w:rFonts w:ascii="Times New Roman" w:hAnsi="Times New Roman" w:cs="Times New Roman"/>
          <w:sz w:val="22"/>
          <w:szCs w:val="22"/>
          <w:lang w:val="es-AR"/>
        </w:rPr>
        <w:t>n mayo de 2023</w:t>
      </w:r>
      <w:r w:rsidR="0033722D">
        <w:rPr>
          <w:rFonts w:ascii="Times New Roman" w:hAnsi="Times New Roman" w:cs="Times New Roman"/>
          <w:sz w:val="22"/>
          <w:szCs w:val="22"/>
          <w:lang w:val="es-AR"/>
        </w:rPr>
        <w:t>,</w:t>
      </w:r>
      <w:r w:rsidR="001A25B5">
        <w:rPr>
          <w:rFonts w:ascii="Times New Roman" w:hAnsi="Times New Roman" w:cs="Times New Roman"/>
          <w:sz w:val="22"/>
          <w:szCs w:val="22"/>
          <w:lang w:val="es-AR"/>
        </w:rPr>
        <w:t xml:space="preserve"> </w:t>
      </w:r>
      <w:r w:rsidR="00FB5F81" w:rsidRPr="00FB5F81">
        <w:rPr>
          <w:rFonts w:ascii="Times New Roman" w:hAnsi="Times New Roman" w:cs="Times New Roman"/>
          <w:color w:val="222222"/>
          <w:sz w:val="22"/>
          <w:szCs w:val="22"/>
          <w:shd w:val="clear" w:color="auto" w:fill="FFFFFF"/>
        </w:rPr>
        <w:t>m</w:t>
      </w:r>
      <w:r w:rsidR="00FB5F81" w:rsidRPr="00EF0860">
        <w:rPr>
          <w:rFonts w:ascii="Times New Roman" w:hAnsi="Times New Roman" w:cs="Times New Roman"/>
          <w:color w:val="222222"/>
          <w:sz w:val="22"/>
          <w:szCs w:val="22"/>
          <w:shd w:val="clear" w:color="auto" w:fill="FFFFFF"/>
        </w:rPr>
        <w:t>ayor volumen de pagos de sueldos por haber pasado a ser remunerativos conceptos que hasta lo pagado en Abril no lo eran</w:t>
      </w:r>
      <w:r w:rsidR="00F64CC2">
        <w:rPr>
          <w:rFonts w:ascii="Times New Roman" w:hAnsi="Times New Roman" w:cs="Times New Roman"/>
          <w:color w:val="222222"/>
          <w:sz w:val="22"/>
          <w:szCs w:val="22"/>
          <w:shd w:val="clear" w:color="auto" w:fill="FFFFFF"/>
        </w:rPr>
        <w:t xml:space="preserve">, </w:t>
      </w:r>
      <w:r w:rsidR="00FB5F81">
        <w:rPr>
          <w:rFonts w:ascii="Times New Roman" w:hAnsi="Times New Roman" w:cs="Times New Roman"/>
          <w:sz w:val="22"/>
          <w:szCs w:val="22"/>
          <w:lang w:val="es-AR"/>
        </w:rPr>
        <w:t>y</w:t>
      </w:r>
      <w:r w:rsidR="001A25B5">
        <w:rPr>
          <w:rFonts w:ascii="Times New Roman" w:hAnsi="Times New Roman" w:cs="Times New Roman"/>
          <w:sz w:val="22"/>
          <w:szCs w:val="22"/>
          <w:lang w:val="es-AR"/>
        </w:rPr>
        <w:t xml:space="preserve"> pagos a proveedores</w:t>
      </w:r>
      <w:r w:rsidR="00296CFC">
        <w:rPr>
          <w:rFonts w:ascii="Times New Roman" w:hAnsi="Times New Roman" w:cs="Times New Roman"/>
          <w:sz w:val="22"/>
          <w:szCs w:val="22"/>
          <w:lang w:val="es-AR"/>
        </w:rPr>
        <w:t xml:space="preserve">. </w:t>
      </w:r>
      <w:r w:rsidR="003374AC">
        <w:rPr>
          <w:rFonts w:ascii="Times New Roman" w:hAnsi="Times New Roman" w:cs="Times New Roman"/>
          <w:sz w:val="22"/>
          <w:szCs w:val="22"/>
          <w:lang w:val="es-AR"/>
        </w:rPr>
        <w:t>En julio de 2023 obedece a</w:t>
      </w:r>
      <w:r w:rsidR="00180CCC">
        <w:rPr>
          <w:rFonts w:ascii="Times New Roman" w:hAnsi="Times New Roman" w:cs="Times New Roman"/>
          <w:sz w:val="22"/>
          <w:szCs w:val="22"/>
          <w:lang w:val="es-AR"/>
        </w:rPr>
        <w:t>l pago</w:t>
      </w:r>
      <w:r w:rsidR="003374AC">
        <w:rPr>
          <w:rFonts w:ascii="Times New Roman" w:hAnsi="Times New Roman" w:cs="Times New Roman"/>
          <w:sz w:val="22"/>
          <w:szCs w:val="22"/>
          <w:lang w:val="es-AR"/>
        </w:rPr>
        <w:t xml:space="preserve"> de</w:t>
      </w:r>
      <w:r w:rsidR="00180CCC">
        <w:rPr>
          <w:rFonts w:ascii="Times New Roman" w:hAnsi="Times New Roman" w:cs="Times New Roman"/>
          <w:sz w:val="22"/>
          <w:szCs w:val="22"/>
          <w:lang w:val="es-AR"/>
        </w:rPr>
        <w:t>l sueldo anual complementario</w:t>
      </w:r>
      <w:r w:rsidR="003374AC">
        <w:rPr>
          <w:rFonts w:ascii="Times New Roman" w:hAnsi="Times New Roman" w:cs="Times New Roman"/>
          <w:sz w:val="22"/>
          <w:szCs w:val="22"/>
          <w:lang w:val="es-AR"/>
        </w:rPr>
        <w:t>.</w:t>
      </w:r>
    </w:p>
    <w:p w14:paraId="4971ECBD" w14:textId="77777777" w:rsidR="00F74B80" w:rsidRPr="00506990" w:rsidRDefault="00F74B80" w:rsidP="00882F14">
      <w:pPr>
        <w:rPr>
          <w:rFonts w:ascii="Times New Roman" w:hAnsi="Times New Roman" w:cs="Times New Roman"/>
          <w:bCs/>
          <w:iCs/>
          <w:color w:val="0D0D0D" w:themeColor="text1" w:themeTint="F2"/>
          <w:sz w:val="22"/>
          <w:szCs w:val="22"/>
        </w:rPr>
      </w:pPr>
    </w:p>
    <w:p w14:paraId="356F53AB" w14:textId="632E0C53" w:rsidR="00192540" w:rsidRPr="00241CD4" w:rsidRDefault="000D6D73" w:rsidP="006A1313">
      <w:pPr>
        <w:shd w:val="clear" w:color="auto" w:fill="D9D9D9"/>
        <w:spacing w:after="12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cantidad de empleados</w:t>
      </w:r>
      <w:r w:rsidR="00E03644">
        <w:rPr>
          <w:rFonts w:ascii="Times New Roman" w:hAnsi="Times New Roman" w:cs="Times New Roman"/>
          <w:b/>
          <w:color w:val="0D0D0D" w:themeColor="text1" w:themeTint="F2"/>
          <w:sz w:val="22"/>
          <w:szCs w:val="22"/>
        </w:rPr>
        <w:t xml:space="preserve"> </w:t>
      </w:r>
    </w:p>
    <w:p w14:paraId="02FB861C" w14:textId="7AA16C79" w:rsidR="00F665D2" w:rsidRPr="00506990" w:rsidRDefault="00F665D2" w:rsidP="009F05CF">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Cantidad de empleados al </w:t>
      </w:r>
      <w:r w:rsidR="00E145B9">
        <w:rPr>
          <w:rFonts w:ascii="Times New Roman" w:hAnsi="Times New Roman" w:cs="Times New Roman"/>
          <w:color w:val="0D0D0D" w:themeColor="text1" w:themeTint="F2"/>
          <w:sz w:val="22"/>
          <w:szCs w:val="22"/>
        </w:rPr>
        <w:t>3</w:t>
      </w:r>
      <w:r w:rsidR="003E677D">
        <w:rPr>
          <w:rFonts w:ascii="Times New Roman" w:hAnsi="Times New Roman" w:cs="Times New Roman"/>
          <w:color w:val="0D0D0D" w:themeColor="text1" w:themeTint="F2"/>
          <w:sz w:val="22"/>
          <w:szCs w:val="22"/>
        </w:rPr>
        <w:t>0</w:t>
      </w:r>
      <w:r>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0</w:t>
      </w:r>
      <w:r w:rsidR="003E677D">
        <w:rPr>
          <w:rFonts w:ascii="Times New Roman" w:hAnsi="Times New Roman" w:cs="Times New Roman"/>
          <w:color w:val="0D0D0D" w:themeColor="text1" w:themeTint="F2"/>
          <w:sz w:val="22"/>
          <w:szCs w:val="22"/>
        </w:rPr>
        <w:t>6</w:t>
      </w:r>
      <w:r>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2021</w:t>
      </w:r>
      <w:r>
        <w:rPr>
          <w:rFonts w:ascii="Times New Roman" w:hAnsi="Times New Roman" w:cs="Times New Roman"/>
          <w:color w:val="0D0D0D" w:themeColor="text1" w:themeTint="F2"/>
          <w:sz w:val="22"/>
          <w:szCs w:val="22"/>
        </w:rPr>
        <w:t>:</w:t>
      </w:r>
      <w:r w:rsidR="001C4A7F">
        <w:rPr>
          <w:rFonts w:ascii="Times New Roman" w:hAnsi="Times New Roman" w:cs="Times New Roman"/>
          <w:color w:val="0D0D0D" w:themeColor="text1" w:themeTint="F2"/>
          <w:sz w:val="22"/>
          <w:szCs w:val="22"/>
        </w:rPr>
        <w:t xml:space="preserve"> </w:t>
      </w:r>
      <w:r w:rsidR="003E677D">
        <w:rPr>
          <w:rFonts w:ascii="Times New Roman" w:hAnsi="Times New Roman" w:cs="Times New Roman"/>
          <w:color w:val="0D0D0D" w:themeColor="text1" w:themeTint="F2"/>
          <w:sz w:val="22"/>
          <w:szCs w:val="22"/>
        </w:rPr>
        <w:t>553</w:t>
      </w:r>
    </w:p>
    <w:p w14:paraId="0CEF7DC9" w14:textId="20FFCDDA" w:rsidR="008650DB" w:rsidRDefault="008650DB" w:rsidP="00F74B80">
      <w:pPr>
        <w:rPr>
          <w:rFonts w:ascii="Times New Roman" w:hAnsi="Times New Roman" w:cs="Times New Roman"/>
          <w:color w:val="0D0D0D" w:themeColor="text1" w:themeTint="F2"/>
          <w:sz w:val="22"/>
          <w:szCs w:val="22"/>
        </w:rPr>
      </w:pPr>
      <w:r w:rsidRPr="002829B5">
        <w:rPr>
          <w:rFonts w:ascii="Times New Roman" w:hAnsi="Times New Roman" w:cs="Times New Roman"/>
          <w:color w:val="0D0D0D" w:themeColor="text1" w:themeTint="F2"/>
          <w:sz w:val="22"/>
          <w:szCs w:val="22"/>
        </w:rPr>
        <w:t xml:space="preserve">Cantidad de empleados al </w:t>
      </w:r>
      <w:r w:rsidRPr="00EC04C2">
        <w:rPr>
          <w:rFonts w:ascii="Times New Roman" w:hAnsi="Times New Roman" w:cs="Times New Roman"/>
          <w:color w:val="0D0D0D" w:themeColor="text1" w:themeTint="F2"/>
          <w:sz w:val="22"/>
          <w:szCs w:val="22"/>
        </w:rPr>
        <w:t>3</w:t>
      </w:r>
      <w:r w:rsidR="00751535">
        <w:rPr>
          <w:rFonts w:ascii="Times New Roman" w:hAnsi="Times New Roman" w:cs="Times New Roman"/>
          <w:color w:val="0D0D0D" w:themeColor="text1" w:themeTint="F2"/>
          <w:sz w:val="22"/>
          <w:szCs w:val="22"/>
        </w:rPr>
        <w:t>0</w:t>
      </w:r>
      <w:r w:rsidRPr="002829B5">
        <w:rPr>
          <w:rFonts w:ascii="Times New Roman" w:hAnsi="Times New Roman" w:cs="Times New Roman"/>
          <w:color w:val="0D0D0D" w:themeColor="text1" w:themeTint="F2"/>
          <w:sz w:val="22"/>
          <w:szCs w:val="22"/>
        </w:rPr>
        <w:t>/0</w:t>
      </w:r>
      <w:r w:rsidR="00AF17EC">
        <w:rPr>
          <w:rFonts w:ascii="Times New Roman" w:hAnsi="Times New Roman" w:cs="Times New Roman"/>
          <w:color w:val="0D0D0D" w:themeColor="text1" w:themeTint="F2"/>
          <w:sz w:val="22"/>
          <w:szCs w:val="22"/>
        </w:rPr>
        <w:t>6</w:t>
      </w:r>
      <w:r w:rsidRPr="002829B5">
        <w:rPr>
          <w:rFonts w:ascii="Times New Roman" w:hAnsi="Times New Roman" w:cs="Times New Roman"/>
          <w:color w:val="0D0D0D" w:themeColor="text1" w:themeTint="F2"/>
          <w:sz w:val="22"/>
          <w:szCs w:val="22"/>
        </w:rPr>
        <w:t xml:space="preserve">/2022: </w:t>
      </w:r>
      <w:r w:rsidRPr="00EC04C2">
        <w:rPr>
          <w:rFonts w:ascii="Times New Roman" w:hAnsi="Times New Roman" w:cs="Times New Roman"/>
          <w:color w:val="0D0D0D" w:themeColor="text1" w:themeTint="F2"/>
          <w:sz w:val="22"/>
          <w:szCs w:val="22"/>
        </w:rPr>
        <w:t>7</w:t>
      </w:r>
      <w:r w:rsidR="00AF17EC">
        <w:rPr>
          <w:rFonts w:ascii="Times New Roman" w:hAnsi="Times New Roman" w:cs="Times New Roman"/>
          <w:color w:val="0D0D0D" w:themeColor="text1" w:themeTint="F2"/>
          <w:sz w:val="22"/>
          <w:szCs w:val="22"/>
        </w:rPr>
        <w:t>46</w:t>
      </w:r>
    </w:p>
    <w:p w14:paraId="2BF3D1AE" w14:textId="547A1E28" w:rsidR="00AF17EC" w:rsidRDefault="00AF17EC" w:rsidP="00AF17EC">
      <w:pPr>
        <w:rPr>
          <w:rFonts w:ascii="Times New Roman" w:hAnsi="Times New Roman" w:cs="Times New Roman"/>
          <w:color w:val="0D0D0D" w:themeColor="text1" w:themeTint="F2"/>
          <w:sz w:val="22"/>
          <w:szCs w:val="22"/>
        </w:rPr>
      </w:pPr>
      <w:r w:rsidRPr="002829B5">
        <w:rPr>
          <w:rFonts w:ascii="Times New Roman" w:hAnsi="Times New Roman" w:cs="Times New Roman"/>
          <w:color w:val="0D0D0D" w:themeColor="text1" w:themeTint="F2"/>
          <w:sz w:val="22"/>
          <w:szCs w:val="22"/>
        </w:rPr>
        <w:t xml:space="preserve">Cantidad de empleados al </w:t>
      </w:r>
      <w:r w:rsidR="001A25B5">
        <w:rPr>
          <w:rFonts w:ascii="Times New Roman" w:hAnsi="Times New Roman" w:cs="Times New Roman"/>
          <w:color w:val="0D0D0D" w:themeColor="text1" w:themeTint="F2"/>
          <w:sz w:val="22"/>
          <w:szCs w:val="22"/>
        </w:rPr>
        <w:t>3</w:t>
      </w:r>
      <w:r w:rsidR="00F64CC2">
        <w:rPr>
          <w:rFonts w:ascii="Times New Roman" w:hAnsi="Times New Roman" w:cs="Times New Roman"/>
          <w:color w:val="0D0D0D" w:themeColor="text1" w:themeTint="F2"/>
          <w:sz w:val="22"/>
          <w:szCs w:val="22"/>
        </w:rPr>
        <w:t>0</w:t>
      </w:r>
      <w:r w:rsidR="009A7FE7">
        <w:rPr>
          <w:rFonts w:ascii="Times New Roman" w:hAnsi="Times New Roman" w:cs="Times New Roman"/>
          <w:color w:val="0D0D0D" w:themeColor="text1" w:themeTint="F2"/>
          <w:sz w:val="22"/>
          <w:szCs w:val="22"/>
        </w:rPr>
        <w:t>/</w:t>
      </w:r>
      <w:r w:rsidR="001A25B5">
        <w:rPr>
          <w:rFonts w:ascii="Times New Roman" w:hAnsi="Times New Roman" w:cs="Times New Roman"/>
          <w:color w:val="0D0D0D" w:themeColor="text1" w:themeTint="F2"/>
          <w:sz w:val="22"/>
          <w:szCs w:val="22"/>
        </w:rPr>
        <w:t>0</w:t>
      </w:r>
      <w:r w:rsidR="00F64CC2">
        <w:rPr>
          <w:rFonts w:ascii="Times New Roman" w:hAnsi="Times New Roman" w:cs="Times New Roman"/>
          <w:color w:val="0D0D0D" w:themeColor="text1" w:themeTint="F2"/>
          <w:sz w:val="22"/>
          <w:szCs w:val="22"/>
        </w:rPr>
        <w:t>6</w:t>
      </w:r>
      <w:r w:rsidRPr="002829B5">
        <w:rPr>
          <w:rFonts w:ascii="Times New Roman" w:hAnsi="Times New Roman" w:cs="Times New Roman"/>
          <w:color w:val="0D0D0D" w:themeColor="text1" w:themeTint="F2"/>
          <w:sz w:val="22"/>
          <w:szCs w:val="22"/>
        </w:rPr>
        <w:t>/202</w:t>
      </w:r>
      <w:r w:rsidR="00D01D92">
        <w:rPr>
          <w:rFonts w:ascii="Times New Roman" w:hAnsi="Times New Roman" w:cs="Times New Roman"/>
          <w:color w:val="0D0D0D" w:themeColor="text1" w:themeTint="F2"/>
          <w:sz w:val="22"/>
          <w:szCs w:val="22"/>
        </w:rPr>
        <w:t>3</w:t>
      </w:r>
      <w:r w:rsidRPr="002829B5">
        <w:rPr>
          <w:rFonts w:ascii="Times New Roman" w:hAnsi="Times New Roman" w:cs="Times New Roman"/>
          <w:color w:val="0D0D0D" w:themeColor="text1" w:themeTint="F2"/>
          <w:sz w:val="22"/>
          <w:szCs w:val="22"/>
        </w:rPr>
        <w:t xml:space="preserve">: </w:t>
      </w:r>
      <w:r w:rsidR="00F64CC2">
        <w:rPr>
          <w:rFonts w:ascii="Times New Roman" w:hAnsi="Times New Roman" w:cs="Times New Roman"/>
          <w:color w:val="0D0D0D" w:themeColor="text1" w:themeTint="F2"/>
          <w:sz w:val="22"/>
          <w:szCs w:val="22"/>
        </w:rPr>
        <w:t>792</w:t>
      </w:r>
    </w:p>
    <w:p w14:paraId="6BE3BEAB" w14:textId="0E13F8A0" w:rsidR="004A2F32" w:rsidRDefault="004A2F32" w:rsidP="00AF17EC">
      <w:pPr>
        <w:rPr>
          <w:rFonts w:ascii="Times New Roman" w:hAnsi="Times New Roman" w:cs="Times New Roman"/>
          <w:color w:val="0D0D0D" w:themeColor="text1" w:themeTint="F2"/>
          <w:sz w:val="22"/>
          <w:szCs w:val="22"/>
        </w:rPr>
      </w:pPr>
      <w:r w:rsidRPr="002829B5">
        <w:rPr>
          <w:rFonts w:ascii="Times New Roman" w:hAnsi="Times New Roman" w:cs="Times New Roman"/>
          <w:color w:val="0D0D0D" w:themeColor="text1" w:themeTint="F2"/>
          <w:sz w:val="22"/>
          <w:szCs w:val="22"/>
        </w:rPr>
        <w:t xml:space="preserve">Cantidad de empleados al </w:t>
      </w:r>
      <w:r>
        <w:rPr>
          <w:rFonts w:ascii="Times New Roman" w:hAnsi="Times New Roman" w:cs="Times New Roman"/>
          <w:color w:val="0D0D0D" w:themeColor="text1" w:themeTint="F2"/>
          <w:sz w:val="22"/>
          <w:szCs w:val="22"/>
        </w:rPr>
        <w:t>3</w:t>
      </w:r>
      <w:r w:rsidR="00296CFC">
        <w:rPr>
          <w:rFonts w:ascii="Times New Roman" w:hAnsi="Times New Roman" w:cs="Times New Roman"/>
          <w:color w:val="0D0D0D" w:themeColor="text1" w:themeTint="F2"/>
          <w:sz w:val="22"/>
          <w:szCs w:val="22"/>
        </w:rPr>
        <w:t>0</w:t>
      </w:r>
      <w:r>
        <w:rPr>
          <w:rFonts w:ascii="Times New Roman" w:hAnsi="Times New Roman" w:cs="Times New Roman"/>
          <w:color w:val="0D0D0D" w:themeColor="text1" w:themeTint="F2"/>
          <w:sz w:val="22"/>
          <w:szCs w:val="22"/>
        </w:rPr>
        <w:t>/0</w:t>
      </w:r>
      <w:r w:rsidR="00296CFC">
        <w:rPr>
          <w:rFonts w:ascii="Times New Roman" w:hAnsi="Times New Roman" w:cs="Times New Roman"/>
          <w:color w:val="0D0D0D" w:themeColor="text1" w:themeTint="F2"/>
          <w:sz w:val="22"/>
          <w:szCs w:val="22"/>
        </w:rPr>
        <w:t>9</w:t>
      </w:r>
      <w:r w:rsidRPr="002829B5">
        <w:rPr>
          <w:rFonts w:ascii="Times New Roman" w:hAnsi="Times New Roman" w:cs="Times New Roman"/>
          <w:color w:val="0D0D0D" w:themeColor="text1" w:themeTint="F2"/>
          <w:sz w:val="22"/>
          <w:szCs w:val="22"/>
        </w:rPr>
        <w:t>/202</w:t>
      </w:r>
      <w:r>
        <w:rPr>
          <w:rFonts w:ascii="Times New Roman" w:hAnsi="Times New Roman" w:cs="Times New Roman"/>
          <w:color w:val="0D0D0D" w:themeColor="text1" w:themeTint="F2"/>
          <w:sz w:val="22"/>
          <w:szCs w:val="22"/>
        </w:rPr>
        <w:t>3</w:t>
      </w:r>
      <w:r w:rsidRPr="002829B5">
        <w:rPr>
          <w:rFonts w:ascii="Times New Roman" w:hAnsi="Times New Roman" w:cs="Times New Roman"/>
          <w:color w:val="0D0D0D" w:themeColor="text1" w:themeTint="F2"/>
          <w:sz w:val="22"/>
          <w:szCs w:val="22"/>
        </w:rPr>
        <w:t xml:space="preserve">: </w:t>
      </w:r>
      <w:r w:rsidR="001E7BB0">
        <w:rPr>
          <w:rFonts w:ascii="Times New Roman" w:hAnsi="Times New Roman" w:cs="Times New Roman"/>
          <w:color w:val="0D0D0D" w:themeColor="text1" w:themeTint="F2"/>
          <w:sz w:val="22"/>
          <w:szCs w:val="22"/>
        </w:rPr>
        <w:t>7</w:t>
      </w:r>
      <w:r w:rsidR="00296CFC">
        <w:rPr>
          <w:rFonts w:ascii="Times New Roman" w:hAnsi="Times New Roman" w:cs="Times New Roman"/>
          <w:color w:val="0D0D0D" w:themeColor="text1" w:themeTint="F2"/>
          <w:sz w:val="22"/>
          <w:szCs w:val="22"/>
        </w:rPr>
        <w:t>8</w:t>
      </w:r>
      <w:r w:rsidR="001E7BB0">
        <w:rPr>
          <w:rFonts w:ascii="Times New Roman" w:hAnsi="Times New Roman" w:cs="Times New Roman"/>
          <w:color w:val="0D0D0D" w:themeColor="text1" w:themeTint="F2"/>
          <w:sz w:val="22"/>
          <w:szCs w:val="22"/>
        </w:rPr>
        <w:t>1</w:t>
      </w:r>
    </w:p>
    <w:p w14:paraId="06548411" w14:textId="77777777" w:rsidR="00F74B80" w:rsidRPr="00506990" w:rsidRDefault="00F74B80" w:rsidP="00F74B80">
      <w:pPr>
        <w:rPr>
          <w:rFonts w:ascii="Times New Roman" w:hAnsi="Times New Roman" w:cs="Times New Roman"/>
          <w:b/>
          <w:color w:val="0D0D0D" w:themeColor="text1" w:themeTint="F2"/>
          <w:sz w:val="22"/>
          <w:szCs w:val="22"/>
        </w:rPr>
      </w:pPr>
    </w:p>
    <w:p w14:paraId="735B33E0" w14:textId="60752873" w:rsidR="009F05CF" w:rsidRPr="00506990" w:rsidRDefault="009F05CF" w:rsidP="0000652B">
      <w:pPr>
        <w:rPr>
          <w:rFonts w:ascii="Times New Roman" w:hAnsi="Times New Roman" w:cs="Times New Roman"/>
          <w:color w:val="0D0D0D" w:themeColor="text1" w:themeTint="F2"/>
          <w:sz w:val="22"/>
          <w:szCs w:val="22"/>
        </w:rPr>
      </w:pPr>
      <w:r w:rsidRPr="00C57689">
        <w:rPr>
          <w:rFonts w:ascii="Times New Roman" w:hAnsi="Times New Roman" w:cs="Times New Roman"/>
          <w:color w:val="0D0D0D" w:themeColor="text1" w:themeTint="F2"/>
          <w:sz w:val="22"/>
          <w:szCs w:val="22"/>
        </w:rPr>
        <w:t xml:space="preserve">Para la gestión </w:t>
      </w:r>
      <w:r w:rsidRPr="00F3611B">
        <w:rPr>
          <w:rFonts w:ascii="Times New Roman" w:hAnsi="Times New Roman" w:cs="Times New Roman"/>
          <w:color w:val="0D0D0D" w:themeColor="text1" w:themeTint="F2"/>
          <w:sz w:val="22"/>
          <w:szCs w:val="22"/>
        </w:rPr>
        <w:t>operativa Bazar</w:t>
      </w:r>
      <w:r w:rsidR="000F3859" w:rsidRPr="00F3611B">
        <w:rPr>
          <w:rFonts w:ascii="Times New Roman" w:hAnsi="Times New Roman" w:cs="Times New Roman"/>
          <w:color w:val="0D0D0D" w:themeColor="text1" w:themeTint="F2"/>
          <w:sz w:val="22"/>
          <w:szCs w:val="22"/>
        </w:rPr>
        <w:t xml:space="preserve"> Avenida S.A.</w:t>
      </w:r>
      <w:r w:rsidRPr="00F3611B">
        <w:rPr>
          <w:rFonts w:ascii="Times New Roman" w:hAnsi="Times New Roman" w:cs="Times New Roman"/>
          <w:color w:val="0D0D0D" w:themeColor="text1" w:themeTint="F2"/>
          <w:sz w:val="22"/>
          <w:szCs w:val="22"/>
        </w:rPr>
        <w:t xml:space="preserve"> se maneja adicionalmente con los servicios de la empresa Avenida A.C.E. (que cuenta con </w:t>
      </w:r>
      <w:r w:rsidR="001E7BB0" w:rsidRPr="00F3611B">
        <w:rPr>
          <w:rFonts w:ascii="Times New Roman" w:hAnsi="Times New Roman" w:cs="Times New Roman"/>
          <w:color w:val="0D0D0D" w:themeColor="text1" w:themeTint="F2"/>
          <w:sz w:val="22"/>
          <w:szCs w:val="22"/>
        </w:rPr>
        <w:t>2</w:t>
      </w:r>
      <w:r w:rsidR="001E7BB0">
        <w:rPr>
          <w:rFonts w:ascii="Times New Roman" w:hAnsi="Times New Roman" w:cs="Times New Roman"/>
          <w:color w:val="0D0D0D" w:themeColor="text1" w:themeTint="F2"/>
          <w:sz w:val="22"/>
          <w:szCs w:val="22"/>
        </w:rPr>
        <w:t>5</w:t>
      </w:r>
      <w:r w:rsidR="00296CFC">
        <w:rPr>
          <w:rFonts w:ascii="Times New Roman" w:hAnsi="Times New Roman" w:cs="Times New Roman"/>
          <w:color w:val="0D0D0D" w:themeColor="text1" w:themeTint="F2"/>
          <w:sz w:val="22"/>
          <w:szCs w:val="22"/>
        </w:rPr>
        <w:t>6</w:t>
      </w:r>
      <w:r w:rsidR="001E7BB0" w:rsidRPr="00F3611B">
        <w:rPr>
          <w:rFonts w:ascii="Times New Roman" w:hAnsi="Times New Roman" w:cs="Times New Roman"/>
          <w:color w:val="0D0D0D" w:themeColor="text1" w:themeTint="F2"/>
          <w:sz w:val="22"/>
          <w:szCs w:val="22"/>
        </w:rPr>
        <w:t xml:space="preserve"> </w:t>
      </w:r>
      <w:r w:rsidRPr="00F3611B">
        <w:rPr>
          <w:rFonts w:ascii="Times New Roman" w:hAnsi="Times New Roman" w:cs="Times New Roman"/>
          <w:color w:val="0D0D0D" w:themeColor="text1" w:themeTint="F2"/>
          <w:sz w:val="22"/>
          <w:szCs w:val="22"/>
        </w:rPr>
        <w:t xml:space="preserve">empleados al </w:t>
      </w:r>
      <w:r w:rsidR="001A25B5">
        <w:rPr>
          <w:rFonts w:ascii="Times New Roman" w:hAnsi="Times New Roman" w:cs="Times New Roman"/>
          <w:color w:val="0D0D0D" w:themeColor="text1" w:themeTint="F2"/>
          <w:sz w:val="22"/>
          <w:szCs w:val="22"/>
        </w:rPr>
        <w:t>3</w:t>
      </w:r>
      <w:r w:rsidR="00296CFC">
        <w:rPr>
          <w:rFonts w:ascii="Times New Roman" w:hAnsi="Times New Roman" w:cs="Times New Roman"/>
          <w:color w:val="0D0D0D" w:themeColor="text1" w:themeTint="F2"/>
          <w:sz w:val="22"/>
          <w:szCs w:val="22"/>
        </w:rPr>
        <w:t>0</w:t>
      </w:r>
      <w:r w:rsidR="001A25B5" w:rsidRPr="00F3611B">
        <w:rPr>
          <w:rFonts w:ascii="Times New Roman" w:hAnsi="Times New Roman" w:cs="Times New Roman"/>
          <w:color w:val="0D0D0D" w:themeColor="text1" w:themeTint="F2"/>
          <w:sz w:val="22"/>
          <w:szCs w:val="22"/>
        </w:rPr>
        <w:t xml:space="preserve"> </w:t>
      </w:r>
      <w:r w:rsidR="00F13673" w:rsidRPr="00F3611B">
        <w:rPr>
          <w:rFonts w:ascii="Times New Roman" w:hAnsi="Times New Roman" w:cs="Times New Roman"/>
          <w:color w:val="0D0D0D" w:themeColor="text1" w:themeTint="F2"/>
          <w:sz w:val="22"/>
          <w:szCs w:val="22"/>
        </w:rPr>
        <w:t>de</w:t>
      </w:r>
      <w:r w:rsidR="00FF22F3" w:rsidRPr="00F3611B">
        <w:rPr>
          <w:rFonts w:ascii="Times New Roman" w:hAnsi="Times New Roman" w:cs="Times New Roman"/>
          <w:color w:val="0D0D0D" w:themeColor="text1" w:themeTint="F2"/>
          <w:sz w:val="22"/>
          <w:szCs w:val="22"/>
        </w:rPr>
        <w:t xml:space="preserve"> </w:t>
      </w:r>
      <w:r w:rsidR="00296CFC">
        <w:rPr>
          <w:rFonts w:ascii="Times New Roman" w:hAnsi="Times New Roman" w:cs="Times New Roman"/>
          <w:color w:val="0D0D0D" w:themeColor="text1" w:themeTint="F2"/>
          <w:sz w:val="22"/>
          <w:szCs w:val="22"/>
        </w:rPr>
        <w:t xml:space="preserve">septiembre </w:t>
      </w:r>
      <w:r w:rsidRPr="00F3611B">
        <w:rPr>
          <w:rFonts w:ascii="Times New Roman" w:hAnsi="Times New Roman" w:cs="Times New Roman"/>
          <w:color w:val="0D0D0D" w:themeColor="text1" w:themeTint="F2"/>
          <w:sz w:val="22"/>
          <w:szCs w:val="22"/>
        </w:rPr>
        <w:t xml:space="preserve">de </w:t>
      </w:r>
      <w:r w:rsidR="0082577D" w:rsidRPr="00F3611B">
        <w:rPr>
          <w:rFonts w:ascii="Times New Roman" w:hAnsi="Times New Roman" w:cs="Times New Roman"/>
          <w:color w:val="0D0D0D" w:themeColor="text1" w:themeTint="F2"/>
          <w:sz w:val="22"/>
          <w:szCs w:val="22"/>
        </w:rPr>
        <w:t>202</w:t>
      </w:r>
      <w:r w:rsidR="00D01D92">
        <w:rPr>
          <w:rFonts w:ascii="Times New Roman" w:hAnsi="Times New Roman" w:cs="Times New Roman"/>
          <w:color w:val="0D0D0D" w:themeColor="text1" w:themeTint="F2"/>
          <w:sz w:val="22"/>
          <w:szCs w:val="22"/>
        </w:rPr>
        <w:t>3</w:t>
      </w:r>
      <w:r w:rsidRPr="00F3611B">
        <w:rPr>
          <w:rFonts w:ascii="Times New Roman" w:hAnsi="Times New Roman" w:cs="Times New Roman"/>
          <w:color w:val="0D0D0D" w:themeColor="text1" w:themeTint="F2"/>
          <w:sz w:val="22"/>
          <w:szCs w:val="22"/>
        </w:rPr>
        <w:t xml:space="preserve">) y de la empresa Logme S.A. (que cuenta con </w:t>
      </w:r>
      <w:r w:rsidR="001A25B5">
        <w:rPr>
          <w:rFonts w:ascii="Times New Roman" w:hAnsi="Times New Roman" w:cs="Times New Roman"/>
          <w:color w:val="0D0D0D" w:themeColor="text1" w:themeTint="F2"/>
          <w:sz w:val="22"/>
          <w:szCs w:val="22"/>
        </w:rPr>
        <w:t>5</w:t>
      </w:r>
      <w:r w:rsidR="00296CFC">
        <w:rPr>
          <w:rFonts w:ascii="Times New Roman" w:hAnsi="Times New Roman" w:cs="Times New Roman"/>
          <w:color w:val="0D0D0D" w:themeColor="text1" w:themeTint="F2"/>
          <w:sz w:val="22"/>
          <w:szCs w:val="22"/>
        </w:rPr>
        <w:t>1</w:t>
      </w:r>
      <w:r w:rsidR="001A25B5" w:rsidRPr="00F3611B">
        <w:rPr>
          <w:rFonts w:ascii="Times New Roman" w:hAnsi="Times New Roman" w:cs="Times New Roman"/>
          <w:color w:val="0D0D0D" w:themeColor="text1" w:themeTint="F2"/>
          <w:sz w:val="22"/>
          <w:szCs w:val="22"/>
        </w:rPr>
        <w:t xml:space="preserve"> </w:t>
      </w:r>
      <w:r w:rsidRPr="00F3611B">
        <w:rPr>
          <w:rFonts w:ascii="Times New Roman" w:hAnsi="Times New Roman" w:cs="Times New Roman"/>
          <w:color w:val="0D0D0D" w:themeColor="text1" w:themeTint="F2"/>
          <w:sz w:val="22"/>
          <w:szCs w:val="22"/>
        </w:rPr>
        <w:t xml:space="preserve">empleados </w:t>
      </w:r>
      <w:r w:rsidR="00296CFC" w:rsidRPr="00F3611B">
        <w:rPr>
          <w:rFonts w:ascii="Times New Roman" w:hAnsi="Times New Roman" w:cs="Times New Roman"/>
          <w:color w:val="0D0D0D" w:themeColor="text1" w:themeTint="F2"/>
          <w:sz w:val="22"/>
          <w:szCs w:val="22"/>
        </w:rPr>
        <w:t xml:space="preserve">al </w:t>
      </w:r>
      <w:r w:rsidR="00296CFC">
        <w:rPr>
          <w:rFonts w:ascii="Times New Roman" w:hAnsi="Times New Roman" w:cs="Times New Roman"/>
          <w:color w:val="0D0D0D" w:themeColor="text1" w:themeTint="F2"/>
          <w:sz w:val="22"/>
          <w:szCs w:val="22"/>
        </w:rPr>
        <w:t>30</w:t>
      </w:r>
      <w:r w:rsidR="00296CFC" w:rsidRPr="00F3611B">
        <w:rPr>
          <w:rFonts w:ascii="Times New Roman" w:hAnsi="Times New Roman" w:cs="Times New Roman"/>
          <w:color w:val="0D0D0D" w:themeColor="text1" w:themeTint="F2"/>
          <w:sz w:val="22"/>
          <w:szCs w:val="22"/>
        </w:rPr>
        <w:t xml:space="preserve"> de </w:t>
      </w:r>
      <w:r w:rsidR="00296CFC">
        <w:rPr>
          <w:rFonts w:ascii="Times New Roman" w:hAnsi="Times New Roman" w:cs="Times New Roman"/>
          <w:color w:val="0D0D0D" w:themeColor="text1" w:themeTint="F2"/>
          <w:sz w:val="22"/>
          <w:szCs w:val="22"/>
        </w:rPr>
        <w:t xml:space="preserve">septiembre </w:t>
      </w:r>
      <w:r w:rsidRPr="00F3611B">
        <w:rPr>
          <w:rFonts w:ascii="Times New Roman" w:hAnsi="Times New Roman" w:cs="Times New Roman"/>
          <w:color w:val="0D0D0D" w:themeColor="text1" w:themeTint="F2"/>
          <w:sz w:val="22"/>
          <w:szCs w:val="22"/>
        </w:rPr>
        <w:t xml:space="preserve">de </w:t>
      </w:r>
      <w:r w:rsidR="0082577D" w:rsidRPr="00F3611B">
        <w:rPr>
          <w:rFonts w:ascii="Times New Roman" w:hAnsi="Times New Roman" w:cs="Times New Roman"/>
          <w:color w:val="0D0D0D" w:themeColor="text1" w:themeTint="F2"/>
          <w:sz w:val="22"/>
          <w:szCs w:val="22"/>
        </w:rPr>
        <w:t>202</w:t>
      </w:r>
      <w:r w:rsidR="00D01D92">
        <w:rPr>
          <w:rFonts w:ascii="Times New Roman" w:hAnsi="Times New Roman" w:cs="Times New Roman"/>
          <w:color w:val="0D0D0D" w:themeColor="text1" w:themeTint="F2"/>
          <w:sz w:val="22"/>
          <w:szCs w:val="22"/>
        </w:rPr>
        <w:t>3</w:t>
      </w:r>
      <w:r w:rsidRPr="00F3611B">
        <w:rPr>
          <w:rFonts w:ascii="Times New Roman" w:hAnsi="Times New Roman" w:cs="Times New Roman"/>
          <w:color w:val="0D0D0D" w:themeColor="text1" w:themeTint="F2"/>
          <w:sz w:val="22"/>
          <w:szCs w:val="22"/>
        </w:rPr>
        <w:t>).</w:t>
      </w:r>
    </w:p>
    <w:p w14:paraId="0CE215F3" w14:textId="77777777" w:rsidR="009F05CF" w:rsidRPr="00506990" w:rsidRDefault="009F05CF" w:rsidP="00F74B80">
      <w:pPr>
        <w:rPr>
          <w:rFonts w:ascii="Times New Roman" w:hAnsi="Times New Roman" w:cs="Times New Roman"/>
          <w:color w:val="0D0D0D" w:themeColor="text1" w:themeTint="F2"/>
          <w:sz w:val="22"/>
          <w:szCs w:val="22"/>
        </w:rPr>
      </w:pPr>
    </w:p>
    <w:p w14:paraId="5870C01A" w14:textId="7DF07221" w:rsidR="00C53DC3" w:rsidRDefault="00B05636" w:rsidP="00C53DC3">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L</w:t>
      </w:r>
      <w:r w:rsidR="00445EB2" w:rsidRPr="004978B5">
        <w:rPr>
          <w:rFonts w:ascii="Times New Roman" w:hAnsi="Times New Roman" w:cs="Times New Roman"/>
          <w:color w:val="0D0D0D" w:themeColor="text1" w:themeTint="F2"/>
          <w:sz w:val="22"/>
          <w:szCs w:val="22"/>
        </w:rPr>
        <w:t xml:space="preserve">a </w:t>
      </w:r>
      <w:r w:rsidR="00AE034E">
        <w:rPr>
          <w:rFonts w:ascii="Times New Roman" w:hAnsi="Times New Roman" w:cs="Times New Roman"/>
          <w:color w:val="0D0D0D" w:themeColor="text1" w:themeTint="F2"/>
          <w:sz w:val="22"/>
          <w:szCs w:val="22"/>
        </w:rPr>
        <w:t xml:space="preserve">gran </w:t>
      </w:r>
      <w:r w:rsidR="00445EB2" w:rsidRPr="004978B5">
        <w:rPr>
          <w:rFonts w:ascii="Times New Roman" w:hAnsi="Times New Roman" w:cs="Times New Roman"/>
          <w:color w:val="0D0D0D" w:themeColor="text1" w:themeTint="F2"/>
          <w:sz w:val="22"/>
          <w:szCs w:val="22"/>
        </w:rPr>
        <w:t xml:space="preserve">suba </w:t>
      </w:r>
      <w:r>
        <w:rPr>
          <w:rFonts w:ascii="Times New Roman" w:hAnsi="Times New Roman" w:cs="Times New Roman"/>
          <w:color w:val="0D0D0D" w:themeColor="text1" w:themeTint="F2"/>
          <w:sz w:val="22"/>
          <w:szCs w:val="22"/>
        </w:rPr>
        <w:t>en la cantidad de empleados durante</w:t>
      </w:r>
      <w:r w:rsidR="00445EB2" w:rsidRPr="004978B5">
        <w:rPr>
          <w:rFonts w:ascii="Times New Roman" w:hAnsi="Times New Roman" w:cs="Times New Roman"/>
          <w:color w:val="0D0D0D" w:themeColor="text1" w:themeTint="F2"/>
          <w:sz w:val="22"/>
          <w:szCs w:val="22"/>
        </w:rPr>
        <w:t xml:space="preserve"> </w:t>
      </w:r>
      <w:r w:rsidR="004978B5">
        <w:rPr>
          <w:rFonts w:ascii="Times New Roman" w:hAnsi="Times New Roman" w:cs="Times New Roman"/>
          <w:color w:val="0D0D0D" w:themeColor="text1" w:themeTint="F2"/>
          <w:sz w:val="22"/>
          <w:szCs w:val="22"/>
        </w:rPr>
        <w:t xml:space="preserve">el último año </w:t>
      </w:r>
      <w:r w:rsidR="00FC7344">
        <w:rPr>
          <w:rFonts w:ascii="Times New Roman" w:hAnsi="Times New Roman" w:cs="Times New Roman"/>
          <w:color w:val="0D0D0D" w:themeColor="text1" w:themeTint="F2"/>
          <w:sz w:val="22"/>
          <w:szCs w:val="22"/>
        </w:rPr>
        <w:t xml:space="preserve">y medio </w:t>
      </w:r>
      <w:r w:rsidR="004978B5">
        <w:rPr>
          <w:rFonts w:ascii="Times New Roman" w:hAnsi="Times New Roman" w:cs="Times New Roman"/>
          <w:color w:val="0D0D0D" w:themeColor="text1" w:themeTint="F2"/>
          <w:sz w:val="22"/>
          <w:szCs w:val="22"/>
        </w:rPr>
        <w:t>se debe tanto el crecimiento en la participación de las ventas en el mercado como a la apertura de nuevas sucursales (Santiago del Estero</w:t>
      </w:r>
      <w:r w:rsidR="00981D9C">
        <w:rPr>
          <w:rFonts w:ascii="Times New Roman" w:hAnsi="Times New Roman" w:cs="Times New Roman"/>
          <w:color w:val="0D0D0D" w:themeColor="text1" w:themeTint="F2"/>
          <w:sz w:val="22"/>
          <w:szCs w:val="22"/>
        </w:rPr>
        <w:t xml:space="preserve">, </w:t>
      </w:r>
      <w:r w:rsidR="004978B5">
        <w:rPr>
          <w:rFonts w:ascii="Times New Roman" w:hAnsi="Times New Roman" w:cs="Times New Roman"/>
          <w:color w:val="0D0D0D" w:themeColor="text1" w:themeTint="F2"/>
          <w:sz w:val="22"/>
          <w:szCs w:val="22"/>
        </w:rPr>
        <w:t>Santa Fe</w:t>
      </w:r>
      <w:r w:rsidR="003616FA">
        <w:rPr>
          <w:rFonts w:ascii="Times New Roman" w:hAnsi="Times New Roman" w:cs="Times New Roman"/>
          <w:color w:val="0D0D0D" w:themeColor="text1" w:themeTint="F2"/>
          <w:sz w:val="22"/>
          <w:szCs w:val="22"/>
        </w:rPr>
        <w:t>,</w:t>
      </w:r>
      <w:r w:rsidR="00981D9C">
        <w:rPr>
          <w:rFonts w:ascii="Times New Roman" w:hAnsi="Times New Roman" w:cs="Times New Roman"/>
          <w:color w:val="0D0D0D" w:themeColor="text1" w:themeTint="F2"/>
          <w:sz w:val="22"/>
          <w:szCs w:val="22"/>
        </w:rPr>
        <w:t xml:space="preserve"> Jujuy</w:t>
      </w:r>
      <w:r w:rsidR="003616FA">
        <w:rPr>
          <w:rFonts w:ascii="Times New Roman" w:hAnsi="Times New Roman" w:cs="Times New Roman"/>
          <w:color w:val="0D0D0D" w:themeColor="text1" w:themeTint="F2"/>
          <w:sz w:val="22"/>
          <w:szCs w:val="22"/>
        </w:rPr>
        <w:t xml:space="preserve"> y Unicenter</w:t>
      </w:r>
      <w:r w:rsidR="004978B5">
        <w:rPr>
          <w:rFonts w:ascii="Times New Roman" w:hAnsi="Times New Roman" w:cs="Times New Roman"/>
          <w:color w:val="0D0D0D" w:themeColor="text1" w:themeTint="F2"/>
          <w:sz w:val="22"/>
          <w:szCs w:val="22"/>
        </w:rPr>
        <w:t>).</w:t>
      </w:r>
    </w:p>
    <w:p w14:paraId="77EBC3C9" w14:textId="77777777" w:rsidR="00DF0AC0" w:rsidRDefault="00DF0AC0" w:rsidP="00C53DC3">
      <w:pPr>
        <w:rPr>
          <w:rFonts w:ascii="Times New Roman" w:hAnsi="Times New Roman" w:cs="Times New Roman"/>
          <w:color w:val="0D0D0D" w:themeColor="text1" w:themeTint="F2"/>
          <w:sz w:val="22"/>
          <w:szCs w:val="22"/>
        </w:rPr>
      </w:pPr>
    </w:p>
    <w:p w14:paraId="14DCD57D" w14:textId="6B2F8E77" w:rsidR="00DF0AC0" w:rsidRDefault="00DF0AC0" w:rsidP="00DF0AC0">
      <w:pPr>
        <w:rPr>
          <w:color w:val="0D0D0D" w:themeColor="text1" w:themeTint="F2"/>
          <w:sz w:val="22"/>
          <w:szCs w:val="22"/>
        </w:rPr>
      </w:pPr>
      <w:r>
        <w:rPr>
          <w:rFonts w:ascii="Times New Roman" w:hAnsi="Times New Roman" w:cs="Times New Roman"/>
          <w:bCs/>
          <w:sz w:val="22"/>
          <w:szCs w:val="22"/>
          <w:lang w:val="es-AR"/>
        </w:rPr>
        <w:t>A la fecha del presente Suplemento de Prospecto no existen variaciones significativas en el personal de Bazar Avenida S.A.</w:t>
      </w:r>
    </w:p>
    <w:p w14:paraId="5B214171" w14:textId="77777777" w:rsidR="00F041D4" w:rsidRPr="00506990" w:rsidRDefault="00F041D4" w:rsidP="00F74B80">
      <w:pPr>
        <w:autoSpaceDE w:val="0"/>
        <w:autoSpaceDN w:val="0"/>
        <w:adjustRightInd w:val="0"/>
        <w:jc w:val="center"/>
        <w:rPr>
          <w:rFonts w:ascii="Times New Roman" w:hAnsi="Times New Roman" w:cs="Times New Roman"/>
          <w:b/>
          <w:bCs/>
          <w:iCs/>
          <w:color w:val="0D0D0D" w:themeColor="text1" w:themeTint="F2"/>
          <w:sz w:val="22"/>
          <w:szCs w:val="22"/>
          <w:lang w:val="es-AR"/>
        </w:rPr>
      </w:pPr>
    </w:p>
    <w:p w14:paraId="25D86119" w14:textId="77777777" w:rsidR="00F74B80" w:rsidRPr="00506990" w:rsidRDefault="00F74B80" w:rsidP="00F74B80">
      <w:pPr>
        <w:autoSpaceDE w:val="0"/>
        <w:autoSpaceDN w:val="0"/>
        <w:adjustRightInd w:val="0"/>
        <w:jc w:val="center"/>
        <w:rPr>
          <w:rFonts w:ascii="Times New Roman" w:hAnsi="Times New Roman" w:cs="Times New Roman"/>
          <w:bCs/>
          <w:iCs/>
          <w:color w:val="0D0D0D" w:themeColor="text1" w:themeTint="F2"/>
          <w:sz w:val="22"/>
          <w:szCs w:val="22"/>
          <w:lang w:val="es-AR"/>
        </w:rPr>
      </w:pPr>
    </w:p>
    <w:p w14:paraId="03C33970" w14:textId="77777777" w:rsidR="00FC7344" w:rsidRDefault="00FC7344" w:rsidP="00CC479E">
      <w:pPr>
        <w:jc w:val="center"/>
        <w:rPr>
          <w:rFonts w:ascii="Times New Roman" w:hAnsi="Times New Roman" w:cs="Times New Roman"/>
          <w:b/>
          <w:color w:val="0D0D0D" w:themeColor="text1" w:themeTint="F2"/>
          <w:sz w:val="22"/>
          <w:szCs w:val="22"/>
        </w:rPr>
      </w:pPr>
    </w:p>
    <w:p w14:paraId="7911B5C6" w14:textId="77777777" w:rsidR="00CC479E" w:rsidRPr="0098446E" w:rsidRDefault="00CC479E" w:rsidP="00CC479E">
      <w:pPr>
        <w:jc w:val="center"/>
        <w:rPr>
          <w:rFonts w:ascii="Times New Roman" w:hAnsi="Times New Roman" w:cs="Times New Roman"/>
          <w:b/>
          <w:color w:val="0D0D0D" w:themeColor="text1" w:themeTint="F2"/>
          <w:sz w:val="22"/>
          <w:szCs w:val="22"/>
        </w:rPr>
      </w:pPr>
      <w:r w:rsidRPr="0098446E">
        <w:rPr>
          <w:rFonts w:ascii="Times New Roman" w:hAnsi="Times New Roman" w:cs="Times New Roman"/>
          <w:b/>
          <w:color w:val="0D0D0D" w:themeColor="text1" w:themeTint="F2"/>
          <w:sz w:val="22"/>
          <w:szCs w:val="22"/>
        </w:rPr>
        <w:t>CONSUMO S.A.</w:t>
      </w:r>
    </w:p>
    <w:p w14:paraId="377767E3" w14:textId="77777777" w:rsidR="00CC479E" w:rsidRPr="0098446E" w:rsidRDefault="00CC479E" w:rsidP="00CC479E">
      <w:pPr>
        <w:jc w:val="center"/>
        <w:rPr>
          <w:rFonts w:ascii="Times New Roman" w:hAnsi="Times New Roman" w:cs="Times New Roman"/>
          <w:b/>
          <w:color w:val="0D0D0D" w:themeColor="text1" w:themeTint="F2"/>
          <w:sz w:val="22"/>
          <w:szCs w:val="22"/>
        </w:rPr>
      </w:pPr>
    </w:p>
    <w:p w14:paraId="7D4B4217" w14:textId="3E3C963B"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 xml:space="preserve">Consumo se constituyó como una SRL el 02/07/1986, y se transformó en Sociedad Anónima por Acta de Asamblea del 31/01/2007, inscripta en el Registro Público de Comercio de Rafaela bajo el número 1220, folio 151/151 del Libro III, de los Estatutos de Sociedades Anónimas con fecha 29/08/2007, con domicilio social inscripto en la calle </w:t>
      </w:r>
      <w:r w:rsidR="009B5242">
        <w:rPr>
          <w:rFonts w:ascii="Times New Roman" w:hAnsi="Times New Roman" w:cs="Times New Roman"/>
          <w:bCs/>
          <w:color w:val="0D0D0D" w:themeColor="text1" w:themeTint="F2"/>
          <w:sz w:val="22"/>
          <w:szCs w:val="22"/>
          <w:lang w:val="es-AR"/>
        </w:rPr>
        <w:t>Cayetano Santi</w:t>
      </w:r>
      <w:r w:rsidR="00C55026">
        <w:rPr>
          <w:rFonts w:ascii="Times New Roman" w:hAnsi="Times New Roman" w:cs="Times New Roman"/>
          <w:bCs/>
          <w:color w:val="0D0D0D" w:themeColor="text1" w:themeTint="F2"/>
          <w:sz w:val="22"/>
          <w:szCs w:val="22"/>
          <w:lang w:val="es-AR"/>
        </w:rPr>
        <w:t xml:space="preserve"> N°1045</w:t>
      </w:r>
      <w:r w:rsidRPr="0098446E">
        <w:rPr>
          <w:rFonts w:ascii="Times New Roman" w:hAnsi="Times New Roman" w:cs="Times New Roman"/>
          <w:bCs/>
          <w:color w:val="0D0D0D" w:themeColor="text1" w:themeTint="F2"/>
          <w:sz w:val="22"/>
          <w:szCs w:val="22"/>
          <w:lang w:val="es-AR"/>
        </w:rPr>
        <w:t>, Rafaela, provincia de Santa Fe. CUIT:</w:t>
      </w:r>
      <w:r w:rsidRPr="0098446E">
        <w:rPr>
          <w:rFonts w:ascii="Times New Roman" w:hAnsi="Times New Roman" w:cs="Times New Roman"/>
          <w:color w:val="0D0D0D" w:themeColor="text1" w:themeTint="F2"/>
          <w:sz w:val="22"/>
          <w:szCs w:val="22"/>
        </w:rPr>
        <w:t xml:space="preserve"> </w:t>
      </w:r>
      <w:r w:rsidRPr="0098446E">
        <w:rPr>
          <w:rFonts w:ascii="Times New Roman" w:hAnsi="Times New Roman" w:cs="Times New Roman"/>
          <w:bCs/>
          <w:color w:val="0D0D0D" w:themeColor="text1" w:themeTint="F2"/>
          <w:sz w:val="22"/>
          <w:szCs w:val="22"/>
          <w:lang w:val="es-AR"/>
        </w:rPr>
        <w:t xml:space="preserve">30-61585180-5, Teléfono 03492 438000, fax 03492 438070 Correo electrónico: </w:t>
      </w:r>
      <w:r w:rsidRPr="0098446E">
        <w:rPr>
          <w:rFonts w:ascii="Times New Roman" w:hAnsi="Times New Roman" w:cs="Times New Roman"/>
          <w:color w:val="0D0D0D" w:themeColor="text1" w:themeTint="F2"/>
          <w:sz w:val="22"/>
          <w:szCs w:val="22"/>
          <w:lang w:val="es-AR" w:eastAsia="en-US"/>
        </w:rPr>
        <w:t>infofid@bamegatone.com.</w:t>
      </w:r>
      <w:r w:rsidRPr="0098446E">
        <w:rPr>
          <w:rFonts w:ascii="Times New Roman" w:hAnsi="Times New Roman" w:cs="Times New Roman"/>
          <w:bCs/>
          <w:color w:val="0D0D0D" w:themeColor="text1" w:themeTint="F2"/>
          <w:sz w:val="22"/>
          <w:szCs w:val="22"/>
          <w:lang w:val="es-AR"/>
        </w:rPr>
        <w:t xml:space="preserve"> </w:t>
      </w:r>
      <w:r w:rsidR="00E13361">
        <w:rPr>
          <w:rFonts w:ascii="Times New Roman" w:hAnsi="Times New Roman" w:cs="Times New Roman"/>
          <w:bCs/>
          <w:color w:val="0D0D0D" w:themeColor="text1" w:themeTint="F2"/>
          <w:sz w:val="22"/>
          <w:szCs w:val="22"/>
          <w:lang w:val="es-AR"/>
        </w:rPr>
        <w:t xml:space="preserve">Sitio web: </w:t>
      </w:r>
      <w:hyperlink r:id="rId38" w:history="1">
        <w:r w:rsidR="00E13361" w:rsidRPr="0031590E">
          <w:rPr>
            <w:rStyle w:val="Hipervnculo"/>
            <w:rFonts w:ascii="Times New Roman" w:hAnsi="Times New Roman"/>
            <w:bCs/>
            <w:sz w:val="22"/>
            <w:szCs w:val="22"/>
            <w:lang w:val="es-AR"/>
          </w:rPr>
          <w:t>https://www.megacash.com.ar/</w:t>
        </w:r>
      </w:hyperlink>
      <w:r w:rsidR="00E13361">
        <w:rPr>
          <w:rFonts w:ascii="Times New Roman" w:hAnsi="Times New Roman" w:cs="Times New Roman"/>
          <w:bCs/>
          <w:color w:val="0D0D0D" w:themeColor="text1" w:themeTint="F2"/>
          <w:sz w:val="22"/>
          <w:szCs w:val="22"/>
          <w:lang w:val="es-AR"/>
        </w:rPr>
        <w:t xml:space="preserve"> </w:t>
      </w:r>
    </w:p>
    <w:p w14:paraId="4B3368F6"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E4E81E8"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Se encuentra inscripta en el Banco Central de la República Argentina como “Proveedor no financiero” bajo el código 55098.</w:t>
      </w:r>
    </w:p>
    <w:p w14:paraId="74DA614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60E70DB6" w14:textId="26CB780C" w:rsidR="00DF2624" w:rsidRPr="00506990" w:rsidRDefault="00DF2624" w:rsidP="00DF2624">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Directorio</w:t>
      </w:r>
    </w:p>
    <w:p w14:paraId="3C816703" w14:textId="77777777" w:rsidR="00C73A1B" w:rsidRPr="00506990" w:rsidRDefault="00C73A1B" w:rsidP="00CC479E">
      <w:pPr>
        <w:rPr>
          <w:rFonts w:ascii="Times New Roman" w:hAnsi="Times New Roman" w:cs="Times New Roman"/>
          <w:b/>
          <w:color w:val="0D0D0D" w:themeColor="text1" w:themeTint="F2"/>
          <w:sz w:val="22"/>
          <w:szCs w:val="22"/>
        </w:rPr>
      </w:pPr>
    </w:p>
    <w:p w14:paraId="640CC913" w14:textId="614E3C51" w:rsidR="00721BC6" w:rsidRPr="00506990" w:rsidRDefault="00721BC6" w:rsidP="00CC479E">
      <w:pPr>
        <w:rPr>
          <w:rFonts w:ascii="Times New Roman" w:hAnsi="Times New Roman" w:cs="Times New Roman"/>
          <w:b/>
          <w:color w:val="0D0D0D" w:themeColor="text1" w:themeTint="F2"/>
          <w:sz w:val="22"/>
          <w:szCs w:val="22"/>
        </w:rPr>
      </w:pPr>
    </w:p>
    <w:tbl>
      <w:tblPr>
        <w:tblW w:w="8680" w:type="dxa"/>
        <w:tblInd w:w="-10" w:type="dxa"/>
        <w:tblCellMar>
          <w:left w:w="70" w:type="dxa"/>
          <w:right w:w="70" w:type="dxa"/>
        </w:tblCellMar>
        <w:tblLook w:val="04A0" w:firstRow="1" w:lastRow="0" w:firstColumn="1" w:lastColumn="0" w:noHBand="0" w:noVBand="1"/>
      </w:tblPr>
      <w:tblGrid>
        <w:gridCol w:w="2120"/>
        <w:gridCol w:w="2480"/>
        <w:gridCol w:w="4080"/>
      </w:tblGrid>
      <w:tr w:rsidR="00721BC6" w:rsidRPr="00721BC6" w14:paraId="176CEE1D" w14:textId="77777777" w:rsidTr="00721BC6">
        <w:trPr>
          <w:trHeight w:val="288"/>
        </w:trPr>
        <w:tc>
          <w:tcPr>
            <w:tcW w:w="21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98AC7ED"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CARGO</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C24A9C3"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NOMBRE Y APELLIDO</w:t>
            </w:r>
          </w:p>
        </w:tc>
        <w:tc>
          <w:tcPr>
            <w:tcW w:w="4080" w:type="dxa"/>
            <w:tcBorders>
              <w:top w:val="single" w:sz="8" w:space="0" w:color="auto"/>
              <w:left w:val="nil"/>
              <w:bottom w:val="nil"/>
              <w:right w:val="single" w:sz="8" w:space="0" w:color="auto"/>
            </w:tcBorders>
            <w:shd w:val="clear" w:color="000000" w:fill="BFBFBF"/>
            <w:vAlign w:val="center"/>
            <w:hideMark/>
          </w:tcPr>
          <w:p w14:paraId="65916F6F"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VENCIMIENTO</w:t>
            </w:r>
          </w:p>
        </w:tc>
      </w:tr>
      <w:tr w:rsidR="00721BC6" w:rsidRPr="00721BC6" w14:paraId="233EC962" w14:textId="77777777" w:rsidTr="00721BC6">
        <w:trPr>
          <w:trHeight w:val="300"/>
        </w:trPr>
        <w:tc>
          <w:tcPr>
            <w:tcW w:w="2120" w:type="dxa"/>
            <w:vMerge/>
            <w:tcBorders>
              <w:top w:val="single" w:sz="8" w:space="0" w:color="auto"/>
              <w:left w:val="single" w:sz="8" w:space="0" w:color="auto"/>
              <w:bottom w:val="single" w:sz="8" w:space="0" w:color="000000"/>
              <w:right w:val="single" w:sz="8" w:space="0" w:color="auto"/>
            </w:tcBorders>
            <w:vAlign w:val="center"/>
            <w:hideMark/>
          </w:tcPr>
          <w:p w14:paraId="48F77A85"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59240BB1"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4080" w:type="dxa"/>
            <w:tcBorders>
              <w:top w:val="nil"/>
              <w:left w:val="nil"/>
              <w:bottom w:val="single" w:sz="8" w:space="0" w:color="auto"/>
              <w:right w:val="single" w:sz="8" w:space="0" w:color="auto"/>
            </w:tcBorders>
            <w:shd w:val="clear" w:color="000000" w:fill="BFBFBF"/>
            <w:vAlign w:val="center"/>
            <w:hideMark/>
          </w:tcPr>
          <w:p w14:paraId="56E17B29"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DE MANDATO</w:t>
            </w:r>
          </w:p>
        </w:tc>
      </w:tr>
      <w:tr w:rsidR="00721BC6" w:rsidRPr="00721BC6" w14:paraId="61BD385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AC08740"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7116324"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Sergio Juan Luis</w:t>
            </w:r>
          </w:p>
        </w:tc>
        <w:tc>
          <w:tcPr>
            <w:tcW w:w="4080" w:type="dxa"/>
            <w:tcBorders>
              <w:top w:val="nil"/>
              <w:left w:val="nil"/>
              <w:bottom w:val="single" w:sz="8" w:space="0" w:color="auto"/>
              <w:right w:val="single" w:sz="8" w:space="0" w:color="auto"/>
            </w:tcBorders>
            <w:shd w:val="clear" w:color="auto" w:fill="auto"/>
            <w:vAlign w:val="center"/>
            <w:hideMark/>
          </w:tcPr>
          <w:p w14:paraId="41151B18" w14:textId="099DA809"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r w:rsidR="00721BC6" w:rsidRPr="00721BC6" w14:paraId="434FE30F"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3274C87"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Vicepresidente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5AFB89A"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Jorge Ramón</w:t>
            </w:r>
          </w:p>
        </w:tc>
        <w:tc>
          <w:tcPr>
            <w:tcW w:w="4080" w:type="dxa"/>
            <w:tcBorders>
              <w:top w:val="nil"/>
              <w:left w:val="nil"/>
              <w:bottom w:val="single" w:sz="8" w:space="0" w:color="auto"/>
              <w:right w:val="single" w:sz="8" w:space="0" w:color="auto"/>
            </w:tcBorders>
            <w:shd w:val="clear" w:color="auto" w:fill="auto"/>
            <w:vAlign w:val="center"/>
            <w:hideMark/>
          </w:tcPr>
          <w:p w14:paraId="4149B274" w14:textId="00441619"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r w:rsidR="00721BC6" w:rsidRPr="00721BC6" w14:paraId="7C7BFDF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6AC684E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Titular</w:t>
            </w:r>
          </w:p>
        </w:tc>
        <w:tc>
          <w:tcPr>
            <w:tcW w:w="2480" w:type="dxa"/>
            <w:tcBorders>
              <w:top w:val="nil"/>
              <w:left w:val="nil"/>
              <w:bottom w:val="single" w:sz="8" w:space="0" w:color="auto"/>
              <w:right w:val="single" w:sz="8" w:space="0" w:color="auto"/>
            </w:tcBorders>
            <w:shd w:val="clear" w:color="auto" w:fill="auto"/>
            <w:noWrap/>
            <w:vAlign w:val="center"/>
            <w:hideMark/>
          </w:tcPr>
          <w:p w14:paraId="5CE54C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Fregona, José Omar</w:t>
            </w:r>
          </w:p>
        </w:tc>
        <w:tc>
          <w:tcPr>
            <w:tcW w:w="4080" w:type="dxa"/>
            <w:tcBorders>
              <w:top w:val="nil"/>
              <w:left w:val="nil"/>
              <w:bottom w:val="single" w:sz="8" w:space="0" w:color="auto"/>
              <w:right w:val="single" w:sz="8" w:space="0" w:color="auto"/>
            </w:tcBorders>
            <w:shd w:val="clear" w:color="auto" w:fill="auto"/>
            <w:vAlign w:val="center"/>
            <w:hideMark/>
          </w:tcPr>
          <w:p w14:paraId="63A999BE" w14:textId="4F1072BB"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r w:rsidR="00721BC6" w:rsidRPr="00721BC6" w14:paraId="4F851CD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BCAD4CE"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F52C8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Fabricio</w:t>
            </w:r>
          </w:p>
        </w:tc>
        <w:tc>
          <w:tcPr>
            <w:tcW w:w="4080" w:type="dxa"/>
            <w:tcBorders>
              <w:top w:val="nil"/>
              <w:left w:val="nil"/>
              <w:bottom w:val="single" w:sz="8" w:space="0" w:color="auto"/>
              <w:right w:val="single" w:sz="8" w:space="0" w:color="auto"/>
            </w:tcBorders>
            <w:shd w:val="clear" w:color="auto" w:fill="auto"/>
            <w:vAlign w:val="center"/>
            <w:hideMark/>
          </w:tcPr>
          <w:p w14:paraId="55D7B69A" w14:textId="450E4BDF"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r w:rsidR="00721BC6" w:rsidRPr="00721BC6" w14:paraId="30909CE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0B15235"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DAB81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Esteban Marcelo</w:t>
            </w:r>
          </w:p>
        </w:tc>
        <w:tc>
          <w:tcPr>
            <w:tcW w:w="4080" w:type="dxa"/>
            <w:tcBorders>
              <w:top w:val="nil"/>
              <w:left w:val="nil"/>
              <w:bottom w:val="single" w:sz="8" w:space="0" w:color="auto"/>
              <w:right w:val="single" w:sz="8" w:space="0" w:color="auto"/>
            </w:tcBorders>
            <w:shd w:val="clear" w:color="auto" w:fill="auto"/>
            <w:vAlign w:val="center"/>
            <w:hideMark/>
          </w:tcPr>
          <w:p w14:paraId="679DECC1" w14:textId="50818D5E"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r w:rsidR="00721BC6" w:rsidRPr="00721BC6" w14:paraId="55466FBD"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6E110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734CA21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Javier Hernán</w:t>
            </w:r>
          </w:p>
        </w:tc>
        <w:tc>
          <w:tcPr>
            <w:tcW w:w="4080" w:type="dxa"/>
            <w:tcBorders>
              <w:top w:val="nil"/>
              <w:left w:val="nil"/>
              <w:bottom w:val="single" w:sz="8" w:space="0" w:color="auto"/>
              <w:right w:val="single" w:sz="8" w:space="0" w:color="auto"/>
            </w:tcBorders>
            <w:shd w:val="clear" w:color="auto" w:fill="auto"/>
            <w:vAlign w:val="center"/>
            <w:hideMark/>
          </w:tcPr>
          <w:p w14:paraId="5DF32E5C" w14:textId="15192372"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w:t>
            </w:r>
            <w:r w:rsidR="007369A8">
              <w:rPr>
                <w:rFonts w:ascii="Times New Roman" w:eastAsia="Times New Roman" w:hAnsi="Times New Roman" w:cs="Times New Roman"/>
                <w:color w:val="0D0D0D"/>
                <w:sz w:val="22"/>
                <w:szCs w:val="22"/>
                <w:lang w:eastAsia="es-AR"/>
              </w:rPr>
              <w:t>5</w:t>
            </w:r>
          </w:p>
        </w:tc>
      </w:tr>
    </w:tbl>
    <w:p w14:paraId="4B59A532" w14:textId="2A719FD0" w:rsidR="00C73A1B" w:rsidRPr="00506990" w:rsidRDefault="00C73A1B" w:rsidP="00CC479E">
      <w:pPr>
        <w:rPr>
          <w:rFonts w:ascii="Times New Roman" w:hAnsi="Times New Roman" w:cs="Times New Roman"/>
          <w:b/>
          <w:color w:val="0D0D0D" w:themeColor="text1" w:themeTint="F2"/>
          <w:sz w:val="22"/>
          <w:szCs w:val="22"/>
        </w:rPr>
      </w:pPr>
    </w:p>
    <w:p w14:paraId="3CDA3111" w14:textId="00718D28" w:rsidR="00B16789" w:rsidRPr="00506990" w:rsidRDefault="00B16789" w:rsidP="00B16789">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w:t>
      </w:r>
      <w:r w:rsidR="00CC080F">
        <w:rPr>
          <w:rFonts w:ascii="Times New Roman" w:hAnsi="Times New Roman" w:cs="Times New Roman"/>
          <w:color w:val="0D0D0D" w:themeColor="text1" w:themeTint="F2"/>
          <w:sz w:val="22"/>
          <w:szCs w:val="22"/>
        </w:rPr>
        <w:t>tables al 3</w:t>
      </w:r>
      <w:r w:rsidR="00721BC6">
        <w:rPr>
          <w:rFonts w:ascii="Times New Roman" w:hAnsi="Times New Roman" w:cs="Times New Roman"/>
          <w:color w:val="0D0D0D" w:themeColor="text1" w:themeTint="F2"/>
          <w:sz w:val="22"/>
          <w:szCs w:val="22"/>
        </w:rPr>
        <w:t>1</w:t>
      </w:r>
      <w:r w:rsidR="00CC080F">
        <w:rPr>
          <w:rFonts w:ascii="Times New Roman" w:hAnsi="Times New Roman" w:cs="Times New Roman"/>
          <w:color w:val="0D0D0D" w:themeColor="text1" w:themeTint="F2"/>
          <w:sz w:val="22"/>
          <w:szCs w:val="22"/>
        </w:rPr>
        <w:t>/05</w:t>
      </w:r>
      <w:r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w:t>
      </w:r>
      <w:r w:rsidR="007369A8">
        <w:rPr>
          <w:rFonts w:ascii="Times New Roman" w:hAnsi="Times New Roman" w:cs="Times New Roman"/>
          <w:color w:val="0D0D0D" w:themeColor="text1" w:themeTint="F2"/>
          <w:sz w:val="22"/>
          <w:szCs w:val="22"/>
        </w:rPr>
        <w:t>5</w:t>
      </w:r>
      <w:r w:rsidRPr="00506990">
        <w:rPr>
          <w:rFonts w:ascii="Times New Roman" w:hAnsi="Times New Roman" w:cs="Times New Roman"/>
          <w:color w:val="0D0D0D" w:themeColor="text1" w:themeTint="F2"/>
          <w:sz w:val="22"/>
          <w:szCs w:val="22"/>
        </w:rPr>
        <w:t>.</w:t>
      </w:r>
    </w:p>
    <w:p w14:paraId="0075A8D2" w14:textId="77777777" w:rsidR="00B16789" w:rsidRDefault="00B16789" w:rsidP="00C73A1B">
      <w:pPr>
        <w:rPr>
          <w:rFonts w:ascii="Times New Roman" w:hAnsi="Times New Roman" w:cs="Times New Roman"/>
          <w:color w:val="0D0D0D" w:themeColor="text1" w:themeTint="F2"/>
          <w:sz w:val="22"/>
          <w:szCs w:val="22"/>
        </w:rPr>
      </w:pPr>
    </w:p>
    <w:p w14:paraId="6BDF4413"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F43708E" w14:textId="77777777" w:rsidR="00C73A1B" w:rsidRPr="0098446E" w:rsidRDefault="00C73A1B" w:rsidP="00C73A1B">
      <w:pPr>
        <w:rPr>
          <w:rFonts w:ascii="Times New Roman" w:hAnsi="Times New Roman" w:cs="Times New Roman"/>
          <w:color w:val="0D0D0D" w:themeColor="text1" w:themeTint="F2"/>
          <w:sz w:val="22"/>
          <w:szCs w:val="22"/>
        </w:rPr>
      </w:pPr>
    </w:p>
    <w:p w14:paraId="0941E7E8"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Estructura Gerencial de primera línea:</w:t>
      </w:r>
    </w:p>
    <w:p w14:paraId="406A6D8C" w14:textId="77777777" w:rsidR="00C73A1B" w:rsidRPr="00841654" w:rsidRDefault="00C73A1B" w:rsidP="003A7495">
      <w:pPr>
        <w:pStyle w:val="Prrafodelista"/>
        <w:numPr>
          <w:ilvl w:val="0"/>
          <w:numId w:val="26"/>
        </w:numPr>
        <w:spacing w:after="200" w:line="276" w:lineRule="auto"/>
        <w:jc w:val="both"/>
        <w:rPr>
          <w:color w:val="0D0D0D" w:themeColor="text1" w:themeTint="F2"/>
          <w:sz w:val="22"/>
          <w:szCs w:val="22"/>
          <w:lang w:val="pt-BR"/>
        </w:rPr>
      </w:pPr>
      <w:r w:rsidRPr="00841654">
        <w:rPr>
          <w:b/>
          <w:color w:val="0D0D0D" w:themeColor="text1" w:themeTint="F2"/>
          <w:sz w:val="22"/>
          <w:szCs w:val="22"/>
          <w:lang w:val="pt-BR"/>
        </w:rPr>
        <w:t>Gerencia Comercial</w:t>
      </w:r>
      <w:r w:rsidRPr="00841654">
        <w:rPr>
          <w:color w:val="0D0D0D" w:themeColor="text1" w:themeTint="F2"/>
          <w:sz w:val="22"/>
          <w:szCs w:val="22"/>
          <w:lang w:val="pt-BR"/>
        </w:rPr>
        <w:t>: Santi, Daniel Alejandro.</w:t>
      </w:r>
    </w:p>
    <w:p w14:paraId="4DF96B86" w14:textId="77777777" w:rsidR="00C73A1B" w:rsidRPr="00506990" w:rsidRDefault="00C73A1B" w:rsidP="003A7495">
      <w:pPr>
        <w:pStyle w:val="Prrafodelista"/>
        <w:numPr>
          <w:ilvl w:val="0"/>
          <w:numId w:val="26"/>
        </w:numPr>
        <w:spacing w:after="200" w:line="276" w:lineRule="auto"/>
        <w:jc w:val="both"/>
        <w:rPr>
          <w:color w:val="0D0D0D" w:themeColor="text1" w:themeTint="F2"/>
          <w:sz w:val="22"/>
          <w:szCs w:val="22"/>
        </w:rPr>
      </w:pPr>
      <w:r w:rsidRPr="00506990">
        <w:rPr>
          <w:b/>
          <w:color w:val="0D0D0D" w:themeColor="text1" w:themeTint="F2"/>
          <w:sz w:val="22"/>
          <w:szCs w:val="22"/>
        </w:rPr>
        <w:t>Gerencia de Administración y Finanzas</w:t>
      </w:r>
      <w:r w:rsidRPr="00506990">
        <w:rPr>
          <w:color w:val="0D0D0D" w:themeColor="text1" w:themeTint="F2"/>
          <w:sz w:val="22"/>
          <w:szCs w:val="22"/>
        </w:rPr>
        <w:t>: Santi, Esteban Marcelo.</w:t>
      </w:r>
    </w:p>
    <w:p w14:paraId="4331CB00" w14:textId="7FED1397" w:rsidR="00BC36C5" w:rsidRPr="00AC5521" w:rsidRDefault="00C73A1B" w:rsidP="00AC5521">
      <w:pPr>
        <w:pStyle w:val="Prrafodelista"/>
        <w:numPr>
          <w:ilvl w:val="0"/>
          <w:numId w:val="26"/>
        </w:numPr>
        <w:spacing w:after="200" w:line="276" w:lineRule="auto"/>
        <w:jc w:val="both"/>
        <w:rPr>
          <w:color w:val="0D0D0D" w:themeColor="text1" w:themeTint="F2"/>
          <w:sz w:val="22"/>
          <w:szCs w:val="22"/>
        </w:rPr>
      </w:pPr>
      <w:r w:rsidRPr="003B23F1">
        <w:rPr>
          <w:b/>
          <w:color w:val="0D0D0D" w:themeColor="text1" w:themeTint="F2"/>
          <w:sz w:val="22"/>
          <w:szCs w:val="22"/>
        </w:rPr>
        <w:t>Gerencia de RRHH, Créditos y Cobranzas</w:t>
      </w:r>
      <w:r w:rsidRPr="003B23F1">
        <w:rPr>
          <w:color w:val="0D0D0D" w:themeColor="text1" w:themeTint="F2"/>
          <w:sz w:val="22"/>
          <w:szCs w:val="22"/>
        </w:rPr>
        <w:t>: Fregona, José Omar</w:t>
      </w:r>
      <w:r w:rsidR="00BC36C5" w:rsidRPr="009E2D48">
        <w:rPr>
          <w:color w:val="0D0D0D" w:themeColor="text1" w:themeTint="F2"/>
          <w:sz w:val="22"/>
          <w:szCs w:val="22"/>
        </w:rPr>
        <w:t>.</w:t>
      </w:r>
    </w:p>
    <w:p w14:paraId="28A42238" w14:textId="77777777" w:rsidR="00CC479E" w:rsidRPr="00506990" w:rsidRDefault="00CC479E" w:rsidP="00CC479E">
      <w:pPr>
        <w:rPr>
          <w:rFonts w:ascii="Times New Roman" w:hAnsi="Times New Roman" w:cs="Times New Roman"/>
          <w:b/>
          <w:color w:val="0D0D0D" w:themeColor="text1" w:themeTint="F2"/>
          <w:sz w:val="22"/>
          <w:szCs w:val="22"/>
        </w:rPr>
      </w:pPr>
    </w:p>
    <w:p w14:paraId="3BC17D22" w14:textId="77777777" w:rsidR="00CC479E" w:rsidRPr="00506990" w:rsidRDefault="00CC479E" w:rsidP="00CC479E">
      <w:pPr>
        <w:shd w:val="clear" w:color="auto" w:fill="D9D9D9"/>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RESEÑA HISTÓRICA</w:t>
      </w:r>
    </w:p>
    <w:p w14:paraId="08EA6370"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22F56A40"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Inició sus actividades en el año 1987, al advertirse la posibilidad de atender la demanda de financiación de un importante segmento del mercado. En ese momento se comenzó únicamente con la financiación de productos para Bazar Avenida SA.</w:t>
      </w:r>
    </w:p>
    <w:p w14:paraId="3BF9D352"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7A2CC1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la década del ’90, la operatoria se extiende al comercio en general con préstamos de consumo y desde el año 1995 con la Tarjeta Consumo Express, luego Confina.</w:t>
      </w:r>
    </w:p>
    <w:p w14:paraId="2216034B"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41891D27"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En 1995 se abre la Casa Central, llegando a incorporarse 23 sucursales propias en varias localidades del interior del país.</w:t>
      </w:r>
    </w:p>
    <w:p w14:paraId="443030E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7D07E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En el año 2001, la situación macroeconómica del país llevó a la empresa a una reorganización gradual de sus actividades, a fin de adaptarse al nuevo contexto, procediendo a cerrarse casi la totalidad de las sucursales (excepto en la ciudad de Rafaela), y a la suspensión temporaria de las operaciones financieras.</w:t>
      </w:r>
    </w:p>
    <w:p w14:paraId="649F843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69FA744"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ese momento, el desarrollo de sucursales se realizó aprovechando la experiencia que acumulara en esos lugares Bazar Avenida, contando así con una importante base de clientes para comenzar a accionar.</w:t>
      </w:r>
    </w:p>
    <w:p w14:paraId="45E0B68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8C6C57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Confina se orienta fundamentalmente al denominado segmento C1 / C2, personas en relación de dependencia y sin acceso a la atención bancaria.</w:t>
      </w:r>
    </w:p>
    <w:p w14:paraId="5C931696"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11D671F4"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La empresa utiliza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simplificándose el proceso de otorgamiento el crédito, sin resignar calidad en la cartera.</w:t>
      </w:r>
    </w:p>
    <w:p w14:paraId="6ADE61F9"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70618078"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“EXPTE. N°2068- AÑO: 2.009- CON</w:t>
      </w:r>
      <w:r w:rsidR="00C37D1F" w:rsidRPr="00506990">
        <w:rPr>
          <w:rFonts w:ascii="Times New Roman" w:hAnsi="Times New Roman" w:cs="Times New Roman"/>
          <w:color w:val="0D0D0D" w:themeColor="text1" w:themeTint="F2"/>
          <w:sz w:val="22"/>
          <w:szCs w:val="22"/>
          <w:lang w:val="es-AR"/>
        </w:rPr>
        <w:t>SU</w:t>
      </w:r>
      <w:r w:rsidRPr="0098446E">
        <w:rPr>
          <w:rFonts w:ascii="Times New Roman" w:hAnsi="Times New Roman" w:cs="Times New Roman"/>
          <w:color w:val="0D0D0D" w:themeColor="text1" w:themeTint="F2"/>
          <w:sz w:val="22"/>
          <w:szCs w:val="22"/>
          <w:lang w:val="es-AR"/>
        </w:rPr>
        <w:t>MO S.A S/ CONCURSO PREVENTIVO”.</w:t>
      </w:r>
    </w:p>
    <w:p w14:paraId="678A74E7" w14:textId="77777777" w:rsidR="00CC479E" w:rsidRPr="00902490" w:rsidRDefault="00CC479E" w:rsidP="00CC479E">
      <w:pPr>
        <w:rPr>
          <w:rFonts w:ascii="Times New Roman" w:hAnsi="Times New Roman"/>
          <w:color w:val="0D0D0D" w:themeColor="text1" w:themeTint="F2"/>
          <w:sz w:val="22"/>
        </w:rPr>
      </w:pPr>
    </w:p>
    <w:p w14:paraId="6420A7DB" w14:textId="1828818A" w:rsidR="008650DB" w:rsidRPr="009B2245" w:rsidRDefault="008650DB" w:rsidP="008650DB">
      <w:pPr>
        <w:rPr>
          <w:rFonts w:ascii="Times New Roman" w:hAnsi="Times New Roman" w:cs="Times New Roman"/>
          <w:bCs/>
          <w:color w:val="0D0D0D" w:themeColor="text1" w:themeTint="F2"/>
          <w:sz w:val="22"/>
          <w:szCs w:val="22"/>
          <w:u w:val="single"/>
        </w:rPr>
      </w:pPr>
      <w:r w:rsidRPr="00B345DD">
        <w:rPr>
          <w:rFonts w:ascii="Times New Roman" w:hAnsi="Times New Roman" w:cs="Times New Roman"/>
          <w:color w:val="0D0D0D" w:themeColor="text1" w:themeTint="F2"/>
          <w:sz w:val="22"/>
          <w:szCs w:val="22"/>
          <w:lang w:val="es-AR"/>
        </w:rPr>
        <w:t>El acuerdo concursal fue homologado mediante resolución N° 550 del 26/08/2013, resolución integradora de la anterio</w:t>
      </w:r>
      <w:r w:rsidRPr="00CD12CA">
        <w:rPr>
          <w:rFonts w:ascii="Times New Roman" w:hAnsi="Times New Roman" w:cs="Times New Roman"/>
          <w:color w:val="0D0D0D" w:themeColor="text1" w:themeTint="F2"/>
          <w:sz w:val="22"/>
          <w:szCs w:val="22"/>
          <w:lang w:val="es-AR"/>
        </w:rPr>
        <w:t xml:space="preserve">r N°276 de fecha 13/05/2013. Consumo inició los pagos en octubre de 2013, con perfecto cumplimiento de los </w:t>
      </w:r>
      <w:r w:rsidRPr="009B2245">
        <w:rPr>
          <w:rFonts w:ascii="Times New Roman" w:hAnsi="Times New Roman" w:cs="Times New Roman"/>
          <w:color w:val="0D0D0D" w:themeColor="text1" w:themeTint="F2"/>
          <w:sz w:val="22"/>
          <w:szCs w:val="22"/>
          <w:lang w:val="es-AR"/>
        </w:rPr>
        <w:t xml:space="preserve">compromisos asumidos. </w:t>
      </w:r>
      <w:r w:rsidRPr="0012378C">
        <w:rPr>
          <w:rFonts w:ascii="Times New Roman" w:hAnsi="Times New Roman" w:cs="Times New Roman"/>
          <w:color w:val="0D0D0D" w:themeColor="text1" w:themeTint="F2"/>
          <w:sz w:val="22"/>
          <w:szCs w:val="22"/>
          <w:lang w:val="es-AR"/>
        </w:rPr>
        <w:t xml:space="preserve">Al </w:t>
      </w:r>
      <w:r w:rsidR="009A7FE7">
        <w:rPr>
          <w:rFonts w:ascii="Times New Roman" w:hAnsi="Times New Roman" w:cs="Times New Roman"/>
          <w:color w:val="0D0D0D" w:themeColor="text1" w:themeTint="F2"/>
          <w:sz w:val="22"/>
          <w:szCs w:val="22"/>
          <w:lang w:val="es-AR"/>
        </w:rPr>
        <w:t>3</w:t>
      </w:r>
      <w:r w:rsidR="00296CFC">
        <w:rPr>
          <w:rFonts w:ascii="Times New Roman" w:hAnsi="Times New Roman" w:cs="Times New Roman"/>
          <w:color w:val="0D0D0D" w:themeColor="text1" w:themeTint="F2"/>
          <w:sz w:val="22"/>
          <w:szCs w:val="22"/>
          <w:lang w:val="es-AR"/>
        </w:rPr>
        <w:t>0</w:t>
      </w:r>
      <w:r w:rsidR="009A7FE7">
        <w:rPr>
          <w:rFonts w:ascii="Times New Roman" w:hAnsi="Times New Roman" w:cs="Times New Roman"/>
          <w:color w:val="0D0D0D" w:themeColor="text1" w:themeTint="F2"/>
          <w:sz w:val="22"/>
          <w:szCs w:val="22"/>
          <w:lang w:val="es-AR"/>
        </w:rPr>
        <w:t>/0</w:t>
      </w:r>
      <w:r w:rsidR="00296CFC">
        <w:rPr>
          <w:rFonts w:ascii="Times New Roman" w:hAnsi="Times New Roman" w:cs="Times New Roman"/>
          <w:color w:val="0D0D0D" w:themeColor="text1" w:themeTint="F2"/>
          <w:sz w:val="22"/>
          <w:szCs w:val="22"/>
          <w:lang w:val="es-AR"/>
        </w:rPr>
        <w:t>9</w:t>
      </w:r>
      <w:r w:rsidRPr="0012378C">
        <w:rPr>
          <w:rFonts w:ascii="Times New Roman" w:hAnsi="Times New Roman" w:cs="Times New Roman"/>
          <w:color w:val="0D0D0D" w:themeColor="text1" w:themeTint="F2"/>
          <w:sz w:val="22"/>
          <w:szCs w:val="22"/>
          <w:lang w:val="es-AR"/>
        </w:rPr>
        <w:t>/202</w:t>
      </w:r>
      <w:r w:rsidR="00285F79">
        <w:rPr>
          <w:rFonts w:ascii="Times New Roman" w:hAnsi="Times New Roman" w:cs="Times New Roman"/>
          <w:color w:val="0D0D0D" w:themeColor="text1" w:themeTint="F2"/>
          <w:sz w:val="22"/>
          <w:szCs w:val="22"/>
          <w:lang w:val="es-AR"/>
        </w:rPr>
        <w:t>3</w:t>
      </w:r>
      <w:r w:rsidRPr="0012378C">
        <w:rPr>
          <w:rFonts w:ascii="Times New Roman" w:hAnsi="Times New Roman" w:cs="Times New Roman"/>
          <w:color w:val="0D0D0D" w:themeColor="text1" w:themeTint="F2"/>
          <w:sz w:val="22"/>
          <w:szCs w:val="22"/>
          <w:lang w:val="es-AR"/>
        </w:rPr>
        <w:t xml:space="preserve"> el monto de capital pendiente de cancelación </w:t>
      </w:r>
      <w:r w:rsidRPr="000A535A">
        <w:rPr>
          <w:rFonts w:ascii="Times New Roman" w:hAnsi="Times New Roman" w:cs="Times New Roman"/>
          <w:color w:val="0D0D0D" w:themeColor="text1" w:themeTint="F2"/>
          <w:sz w:val="22"/>
          <w:szCs w:val="22"/>
          <w:lang w:val="es-AR"/>
        </w:rPr>
        <w:t>asciende a $</w:t>
      </w:r>
      <w:r w:rsidR="00FF1ED8">
        <w:rPr>
          <w:rFonts w:ascii="Times New Roman" w:hAnsi="Times New Roman" w:cs="Times New Roman"/>
          <w:color w:val="0D0D0D" w:themeColor="text1" w:themeTint="F2"/>
          <w:sz w:val="22"/>
          <w:szCs w:val="22"/>
          <w:lang w:val="es-AR"/>
        </w:rPr>
        <w:t>3.080.522</w:t>
      </w:r>
      <w:r w:rsidRPr="0012378C">
        <w:rPr>
          <w:rFonts w:ascii="Times New Roman" w:hAnsi="Times New Roman" w:cs="Times New Roman"/>
          <w:color w:val="0D0D0D" w:themeColor="text1" w:themeTint="F2"/>
          <w:sz w:val="22"/>
          <w:szCs w:val="22"/>
          <w:lang w:val="es-AR"/>
        </w:rPr>
        <w:t>.</w:t>
      </w:r>
    </w:p>
    <w:p w14:paraId="54C92334" w14:textId="77777777" w:rsidR="00DF2624" w:rsidRPr="009B2245" w:rsidRDefault="00DF2624" w:rsidP="00CC479E">
      <w:pPr>
        <w:rPr>
          <w:rFonts w:ascii="Times New Roman" w:hAnsi="Times New Roman" w:cs="Times New Roman"/>
          <w:b/>
          <w:color w:val="0D0D0D" w:themeColor="text1" w:themeTint="F2"/>
          <w:sz w:val="22"/>
          <w:szCs w:val="22"/>
          <w:lang w:val="es-AR"/>
        </w:rPr>
      </w:pPr>
    </w:p>
    <w:p w14:paraId="521C2EEE" w14:textId="0CE0984D" w:rsidR="008650DB" w:rsidRPr="008B3986" w:rsidRDefault="008650DB" w:rsidP="008650DB">
      <w:pPr>
        <w:rPr>
          <w:rFonts w:ascii="Times New Roman" w:hAnsi="Times New Roman"/>
          <w:color w:val="0D0D0D" w:themeColor="text1" w:themeTint="F2"/>
          <w:sz w:val="22"/>
          <w:u w:val="single"/>
        </w:rPr>
      </w:pPr>
      <w:r w:rsidRPr="0012378C">
        <w:rPr>
          <w:rFonts w:ascii="Times New Roman" w:hAnsi="Times New Roman" w:cs="Times New Roman"/>
          <w:b/>
          <w:bCs/>
          <w:color w:val="0D0D0D" w:themeColor="text1" w:themeTint="F2"/>
          <w:sz w:val="22"/>
          <w:szCs w:val="22"/>
          <w:u w:val="single"/>
        </w:rPr>
        <w:t xml:space="preserve">Detalle del Estado de la Deuda Concursal al </w:t>
      </w:r>
      <w:r w:rsidR="00FB5F81">
        <w:rPr>
          <w:rFonts w:ascii="Times New Roman" w:hAnsi="Times New Roman" w:cs="Times New Roman"/>
          <w:b/>
          <w:bCs/>
          <w:color w:val="0D0D0D" w:themeColor="text1" w:themeTint="F2"/>
          <w:sz w:val="22"/>
          <w:szCs w:val="22"/>
          <w:u w:val="single"/>
        </w:rPr>
        <w:t>3</w:t>
      </w:r>
      <w:r w:rsidR="00296CFC">
        <w:rPr>
          <w:rFonts w:ascii="Times New Roman" w:hAnsi="Times New Roman" w:cs="Times New Roman"/>
          <w:b/>
          <w:bCs/>
          <w:color w:val="0D0D0D" w:themeColor="text1" w:themeTint="F2"/>
          <w:sz w:val="22"/>
          <w:szCs w:val="22"/>
          <w:u w:val="single"/>
        </w:rPr>
        <w:t>0</w:t>
      </w:r>
      <w:r w:rsidR="009A7FE7">
        <w:rPr>
          <w:rFonts w:ascii="Times New Roman" w:hAnsi="Times New Roman" w:cs="Times New Roman"/>
          <w:b/>
          <w:bCs/>
          <w:color w:val="0D0D0D" w:themeColor="text1" w:themeTint="F2"/>
          <w:sz w:val="22"/>
          <w:szCs w:val="22"/>
          <w:u w:val="single"/>
        </w:rPr>
        <w:t>/</w:t>
      </w:r>
      <w:r w:rsidR="00FB5F81">
        <w:rPr>
          <w:rFonts w:ascii="Times New Roman" w:hAnsi="Times New Roman" w:cs="Times New Roman"/>
          <w:b/>
          <w:bCs/>
          <w:color w:val="0D0D0D" w:themeColor="text1" w:themeTint="F2"/>
          <w:sz w:val="22"/>
          <w:szCs w:val="22"/>
          <w:u w:val="single"/>
        </w:rPr>
        <w:t>0</w:t>
      </w:r>
      <w:r w:rsidR="00296CFC">
        <w:rPr>
          <w:rFonts w:ascii="Times New Roman" w:hAnsi="Times New Roman" w:cs="Times New Roman"/>
          <w:b/>
          <w:bCs/>
          <w:color w:val="0D0D0D" w:themeColor="text1" w:themeTint="F2"/>
          <w:sz w:val="22"/>
          <w:szCs w:val="22"/>
          <w:u w:val="single"/>
        </w:rPr>
        <w:t>9</w:t>
      </w:r>
      <w:r w:rsidRPr="0012378C">
        <w:rPr>
          <w:rFonts w:ascii="Times New Roman" w:hAnsi="Times New Roman" w:cs="Times New Roman"/>
          <w:b/>
          <w:bCs/>
          <w:color w:val="0D0D0D" w:themeColor="text1" w:themeTint="F2"/>
          <w:sz w:val="22"/>
          <w:szCs w:val="22"/>
          <w:u w:val="single"/>
        </w:rPr>
        <w:t>/202</w:t>
      </w:r>
      <w:r w:rsidR="00285F79">
        <w:rPr>
          <w:rFonts w:ascii="Times New Roman" w:hAnsi="Times New Roman" w:cs="Times New Roman"/>
          <w:b/>
          <w:bCs/>
          <w:color w:val="0D0D0D" w:themeColor="text1" w:themeTint="F2"/>
          <w:sz w:val="22"/>
          <w:szCs w:val="22"/>
          <w:u w:val="single"/>
        </w:rPr>
        <w:t>3</w:t>
      </w:r>
    </w:p>
    <w:p w14:paraId="2FFCF9F9" w14:textId="77777777" w:rsidR="00C16FCF" w:rsidRDefault="00C16FCF" w:rsidP="00CC479E">
      <w:pPr>
        <w:rPr>
          <w:rFonts w:ascii="Times New Roman" w:hAnsi="Times New Roman" w:cs="Times New Roman"/>
          <w:bCs/>
          <w:color w:val="0D0D0D" w:themeColor="text1" w:themeTint="F2"/>
          <w:sz w:val="22"/>
          <w:szCs w:val="22"/>
          <w:u w:val="single"/>
        </w:rPr>
      </w:pPr>
    </w:p>
    <w:p w14:paraId="23167472" w14:textId="6B29C3AE" w:rsidR="00692B8E" w:rsidRPr="0098446E" w:rsidRDefault="003B265D" w:rsidP="00E4104F">
      <w:pPr>
        <w:jc w:val="center"/>
        <w:rPr>
          <w:rFonts w:ascii="Times New Roman" w:hAnsi="Times New Roman" w:cs="Times New Roman"/>
          <w:bCs/>
          <w:color w:val="0D0D0D" w:themeColor="text1" w:themeTint="F2"/>
          <w:sz w:val="22"/>
          <w:szCs w:val="22"/>
          <w:u w:val="single"/>
        </w:rPr>
      </w:pPr>
      <w:r w:rsidRPr="003B265D">
        <w:rPr>
          <w:noProof/>
          <w:lang w:val="es-AR" w:eastAsia="es-AR"/>
        </w:rPr>
        <w:t xml:space="preserve"> </w:t>
      </w:r>
      <w:r w:rsidR="00FF2095" w:rsidRPr="00FF2095">
        <w:rPr>
          <w:noProof/>
          <w:lang w:val="es-AR" w:eastAsia="es-AR"/>
        </w:rPr>
        <w:t xml:space="preserve"> </w:t>
      </w:r>
      <w:r w:rsidR="0058758F" w:rsidRPr="0058758F">
        <w:rPr>
          <w:noProof/>
          <w:lang w:val="es-AR" w:eastAsia="es-AR"/>
        </w:rPr>
        <w:t xml:space="preserve"> </w:t>
      </w:r>
      <w:r w:rsidR="00296CFC">
        <w:rPr>
          <w:noProof/>
          <w:lang w:val="es-AR" w:eastAsia="es-AR"/>
        </w:rPr>
        <w:drawing>
          <wp:inline distT="0" distB="0" distL="0" distR="0" wp14:anchorId="2447435D" wp14:editId="5CF0075F">
            <wp:extent cx="4845050" cy="3098800"/>
            <wp:effectExtent l="0" t="0" r="0" b="6350"/>
            <wp:docPr id="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5050" cy="3098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BA0C3E" w:rsidRPr="00BA0C3E">
        <w:rPr>
          <w:noProof/>
          <w:lang w:val="es-AR" w:eastAsia="es-AR"/>
        </w:rPr>
        <w:t xml:space="preserve"> </w:t>
      </w:r>
      <w:r w:rsidR="00394473" w:rsidRPr="00394473">
        <w:rPr>
          <w:noProof/>
          <w:lang w:val="es-AR" w:eastAsia="es-AR"/>
        </w:rPr>
        <w:t xml:space="preserve"> </w:t>
      </w:r>
    </w:p>
    <w:p w14:paraId="0FB50B50" w14:textId="77777777" w:rsidR="00587AB9" w:rsidRPr="0098446E" w:rsidRDefault="00587AB9" w:rsidP="00CC479E">
      <w:pPr>
        <w:rPr>
          <w:rFonts w:ascii="Times New Roman" w:hAnsi="Times New Roman" w:cs="Times New Roman"/>
          <w:bCs/>
          <w:color w:val="0D0D0D" w:themeColor="text1" w:themeTint="F2"/>
          <w:sz w:val="22"/>
          <w:szCs w:val="22"/>
          <w:u w:val="single"/>
          <w:lang w:val="es-AR"/>
        </w:rPr>
      </w:pPr>
    </w:p>
    <w:p w14:paraId="0B8F43A2" w14:textId="5D40F113" w:rsidR="00A15D72" w:rsidRPr="0098446E" w:rsidRDefault="00CC479E" w:rsidP="00E41509">
      <w:pPr>
        <w:rPr>
          <w:rFonts w:ascii="Times New Roman" w:hAnsi="Times New Roman" w:cs="Times New Roman"/>
          <w:color w:val="0D0D0D" w:themeColor="text1" w:themeTint="F2"/>
          <w:sz w:val="22"/>
          <w:szCs w:val="22"/>
          <w:lang w:val="es-AR"/>
        </w:rPr>
      </w:pPr>
      <w:r w:rsidRPr="0098446E">
        <w:rPr>
          <w:rFonts w:ascii="Times New Roman" w:hAnsi="Times New Roman" w:cs="Times New Roman"/>
          <w:bCs/>
          <w:color w:val="0D0D0D" w:themeColor="text1" w:themeTint="F2"/>
          <w:sz w:val="22"/>
          <w:szCs w:val="22"/>
        </w:rPr>
        <w:t>Luego de reorganizar sus operaciones, la empresa experimenta un proceso de consolidación comercial y patrimonial</w:t>
      </w:r>
      <w:r w:rsidR="00E41509">
        <w:rPr>
          <w:rFonts w:ascii="Times New Roman" w:hAnsi="Times New Roman" w:cs="Times New Roman"/>
          <w:bCs/>
          <w:color w:val="0D0D0D" w:themeColor="text1" w:themeTint="F2"/>
          <w:sz w:val="22"/>
          <w:szCs w:val="22"/>
        </w:rPr>
        <w:t>.</w:t>
      </w:r>
    </w:p>
    <w:p w14:paraId="12224DF5"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49157B02" w14:textId="77777777" w:rsidR="00CC479E" w:rsidRPr="0098446E" w:rsidRDefault="00CC479E" w:rsidP="00E4104F">
      <w:pPr>
        <w:shd w:val="clear" w:color="auto" w:fill="D9D9D9"/>
        <w:spacing w:after="240"/>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t xml:space="preserve">CONSUMO S.A. - </w:t>
      </w:r>
      <w:r w:rsidRPr="0098446E">
        <w:rPr>
          <w:rFonts w:ascii="Times New Roman" w:hAnsi="Times New Roman" w:cs="Times New Roman"/>
          <w:b/>
          <w:color w:val="0D0D0D" w:themeColor="text1" w:themeTint="F2"/>
          <w:sz w:val="22"/>
          <w:szCs w:val="22"/>
        </w:rPr>
        <w:t>EL NEGOCIO EN LA ACTUALIDAD</w:t>
      </w:r>
    </w:p>
    <w:p w14:paraId="1EAAAF95" w14:textId="77777777" w:rsidR="009564B0" w:rsidRPr="0058758F" w:rsidRDefault="009564B0" w:rsidP="009564B0">
      <w:pPr>
        <w:spacing w:before="100" w:beforeAutospacing="1" w:after="200"/>
        <w:rPr>
          <w:rFonts w:ascii="Times New Roman" w:eastAsia="Times New Roman" w:hAnsi="Times New Roman" w:cs="Times New Roman"/>
          <w:sz w:val="24"/>
          <w:szCs w:val="24"/>
          <w:lang w:val="es-AR" w:eastAsia="es-AR"/>
        </w:rPr>
      </w:pPr>
      <w:r w:rsidRPr="0058758F">
        <w:rPr>
          <w:rFonts w:ascii="Times New Roman" w:eastAsia="Times New Roman" w:hAnsi="Times New Roman" w:cs="Times New Roman"/>
          <w:color w:val="0D0D0D"/>
          <w:sz w:val="22"/>
          <w:szCs w:val="22"/>
          <w:lang w:val="es-AR" w:eastAsia="es-AR"/>
        </w:rPr>
        <w:t xml:space="preserve">Con Casa Central en la ciudad de Rafaela, Consumo S.A. desarrolla actualmente su actividad a través de </w:t>
      </w:r>
      <w:r>
        <w:rPr>
          <w:rFonts w:ascii="Times New Roman" w:eastAsia="Times New Roman" w:hAnsi="Times New Roman" w:cs="Times New Roman"/>
          <w:color w:val="0D0D0D"/>
          <w:sz w:val="22"/>
          <w:szCs w:val="22"/>
          <w:lang w:val="es-AR" w:eastAsia="es-AR"/>
        </w:rPr>
        <w:t>3</w:t>
      </w:r>
      <w:r w:rsidRPr="00C57689">
        <w:rPr>
          <w:rFonts w:ascii="Times New Roman" w:eastAsia="Times New Roman" w:hAnsi="Times New Roman" w:cs="Times New Roman"/>
          <w:color w:val="0D0D0D"/>
          <w:sz w:val="22"/>
          <w:szCs w:val="22"/>
          <w:lang w:val="es-AR" w:eastAsia="es-AR"/>
        </w:rPr>
        <w:t xml:space="preserve"> sucursales</w:t>
      </w:r>
      <w:r w:rsidRPr="0058758F">
        <w:rPr>
          <w:rFonts w:ascii="Times New Roman" w:eastAsia="Times New Roman" w:hAnsi="Times New Roman" w:cs="Times New Roman"/>
          <w:color w:val="0D0D0D"/>
          <w:sz w:val="22"/>
          <w:szCs w:val="22"/>
          <w:lang w:val="es-AR" w:eastAsia="es-AR"/>
        </w:rPr>
        <w:t xml:space="preserve"> exclusivas ubicadas en Catamarca y La Rioja. Centra su operatoria en préstamos personales y préstamos de consumo.</w:t>
      </w:r>
    </w:p>
    <w:p w14:paraId="151EB009" w14:textId="77777777" w:rsidR="009564B0" w:rsidRPr="00862941" w:rsidRDefault="009564B0" w:rsidP="009564B0">
      <w:pPr>
        <w:rPr>
          <w:rFonts w:ascii="Times New Roman" w:eastAsia="Times New Roman" w:hAnsi="Times New Roman" w:cs="Times New Roman"/>
          <w:sz w:val="22"/>
          <w:szCs w:val="22"/>
          <w:lang w:val="es-AR" w:eastAsia="es-AR"/>
        </w:rPr>
      </w:pPr>
      <w:r w:rsidRPr="00862941">
        <w:rPr>
          <w:rFonts w:ascii="Times New Roman" w:eastAsia="Times New Roman" w:hAnsi="Times New Roman" w:cs="Times New Roman"/>
          <w:sz w:val="22"/>
          <w:szCs w:val="22"/>
          <w:lang w:val="es-AR" w:eastAsia="es-AR"/>
        </w:rPr>
        <w:t xml:space="preserve">Durante el ejercicio 2021/2022, se realizaron más de </w:t>
      </w:r>
      <w:r>
        <w:rPr>
          <w:rFonts w:ascii="Times New Roman" w:eastAsia="Times New Roman" w:hAnsi="Times New Roman" w:cs="Times New Roman"/>
          <w:sz w:val="22"/>
          <w:szCs w:val="22"/>
          <w:lang w:val="es-AR" w:eastAsia="es-AR"/>
        </w:rPr>
        <w:t>17</w:t>
      </w:r>
      <w:r w:rsidRPr="00862941">
        <w:rPr>
          <w:rFonts w:ascii="Times New Roman" w:eastAsia="Times New Roman" w:hAnsi="Times New Roman" w:cs="Times New Roman"/>
          <w:sz w:val="22"/>
          <w:szCs w:val="22"/>
          <w:lang w:val="es-AR" w:eastAsia="es-AR"/>
        </w:rPr>
        <w:t xml:space="preserve">00 operaciones de otorgamiento de crédito mediante bocas exclusivas. </w:t>
      </w:r>
      <w:r w:rsidRPr="00883FCC">
        <w:rPr>
          <w:rFonts w:ascii="Times New Roman" w:hAnsi="Times New Roman"/>
          <w:sz w:val="22"/>
          <w:lang w:val="es-AR"/>
        </w:rPr>
        <w:t>Para la gestión operativa Consumo cuenta adicionalmente con los servicios de la empresa Avenida A.C.E</w:t>
      </w:r>
      <w:r w:rsidRPr="00862941">
        <w:rPr>
          <w:rFonts w:ascii="Times New Roman" w:eastAsia="Times New Roman" w:hAnsi="Times New Roman" w:cs="Times New Roman"/>
          <w:sz w:val="22"/>
          <w:szCs w:val="22"/>
          <w:lang w:val="es-AR" w:eastAsia="es-AR"/>
        </w:rPr>
        <w:t>.</w:t>
      </w:r>
    </w:p>
    <w:p w14:paraId="3BF92CFB" w14:textId="77777777" w:rsidR="00CA5DC2" w:rsidRPr="0098446E" w:rsidRDefault="00CA5DC2" w:rsidP="00CC479E">
      <w:pPr>
        <w:rPr>
          <w:rFonts w:ascii="Times New Roman" w:hAnsi="Times New Roman" w:cs="Times New Roman"/>
          <w:bCs/>
          <w:color w:val="0D0D0D" w:themeColor="text1" w:themeTint="F2"/>
          <w:sz w:val="22"/>
          <w:szCs w:val="22"/>
          <w:lang w:val="es-AR"/>
        </w:rPr>
      </w:pPr>
    </w:p>
    <w:p w14:paraId="613F727F"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Avenida A.C.E.: tiene como objetivo la Administración de las empresas del grupo. Es una agrupación de colaboración empresaria dedicada a brindar asesoramiento corporativo integral en diversas áreas de trabajo: marketing y comunicación, recursos humanos, administración e impuestos, auditoría, etc. Consumo S.A. no delega en Avenida A.C.E la administración y cobranza de los Créditos que genera por su actividad comercial.</w:t>
      </w:r>
    </w:p>
    <w:p w14:paraId="362B87AF" w14:textId="77777777" w:rsidR="00842E09" w:rsidRDefault="00842E09" w:rsidP="00CC479E">
      <w:pPr>
        <w:rPr>
          <w:rFonts w:ascii="Times New Roman" w:hAnsi="Times New Roman" w:cs="Times New Roman"/>
          <w:bCs/>
          <w:color w:val="0D0D0D" w:themeColor="text1" w:themeTint="F2"/>
          <w:sz w:val="22"/>
          <w:szCs w:val="22"/>
          <w:lang w:val="es-AR"/>
        </w:rPr>
      </w:pPr>
    </w:p>
    <w:p w14:paraId="5A185FC1"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Nacida para dar soporte a las restantes empresas del Grupo, está preparada para asistirlas con profesionales altamente capacitados y en constante formación.</w:t>
      </w:r>
    </w:p>
    <w:p w14:paraId="3F01102D" w14:textId="77777777" w:rsidR="00842E09" w:rsidRDefault="00842E09" w:rsidP="00CC479E">
      <w:pPr>
        <w:rPr>
          <w:rFonts w:ascii="Times New Roman" w:hAnsi="Times New Roman" w:cs="Times New Roman"/>
          <w:bCs/>
          <w:color w:val="0D0D0D" w:themeColor="text1" w:themeTint="F2"/>
          <w:sz w:val="22"/>
          <w:szCs w:val="22"/>
          <w:lang w:val="es-AR"/>
        </w:rPr>
      </w:pPr>
    </w:p>
    <w:p w14:paraId="741E6559"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El contrato de colaboración empresaria es de fecha 01/12/2001, inscripto en el Registro Público el 29/04/2002 bajo el N° 19, a folios 17, 18, 19 y 20 del Libro I de Agrupación de Colaboración.</w:t>
      </w:r>
    </w:p>
    <w:p w14:paraId="4D22F94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Los participantes que surgen de la última modificación al contrato según acta del 17/07/2015 son: Bazar Avenida SA, Consumo SA, Tinsa SA, Total Support SA y Logme S.A.</w:t>
      </w:r>
    </w:p>
    <w:p w14:paraId="51C2BD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36DCE5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534D4CA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7820CA3" w14:textId="77777777" w:rsidR="00CC479E" w:rsidRPr="0098446E" w:rsidRDefault="00CC479E" w:rsidP="00CC479E">
      <w:pPr>
        <w:shd w:val="clear" w:color="auto" w:fill="D9D9D9"/>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t xml:space="preserve">CONSUMO S.A. - </w:t>
      </w:r>
      <w:r w:rsidRPr="0098446E">
        <w:rPr>
          <w:rFonts w:ascii="Times New Roman" w:hAnsi="Times New Roman" w:cs="Times New Roman"/>
          <w:b/>
          <w:color w:val="0D0D0D" w:themeColor="text1" w:themeTint="F2"/>
          <w:sz w:val="22"/>
          <w:szCs w:val="22"/>
        </w:rPr>
        <w:t>POLÍTICA DE PROTECCIÓN DEL MEDIO AMBIENTE</w:t>
      </w:r>
    </w:p>
    <w:p w14:paraId="672ED854" w14:textId="77777777" w:rsidR="009564B0" w:rsidRPr="0058758F" w:rsidRDefault="009564B0" w:rsidP="009564B0">
      <w:pPr>
        <w:spacing w:before="60" w:after="100" w:afterAutospacing="1"/>
        <w:jc w:val="left"/>
        <w:rPr>
          <w:rFonts w:ascii="Times New Roman" w:eastAsia="Times New Roman" w:hAnsi="Times New Roman" w:cs="Times New Roman"/>
          <w:sz w:val="24"/>
          <w:szCs w:val="24"/>
          <w:lang w:val="es-AR" w:eastAsia="es-AR"/>
        </w:rPr>
      </w:pPr>
      <w:r w:rsidRPr="0058758F">
        <w:rPr>
          <w:rFonts w:ascii="Times New Roman" w:eastAsia="Times New Roman" w:hAnsi="Times New Roman" w:cs="Times New Roman"/>
          <w:color w:val="0D0D0D"/>
          <w:sz w:val="22"/>
          <w:szCs w:val="22"/>
          <w:lang w:val="es-AR" w:eastAsia="es-AR"/>
        </w:rPr>
        <w:t>La empresa no posee al presente una política ambiental establecida formalmente, dado que las actividades desarrolladas no acarrean un fuerte grado de riesgo en este sentido.</w:t>
      </w:r>
    </w:p>
    <w:p w14:paraId="0B2E0A9A" w14:textId="77777777" w:rsidR="009564B0" w:rsidRPr="0058758F" w:rsidRDefault="009564B0" w:rsidP="009564B0">
      <w:pPr>
        <w:spacing w:before="100" w:beforeAutospacing="1" w:after="100" w:afterAutospacing="1"/>
        <w:jc w:val="left"/>
        <w:rPr>
          <w:rFonts w:ascii="Times New Roman" w:eastAsia="Times New Roman" w:hAnsi="Times New Roman" w:cs="Times New Roman"/>
          <w:sz w:val="24"/>
          <w:szCs w:val="24"/>
          <w:lang w:val="es-AR" w:eastAsia="es-AR"/>
        </w:rPr>
      </w:pPr>
      <w:r w:rsidRPr="0058758F">
        <w:rPr>
          <w:rFonts w:ascii="Times New Roman" w:eastAsia="Times New Roman" w:hAnsi="Times New Roman" w:cs="Times New Roman"/>
          <w:color w:val="0D0D0D"/>
          <w:sz w:val="22"/>
          <w:szCs w:val="22"/>
          <w:lang w:val="es-AR" w:eastAsia="es-AR"/>
        </w:rPr>
        <w:t>No obstante ello, se han generado acciones tendientes al cuidado del medio ambiente.</w:t>
      </w:r>
    </w:p>
    <w:p w14:paraId="005961A2" w14:textId="77777777" w:rsidR="009564B0" w:rsidRDefault="009564B0" w:rsidP="009564B0">
      <w:pPr>
        <w:spacing w:before="100" w:beforeAutospacing="1" w:after="100" w:afterAutospacing="1"/>
        <w:jc w:val="left"/>
        <w:rPr>
          <w:rFonts w:ascii="Times New Roman" w:eastAsia="Times New Roman" w:hAnsi="Times New Roman" w:cs="Times New Roman"/>
          <w:color w:val="0D0D0D"/>
          <w:sz w:val="22"/>
          <w:szCs w:val="22"/>
          <w:lang w:val="es-AR" w:eastAsia="es-AR"/>
        </w:rPr>
      </w:pPr>
      <w:r w:rsidRPr="0058758F">
        <w:rPr>
          <w:rFonts w:ascii="Times New Roman" w:eastAsia="Times New Roman" w:hAnsi="Times New Roman" w:cs="Times New Roman"/>
          <w:color w:val="0D0D0D"/>
          <w:sz w:val="22"/>
          <w:szCs w:val="22"/>
          <w:lang w:val="es-AR" w:eastAsia="es-AR"/>
        </w:rPr>
        <w:t>Algunos ejemplos son los siguientes:</w:t>
      </w:r>
    </w:p>
    <w:p w14:paraId="0003335C" w14:textId="77777777" w:rsidR="009564B0" w:rsidRPr="00AC5521" w:rsidRDefault="009564B0" w:rsidP="009564B0">
      <w:pPr>
        <w:pStyle w:val="Prrafodelista"/>
        <w:numPr>
          <w:ilvl w:val="0"/>
          <w:numId w:val="56"/>
        </w:numPr>
        <w:spacing w:before="100" w:beforeAutospacing="1" w:after="100" w:afterAutospacing="1"/>
        <w:jc w:val="both"/>
        <w:rPr>
          <w:rStyle w:val="im"/>
          <w:lang w:val="es-AR" w:eastAsia="es-AR"/>
        </w:rPr>
      </w:pPr>
      <w:r>
        <w:rPr>
          <w:rStyle w:val="im"/>
          <w:color w:val="0D0D0D"/>
          <w:sz w:val="22"/>
          <w:szCs w:val="22"/>
        </w:rPr>
        <w:t>Migración a lámparas LED, reemplazo de los tradicionales monitores tubo por pantallas LED, temporizadores para el apagado de luces en los locales comerciales, y correctores de factor de potencia (acciones orientadas a eficientizar el consumo energético).</w:t>
      </w:r>
    </w:p>
    <w:p w14:paraId="15D60A0C" w14:textId="77777777" w:rsidR="009564B0" w:rsidRPr="00A90903" w:rsidRDefault="009564B0" w:rsidP="009564B0">
      <w:pPr>
        <w:pStyle w:val="Prrafodelista"/>
        <w:numPr>
          <w:ilvl w:val="0"/>
          <w:numId w:val="56"/>
        </w:numPr>
        <w:spacing w:before="100" w:beforeAutospacing="1" w:after="100" w:afterAutospacing="1"/>
        <w:jc w:val="both"/>
        <w:rPr>
          <w:rStyle w:val="im"/>
          <w:lang w:val="es-AR" w:eastAsia="es-AR"/>
        </w:rPr>
      </w:pPr>
      <w:r>
        <w:rPr>
          <w:rStyle w:val="im"/>
          <w:color w:val="0D0D0D"/>
          <w:sz w:val="22"/>
          <w:szCs w:val="22"/>
        </w:rPr>
        <w:t>Política de No Impresión en papel en el ámbito laboral (donde puede prescindirse). Reemplazo por escaneados y circuitos administrativos informatizados.</w:t>
      </w:r>
    </w:p>
    <w:p w14:paraId="480287C3" w14:textId="67D6E1CB" w:rsidR="0046671E" w:rsidRPr="00156E5B" w:rsidRDefault="0046671E" w:rsidP="00A90903">
      <w:pPr>
        <w:spacing w:before="100" w:beforeAutospacing="1" w:after="100" w:afterAutospacing="1"/>
        <w:rPr>
          <w:lang w:val="es-AR" w:eastAsia="es-AR"/>
        </w:rPr>
      </w:pPr>
    </w:p>
    <w:p w14:paraId="3F1E5DB7" w14:textId="77777777" w:rsidR="00BC36C5" w:rsidRDefault="00BC36C5" w:rsidP="00374541">
      <w:pPr>
        <w:spacing w:before="60" w:after="200" w:line="276" w:lineRule="auto"/>
        <w:rPr>
          <w:color w:val="0D0D0D" w:themeColor="text1" w:themeTint="F2"/>
          <w:sz w:val="22"/>
          <w:szCs w:val="22"/>
        </w:rPr>
      </w:pPr>
    </w:p>
    <w:p w14:paraId="679BAB7F" w14:textId="77777777" w:rsidR="00BC36C5" w:rsidRDefault="00BC36C5" w:rsidP="00374541">
      <w:pPr>
        <w:spacing w:before="60" w:after="200" w:line="276" w:lineRule="auto"/>
        <w:rPr>
          <w:color w:val="0D0D0D" w:themeColor="text1" w:themeTint="F2"/>
          <w:sz w:val="22"/>
          <w:szCs w:val="22"/>
        </w:rPr>
      </w:pPr>
    </w:p>
    <w:p w14:paraId="5A0F205F" w14:textId="77777777" w:rsidR="00BC36C5" w:rsidRDefault="00BC36C5" w:rsidP="00374541">
      <w:pPr>
        <w:spacing w:before="60" w:after="200" w:line="276" w:lineRule="auto"/>
        <w:rPr>
          <w:color w:val="0D0D0D" w:themeColor="text1" w:themeTint="F2"/>
          <w:sz w:val="22"/>
          <w:szCs w:val="22"/>
        </w:rPr>
      </w:pPr>
    </w:p>
    <w:p w14:paraId="1159B24F" w14:textId="77777777" w:rsidR="00BC36C5" w:rsidRDefault="00BC36C5" w:rsidP="00374541">
      <w:pPr>
        <w:spacing w:before="60" w:after="200" w:line="276" w:lineRule="auto"/>
        <w:rPr>
          <w:color w:val="0D0D0D" w:themeColor="text1" w:themeTint="F2"/>
          <w:sz w:val="22"/>
          <w:szCs w:val="22"/>
        </w:rPr>
      </w:pPr>
    </w:p>
    <w:p w14:paraId="391A335A" w14:textId="77777777" w:rsidR="00BC36C5" w:rsidRDefault="00BC36C5" w:rsidP="00374541">
      <w:pPr>
        <w:spacing w:before="60" w:after="200" w:line="276" w:lineRule="auto"/>
        <w:rPr>
          <w:color w:val="0D0D0D" w:themeColor="text1" w:themeTint="F2"/>
          <w:sz w:val="22"/>
          <w:szCs w:val="22"/>
        </w:rPr>
      </w:pPr>
    </w:p>
    <w:p w14:paraId="3D30D571" w14:textId="77777777" w:rsidR="00BC36C5" w:rsidRDefault="00BC36C5" w:rsidP="00374541">
      <w:pPr>
        <w:spacing w:before="60" w:after="200" w:line="276" w:lineRule="auto"/>
        <w:rPr>
          <w:color w:val="0D0D0D" w:themeColor="text1" w:themeTint="F2"/>
          <w:sz w:val="22"/>
          <w:szCs w:val="22"/>
        </w:rPr>
      </w:pPr>
    </w:p>
    <w:p w14:paraId="15793069" w14:textId="77777777" w:rsidR="00BC36C5" w:rsidRDefault="00BC36C5" w:rsidP="00374541">
      <w:pPr>
        <w:spacing w:before="60" w:after="200" w:line="276" w:lineRule="auto"/>
        <w:rPr>
          <w:color w:val="0D0D0D" w:themeColor="text1" w:themeTint="F2"/>
          <w:sz w:val="22"/>
          <w:szCs w:val="22"/>
        </w:rPr>
      </w:pPr>
    </w:p>
    <w:p w14:paraId="6542F63F" w14:textId="77777777" w:rsidR="00BC36C5" w:rsidRDefault="00BC36C5" w:rsidP="00374541">
      <w:pPr>
        <w:spacing w:before="60" w:after="200" w:line="276" w:lineRule="auto"/>
        <w:rPr>
          <w:color w:val="0D0D0D" w:themeColor="text1" w:themeTint="F2"/>
          <w:sz w:val="22"/>
          <w:szCs w:val="22"/>
        </w:rPr>
      </w:pPr>
    </w:p>
    <w:p w14:paraId="54EDC160" w14:textId="77777777" w:rsidR="00BC36C5" w:rsidRDefault="00BC36C5" w:rsidP="00374541">
      <w:pPr>
        <w:spacing w:before="60" w:after="200" w:line="276" w:lineRule="auto"/>
        <w:rPr>
          <w:color w:val="0D0D0D" w:themeColor="text1" w:themeTint="F2"/>
          <w:sz w:val="22"/>
          <w:szCs w:val="22"/>
        </w:rPr>
      </w:pPr>
    </w:p>
    <w:p w14:paraId="40206EB2" w14:textId="77777777" w:rsidR="00BC36C5" w:rsidRDefault="00BC36C5" w:rsidP="00374541">
      <w:pPr>
        <w:spacing w:before="60" w:after="200" w:line="276" w:lineRule="auto"/>
        <w:rPr>
          <w:color w:val="0D0D0D" w:themeColor="text1" w:themeTint="F2"/>
          <w:sz w:val="22"/>
          <w:szCs w:val="22"/>
        </w:rPr>
      </w:pPr>
    </w:p>
    <w:p w14:paraId="2FC3E69B" w14:textId="77777777" w:rsidR="00DF2624" w:rsidRDefault="00DF2624" w:rsidP="00374541">
      <w:pPr>
        <w:spacing w:before="60" w:after="200" w:line="276" w:lineRule="auto"/>
        <w:rPr>
          <w:color w:val="0D0D0D" w:themeColor="text1" w:themeTint="F2"/>
          <w:sz w:val="22"/>
          <w:szCs w:val="22"/>
        </w:rPr>
      </w:pPr>
    </w:p>
    <w:p w14:paraId="3445EA27" w14:textId="77777777" w:rsidR="00CC479E" w:rsidRPr="00506990" w:rsidRDefault="00CC479E" w:rsidP="0098446E">
      <w:pPr>
        <w:pStyle w:val="Prrafodelista"/>
        <w:spacing w:before="60" w:after="200" w:line="276" w:lineRule="auto"/>
        <w:jc w:val="both"/>
        <w:rPr>
          <w:color w:val="0D0D0D" w:themeColor="text1" w:themeTint="F2"/>
          <w:sz w:val="22"/>
          <w:szCs w:val="22"/>
        </w:rPr>
      </w:pPr>
    </w:p>
    <w:p w14:paraId="76719C51" w14:textId="71773D47" w:rsidR="00CC479E" w:rsidRPr="00C53F38" w:rsidRDefault="00CC479E" w:rsidP="00AC5521">
      <w:pPr>
        <w:pStyle w:val="Prrafodelista"/>
        <w:shd w:val="clear" w:color="auto" w:fill="D9D9D9"/>
        <w:ind w:left="0"/>
        <w:rPr>
          <w:b/>
          <w:noProof/>
          <w:color w:val="0D0D0D" w:themeColor="text1" w:themeTint="F2"/>
          <w:sz w:val="22"/>
          <w:szCs w:val="22"/>
          <w:u w:val="single"/>
          <w:lang w:val="es-AR" w:eastAsia="es-AR"/>
        </w:rPr>
      </w:pPr>
      <w:r w:rsidRPr="00C53F38">
        <w:rPr>
          <w:b/>
          <w:color w:val="0D0D0D" w:themeColor="text1" w:themeTint="F2"/>
          <w:sz w:val="22"/>
          <w:szCs w:val="22"/>
          <w:lang w:val="es-AR"/>
        </w:rPr>
        <w:t>Estados Contables*</w:t>
      </w:r>
    </w:p>
    <w:p w14:paraId="7F86CD60" w14:textId="030D258A" w:rsidR="00E601DB" w:rsidRPr="00AC5521" w:rsidRDefault="0058758F" w:rsidP="00AC5521">
      <w:pPr>
        <w:rPr>
          <w:b/>
          <w:noProof/>
          <w:color w:val="0D0D0D" w:themeColor="text1" w:themeTint="F2"/>
          <w:sz w:val="22"/>
          <w:szCs w:val="22"/>
          <w:u w:val="single"/>
          <w:lang w:val="es-AR" w:eastAsia="es-AR"/>
        </w:rPr>
      </w:pPr>
      <w:r w:rsidRPr="0058758F">
        <w:rPr>
          <w:noProof/>
          <w:lang w:val="es-AR" w:eastAsia="es-AR"/>
        </w:rPr>
        <w:t xml:space="preserve"> </w:t>
      </w:r>
      <w:r w:rsidR="009564B0" w:rsidRPr="009564B0">
        <w:rPr>
          <w:noProof/>
          <w:lang w:val="es-AR" w:eastAsia="es-AR"/>
        </w:rPr>
        <w:t xml:space="preserve"> </w:t>
      </w:r>
      <w:r w:rsidR="00FF6E5F" w:rsidRPr="00FF6E5F">
        <w:rPr>
          <w:noProof/>
          <w:lang w:val="es-AR" w:eastAsia="es-AR"/>
        </w:rPr>
        <w:drawing>
          <wp:inline distT="0" distB="0" distL="0" distR="0" wp14:anchorId="1008BB6C" wp14:editId="191D2D09">
            <wp:extent cx="5613400" cy="4917267"/>
            <wp:effectExtent l="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3400" cy="4917267"/>
                    </a:xfrm>
                    <a:prstGeom prst="rect">
                      <a:avLst/>
                    </a:prstGeom>
                    <a:noFill/>
                    <a:ln>
                      <a:noFill/>
                    </a:ln>
                  </pic:spPr>
                </pic:pic>
              </a:graphicData>
            </a:graphic>
          </wp:inline>
        </w:drawing>
      </w:r>
    </w:p>
    <w:p w14:paraId="7181E91D" w14:textId="77777777" w:rsidR="00E601DB" w:rsidRDefault="00E601DB" w:rsidP="0098446E">
      <w:pPr>
        <w:pStyle w:val="Prrafodelista"/>
        <w:ind w:left="360"/>
        <w:rPr>
          <w:b/>
          <w:noProof/>
          <w:color w:val="0D0D0D" w:themeColor="text1" w:themeTint="F2"/>
          <w:sz w:val="22"/>
          <w:szCs w:val="22"/>
          <w:u w:val="single"/>
          <w:lang w:val="es-AR" w:eastAsia="es-AR"/>
        </w:rPr>
      </w:pPr>
    </w:p>
    <w:p w14:paraId="6C96D947" w14:textId="3B45C258" w:rsidR="008A5CC2" w:rsidRPr="00091F5B" w:rsidRDefault="0058758F" w:rsidP="00AC5521">
      <w:pPr>
        <w:rPr>
          <w:b/>
          <w:noProof/>
          <w:color w:val="0D0D0D" w:themeColor="text1" w:themeTint="F2"/>
          <w:sz w:val="22"/>
          <w:szCs w:val="22"/>
          <w:u w:val="single"/>
          <w:lang w:val="es-AR" w:eastAsia="es-AR"/>
        </w:rPr>
      </w:pPr>
      <w:r w:rsidRPr="0058758F">
        <w:rPr>
          <w:noProof/>
          <w:lang w:val="es-AR" w:eastAsia="es-AR"/>
        </w:rPr>
        <w:t xml:space="preserve"> </w:t>
      </w:r>
      <w:r w:rsidR="009564B0" w:rsidRPr="009564B0">
        <w:rPr>
          <w:noProof/>
          <w:lang w:val="es-AR" w:eastAsia="es-AR"/>
        </w:rPr>
        <w:t xml:space="preserve"> </w:t>
      </w:r>
      <w:r w:rsidR="00FF6E5F" w:rsidRPr="00FF6E5F">
        <w:rPr>
          <w:noProof/>
          <w:lang w:val="es-AR" w:eastAsia="es-AR"/>
        </w:rPr>
        <w:drawing>
          <wp:inline distT="0" distB="0" distL="0" distR="0" wp14:anchorId="07C1B89C" wp14:editId="2F3DC60E">
            <wp:extent cx="5613400" cy="2939719"/>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3400" cy="2939719"/>
                    </a:xfrm>
                    <a:prstGeom prst="rect">
                      <a:avLst/>
                    </a:prstGeom>
                    <a:noFill/>
                    <a:ln>
                      <a:noFill/>
                    </a:ln>
                  </pic:spPr>
                </pic:pic>
              </a:graphicData>
            </a:graphic>
          </wp:inline>
        </w:drawing>
      </w:r>
    </w:p>
    <w:p w14:paraId="1FD8E683" w14:textId="77777777" w:rsidR="00CC479E" w:rsidRDefault="00CC479E" w:rsidP="0098446E">
      <w:pPr>
        <w:pStyle w:val="Prrafodelista"/>
        <w:ind w:left="360"/>
        <w:rPr>
          <w:b/>
          <w:color w:val="0D0D0D" w:themeColor="text1" w:themeTint="F2"/>
          <w:sz w:val="22"/>
          <w:szCs w:val="22"/>
          <w:u w:val="single"/>
        </w:rPr>
      </w:pPr>
    </w:p>
    <w:p w14:paraId="10EA9DF1" w14:textId="6597D6E2" w:rsidR="001A1955" w:rsidRDefault="001A1955" w:rsidP="00AC5521">
      <w:pPr>
        <w:rPr>
          <w:color w:val="0D0D0D" w:themeColor="text1" w:themeTint="F2"/>
          <w:sz w:val="22"/>
          <w:szCs w:val="22"/>
        </w:rPr>
      </w:pPr>
      <w:r w:rsidRPr="00AC5521">
        <w:rPr>
          <w:rFonts w:ascii="Times New Roman" w:hAnsi="Times New Roman" w:cs="Times New Roman"/>
          <w:i/>
          <w:color w:val="0D0D0D" w:themeColor="text1" w:themeTint="F2"/>
          <w:sz w:val="16"/>
          <w:szCs w:val="22"/>
        </w:rPr>
        <w:t>La información precedente de los EECC puede contener redondeo</w:t>
      </w:r>
      <w:r w:rsidRPr="00AC5521">
        <w:rPr>
          <w:rFonts w:ascii="Times New Roman" w:hAnsi="Times New Roman" w:cs="Times New Roman"/>
          <w:i/>
          <w:color w:val="0D0D0D" w:themeColor="text1" w:themeTint="F2"/>
          <w:sz w:val="16"/>
          <w:szCs w:val="16"/>
        </w:rPr>
        <w:t>s</w:t>
      </w:r>
      <w:r w:rsidRPr="00AC5521">
        <w:rPr>
          <w:rFonts w:ascii="Times New Roman" w:hAnsi="Times New Roman" w:cs="Times New Roman"/>
          <w:color w:val="0D0D0D" w:themeColor="text1" w:themeTint="F2"/>
          <w:sz w:val="16"/>
          <w:szCs w:val="16"/>
        </w:rPr>
        <w:t>.</w:t>
      </w:r>
      <w:r w:rsidRPr="00AC5521">
        <w:rPr>
          <w:rFonts w:ascii="Times New Roman" w:hAnsi="Times New Roman" w:cs="Times New Roman"/>
          <w:color w:val="0D0D0D" w:themeColor="text1" w:themeTint="F2"/>
          <w:sz w:val="22"/>
          <w:szCs w:val="22"/>
        </w:rPr>
        <w:t xml:space="preserve"> </w:t>
      </w:r>
    </w:p>
    <w:p w14:paraId="6280712E" w14:textId="77777777" w:rsidR="00DB3689" w:rsidRPr="00AC5521" w:rsidRDefault="00DB3689" w:rsidP="00AC5521">
      <w:pPr>
        <w:rPr>
          <w:b/>
          <w:color w:val="0D0D0D" w:themeColor="text1" w:themeTint="F2"/>
          <w:sz w:val="22"/>
          <w:szCs w:val="22"/>
          <w:u w:val="single"/>
        </w:rPr>
      </w:pPr>
    </w:p>
    <w:p w14:paraId="5F0FF57F" w14:textId="51E58C9B" w:rsidR="00CC479E" w:rsidRPr="00AC5521" w:rsidRDefault="00CC479E" w:rsidP="00AC5521">
      <w:pPr>
        <w:shd w:val="clear" w:color="auto" w:fill="D9D9D9"/>
        <w:rPr>
          <w:b/>
          <w:color w:val="0D0D0D" w:themeColor="text1" w:themeTint="F2"/>
          <w:sz w:val="22"/>
          <w:szCs w:val="22"/>
          <w:lang w:val="es-AR"/>
        </w:rPr>
      </w:pPr>
      <w:r w:rsidRPr="00AC5521">
        <w:rPr>
          <w:rFonts w:ascii="Times New Roman" w:hAnsi="Times New Roman" w:cs="Times New Roman"/>
          <w:b/>
          <w:color w:val="0D0D0D" w:themeColor="text1" w:themeTint="F2"/>
          <w:sz w:val="22"/>
          <w:szCs w:val="22"/>
          <w:lang w:val="es-AR"/>
        </w:rPr>
        <w:t>Índices</w:t>
      </w:r>
    </w:p>
    <w:p w14:paraId="393A04D1" w14:textId="01237F3B" w:rsidR="00EE78A9" w:rsidRDefault="0058758F" w:rsidP="0098446E">
      <w:pPr>
        <w:rPr>
          <w:b/>
          <w:noProof/>
          <w:color w:val="0D0D0D" w:themeColor="text1" w:themeTint="F2"/>
          <w:sz w:val="22"/>
          <w:szCs w:val="22"/>
          <w:lang w:val="es-AR" w:eastAsia="es-AR"/>
        </w:rPr>
      </w:pPr>
      <w:r w:rsidRPr="0058758F">
        <w:rPr>
          <w:noProof/>
          <w:lang w:val="es-AR" w:eastAsia="es-AR"/>
        </w:rPr>
        <w:t xml:space="preserve"> </w:t>
      </w:r>
      <w:r w:rsidR="009564B0" w:rsidRPr="009564B0">
        <w:rPr>
          <w:noProof/>
          <w:lang w:val="es-AR" w:eastAsia="es-AR"/>
        </w:rPr>
        <w:t xml:space="preserve"> </w:t>
      </w:r>
      <w:r w:rsidR="00311D19" w:rsidRPr="00311D19">
        <w:rPr>
          <w:noProof/>
          <w:lang w:val="es-AR" w:eastAsia="es-AR"/>
        </w:rPr>
        <w:drawing>
          <wp:inline distT="0" distB="0" distL="0" distR="0" wp14:anchorId="7DC185C4" wp14:editId="412DD73C">
            <wp:extent cx="5613400" cy="749340"/>
            <wp:effectExtent l="0" t="0" r="635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3400" cy="749340"/>
                    </a:xfrm>
                    <a:prstGeom prst="rect">
                      <a:avLst/>
                    </a:prstGeom>
                    <a:noFill/>
                    <a:ln>
                      <a:noFill/>
                    </a:ln>
                  </pic:spPr>
                </pic:pic>
              </a:graphicData>
            </a:graphic>
          </wp:inline>
        </w:drawing>
      </w:r>
    </w:p>
    <w:p w14:paraId="01D7925B" w14:textId="77777777" w:rsidR="00EE78A9" w:rsidRDefault="00EE78A9" w:rsidP="0098446E">
      <w:pPr>
        <w:rPr>
          <w:b/>
          <w:noProof/>
          <w:color w:val="0D0D0D" w:themeColor="text1" w:themeTint="F2"/>
          <w:sz w:val="22"/>
          <w:szCs w:val="22"/>
          <w:lang w:val="es-AR" w:eastAsia="es-AR"/>
        </w:rPr>
      </w:pPr>
    </w:p>
    <w:p w14:paraId="46166B06" w14:textId="77777777" w:rsidR="00EE78A9" w:rsidRDefault="00EE78A9" w:rsidP="0098446E">
      <w:pPr>
        <w:rPr>
          <w:b/>
          <w:noProof/>
          <w:color w:val="0D0D0D" w:themeColor="text1" w:themeTint="F2"/>
          <w:sz w:val="22"/>
          <w:szCs w:val="22"/>
          <w:lang w:val="es-AR" w:eastAsia="es-AR"/>
        </w:rPr>
      </w:pPr>
    </w:p>
    <w:p w14:paraId="0BE2BA18" w14:textId="72572015" w:rsidR="0058758F" w:rsidRDefault="00A1210B" w:rsidP="00DF6BB2">
      <w:pPr>
        <w:rPr>
          <w:rFonts w:ascii="Times New Roman" w:eastAsia="Times New Roman" w:hAnsi="Times New Roman" w:cs="Times New Roman"/>
          <w:sz w:val="24"/>
          <w:szCs w:val="24"/>
          <w:lang w:val="es-AR" w:eastAsia="es-AR"/>
        </w:rPr>
      </w:pPr>
      <w:r w:rsidRPr="0065404B">
        <w:rPr>
          <w:rFonts w:ascii="Times New Roman" w:hAnsi="Times New Roman" w:cs="Times New Roman"/>
          <w:i/>
          <w:color w:val="0D0D0D" w:themeColor="text1" w:themeTint="F2"/>
          <w:sz w:val="22"/>
          <w:szCs w:val="22"/>
        </w:rPr>
        <w:t>*</w:t>
      </w:r>
      <w:r w:rsidR="0058758F" w:rsidRPr="0058758F">
        <w:rPr>
          <w:rFonts w:ascii="Times New Roman" w:eastAsia="Times New Roman" w:hAnsi="Times New Roman" w:cs="Times New Roman"/>
          <w:sz w:val="24"/>
          <w:szCs w:val="24"/>
          <w:lang w:val="es-AR" w:eastAsia="es-AR"/>
        </w:rPr>
        <w:t xml:space="preserve"> </w:t>
      </w:r>
      <w:r w:rsidR="0058758F" w:rsidRPr="00AC5521">
        <w:rPr>
          <w:rFonts w:ascii="Times New Roman" w:eastAsia="Times New Roman" w:hAnsi="Times New Roman" w:cs="Times New Roman"/>
          <w:sz w:val="22"/>
          <w:szCs w:val="24"/>
          <w:lang w:val="es-AR" w:eastAsia="es-AR"/>
        </w:rPr>
        <w:t>Los Estados Financieros correspondientes al 31 de mayo de 202</w:t>
      </w:r>
      <w:r w:rsidR="00FF6E5F">
        <w:rPr>
          <w:rFonts w:ascii="Times New Roman" w:eastAsia="Times New Roman" w:hAnsi="Times New Roman" w:cs="Times New Roman"/>
          <w:sz w:val="22"/>
          <w:szCs w:val="24"/>
          <w:lang w:val="es-AR" w:eastAsia="es-AR"/>
        </w:rPr>
        <w:t>3</w:t>
      </w:r>
      <w:r w:rsidR="0058758F" w:rsidRPr="00AC5521">
        <w:rPr>
          <w:rFonts w:ascii="Times New Roman" w:eastAsia="Times New Roman" w:hAnsi="Times New Roman" w:cs="Times New Roman"/>
          <w:sz w:val="22"/>
          <w:szCs w:val="24"/>
          <w:lang w:val="es-AR" w:eastAsia="es-AR"/>
        </w:rPr>
        <w:t xml:space="preserve"> y 202</w:t>
      </w:r>
      <w:r w:rsidR="00FF6E5F">
        <w:rPr>
          <w:rFonts w:ascii="Times New Roman" w:eastAsia="Times New Roman" w:hAnsi="Times New Roman" w:cs="Times New Roman"/>
          <w:sz w:val="22"/>
          <w:szCs w:val="24"/>
          <w:lang w:val="es-AR" w:eastAsia="es-AR"/>
        </w:rPr>
        <w:t>2</w:t>
      </w:r>
      <w:r w:rsidR="0058758F" w:rsidRPr="00AC5521">
        <w:rPr>
          <w:rFonts w:ascii="Times New Roman" w:eastAsia="Times New Roman" w:hAnsi="Times New Roman" w:cs="Times New Roman"/>
          <w:sz w:val="22"/>
          <w:szCs w:val="24"/>
          <w:lang w:val="es-AR" w:eastAsia="es-AR"/>
        </w:rPr>
        <w:t xml:space="preserve"> se encuentran ajustados por inflación al 31 de mayo de 202</w:t>
      </w:r>
      <w:r w:rsidR="00FF6E5F">
        <w:rPr>
          <w:rFonts w:ascii="Times New Roman" w:eastAsia="Times New Roman" w:hAnsi="Times New Roman" w:cs="Times New Roman"/>
          <w:sz w:val="22"/>
          <w:szCs w:val="24"/>
          <w:lang w:val="es-AR" w:eastAsia="es-AR"/>
        </w:rPr>
        <w:t>3</w:t>
      </w:r>
      <w:r w:rsidR="0058758F" w:rsidRPr="00AC5521">
        <w:rPr>
          <w:rFonts w:ascii="Times New Roman" w:eastAsia="Times New Roman" w:hAnsi="Times New Roman" w:cs="Times New Roman"/>
          <w:sz w:val="22"/>
          <w:szCs w:val="24"/>
          <w:lang w:val="es-AR" w:eastAsia="es-AR"/>
        </w:rPr>
        <w:t>, por lo que sus cifras no son comparables con las del ejercicio 20</w:t>
      </w:r>
      <w:r w:rsidR="009564B0">
        <w:rPr>
          <w:rFonts w:ascii="Times New Roman" w:eastAsia="Times New Roman" w:hAnsi="Times New Roman" w:cs="Times New Roman"/>
          <w:sz w:val="22"/>
          <w:szCs w:val="24"/>
          <w:lang w:val="es-AR" w:eastAsia="es-AR"/>
        </w:rPr>
        <w:t>2</w:t>
      </w:r>
      <w:r w:rsidR="00FF6E5F">
        <w:rPr>
          <w:rFonts w:ascii="Times New Roman" w:eastAsia="Times New Roman" w:hAnsi="Times New Roman" w:cs="Times New Roman"/>
          <w:sz w:val="22"/>
          <w:szCs w:val="24"/>
          <w:lang w:val="es-AR" w:eastAsia="es-AR"/>
        </w:rPr>
        <w:t>1</w:t>
      </w:r>
      <w:r w:rsidR="0058758F" w:rsidRPr="00AC5521">
        <w:rPr>
          <w:rFonts w:ascii="Times New Roman" w:eastAsia="Times New Roman" w:hAnsi="Times New Roman" w:cs="Times New Roman"/>
          <w:sz w:val="22"/>
          <w:szCs w:val="24"/>
          <w:lang w:val="es-AR" w:eastAsia="es-AR"/>
        </w:rPr>
        <w:t>.</w:t>
      </w:r>
      <w:r w:rsidR="00FF6E5F">
        <w:rPr>
          <w:rFonts w:ascii="Times New Roman" w:eastAsia="Times New Roman" w:hAnsi="Times New Roman" w:cs="Times New Roman"/>
          <w:sz w:val="22"/>
          <w:szCs w:val="24"/>
          <w:lang w:val="es-AR" w:eastAsia="es-AR"/>
        </w:rPr>
        <w:t xml:space="preserve"> </w:t>
      </w:r>
      <w:r w:rsidR="00FF6E5F" w:rsidRPr="00AC5521">
        <w:rPr>
          <w:rFonts w:ascii="Times New Roman" w:eastAsia="Times New Roman" w:hAnsi="Times New Roman" w:cs="Times New Roman"/>
          <w:sz w:val="22"/>
          <w:szCs w:val="24"/>
          <w:lang w:val="es-AR" w:eastAsia="es-AR"/>
        </w:rPr>
        <w:t>Los Estados Financieros correspondientes al 31 de mayo de 202</w:t>
      </w:r>
      <w:r w:rsidR="00FF6E5F">
        <w:rPr>
          <w:rFonts w:ascii="Times New Roman" w:eastAsia="Times New Roman" w:hAnsi="Times New Roman" w:cs="Times New Roman"/>
          <w:sz w:val="22"/>
          <w:szCs w:val="24"/>
          <w:lang w:val="es-AR" w:eastAsia="es-AR"/>
        </w:rPr>
        <w:t>1</w:t>
      </w:r>
      <w:r w:rsidR="00EB0E6E">
        <w:rPr>
          <w:rFonts w:ascii="Times New Roman" w:eastAsia="Times New Roman" w:hAnsi="Times New Roman" w:cs="Times New Roman"/>
          <w:sz w:val="22"/>
          <w:szCs w:val="24"/>
          <w:lang w:val="es-AR" w:eastAsia="es-AR"/>
        </w:rPr>
        <w:t xml:space="preserve"> </w:t>
      </w:r>
      <w:r w:rsidR="00FF6E5F" w:rsidRPr="00AC5521">
        <w:rPr>
          <w:rFonts w:ascii="Times New Roman" w:eastAsia="Times New Roman" w:hAnsi="Times New Roman" w:cs="Times New Roman"/>
          <w:sz w:val="22"/>
          <w:szCs w:val="24"/>
          <w:lang w:val="es-AR" w:eastAsia="es-AR"/>
        </w:rPr>
        <w:t>se encuentran ajustados por inflación al 31 de mayo de 202</w:t>
      </w:r>
      <w:r w:rsidR="00FF6E5F">
        <w:rPr>
          <w:rFonts w:ascii="Times New Roman" w:eastAsia="Times New Roman" w:hAnsi="Times New Roman" w:cs="Times New Roman"/>
          <w:sz w:val="22"/>
          <w:szCs w:val="24"/>
          <w:lang w:val="es-AR" w:eastAsia="es-AR"/>
        </w:rPr>
        <w:t>2.</w:t>
      </w:r>
    </w:p>
    <w:p w14:paraId="48E28CAB" w14:textId="77777777" w:rsidR="0058758F" w:rsidRDefault="0058758F" w:rsidP="00AC5521">
      <w:pPr>
        <w:jc w:val="left"/>
        <w:rPr>
          <w:rFonts w:ascii="Times New Roman" w:eastAsia="Times New Roman" w:hAnsi="Times New Roman" w:cs="Times New Roman"/>
          <w:sz w:val="24"/>
          <w:szCs w:val="24"/>
          <w:lang w:val="es-AR" w:eastAsia="es-AR"/>
        </w:rPr>
      </w:pPr>
    </w:p>
    <w:p w14:paraId="6514A756" w14:textId="323B6E18" w:rsidR="00EE78A9" w:rsidRPr="00AC5521" w:rsidRDefault="00BD01EB" w:rsidP="00091F5B">
      <w:pPr>
        <w:rPr>
          <w:rFonts w:ascii="Times New Roman" w:eastAsia="Times New Roman" w:hAnsi="Times New Roman" w:cs="Times New Roman"/>
          <w:sz w:val="24"/>
          <w:szCs w:val="24"/>
          <w:lang w:val="es-AR" w:eastAsia="es-AR"/>
        </w:rPr>
      </w:pPr>
      <w:r w:rsidRPr="00BD01EB">
        <w:rPr>
          <w:rFonts w:ascii="Times New Roman" w:hAnsi="Times New Roman" w:cs="Times New Roman"/>
          <w:color w:val="0D0D0D" w:themeColor="text1" w:themeTint="F2"/>
          <w:sz w:val="22"/>
          <w:szCs w:val="22"/>
        </w:rPr>
        <w:t xml:space="preserve">Los Estados Contables con cierre al 31/05/2023 fueron aprobados por la asamblea de accionistas de Consumo S.A. celebrada el 9/10/2023. </w:t>
      </w:r>
    </w:p>
    <w:p w14:paraId="64647D22" w14:textId="77777777" w:rsidR="00EE78A9" w:rsidRDefault="00EE78A9" w:rsidP="00EE78A9">
      <w:pPr>
        <w:rPr>
          <w:rFonts w:ascii="Times New Roman" w:hAnsi="Times New Roman" w:cs="Times New Roman"/>
          <w:b/>
          <w:color w:val="0D0D0D" w:themeColor="text1" w:themeTint="F2"/>
          <w:sz w:val="22"/>
          <w:szCs w:val="22"/>
          <w:u w:val="single"/>
        </w:rPr>
      </w:pPr>
    </w:p>
    <w:p w14:paraId="7E217AF5" w14:textId="77777777" w:rsidR="00EE78A9" w:rsidRDefault="00EE78A9" w:rsidP="0098446E">
      <w:pPr>
        <w:rPr>
          <w:b/>
          <w:noProof/>
          <w:color w:val="0D0D0D" w:themeColor="text1" w:themeTint="F2"/>
          <w:sz w:val="22"/>
          <w:szCs w:val="22"/>
          <w:lang w:val="es-AR" w:eastAsia="es-AR"/>
        </w:rPr>
      </w:pPr>
    </w:p>
    <w:p w14:paraId="657701A3"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r w:rsidRPr="00F77E58">
        <w:rPr>
          <w:rFonts w:ascii="Times New Roman" w:hAnsi="Times New Roman" w:cs="Times New Roman"/>
          <w:b/>
          <w:noProof/>
          <w:color w:val="0D0D0D" w:themeColor="text1" w:themeTint="F2"/>
          <w:sz w:val="22"/>
          <w:szCs w:val="22"/>
          <w:u w:val="single"/>
          <w:lang w:val="es-AR" w:eastAsia="es-AR"/>
        </w:rPr>
        <w:t>PRINCIPALES RUBROS DE</w:t>
      </w:r>
      <w:r>
        <w:rPr>
          <w:rFonts w:ascii="Times New Roman" w:hAnsi="Times New Roman" w:cs="Times New Roman"/>
          <w:b/>
          <w:noProof/>
          <w:color w:val="0D0D0D" w:themeColor="text1" w:themeTint="F2"/>
          <w:sz w:val="22"/>
          <w:szCs w:val="22"/>
          <w:u w:val="single"/>
          <w:lang w:val="es-AR" w:eastAsia="es-AR"/>
        </w:rPr>
        <w:t xml:space="preserve"> </w:t>
      </w:r>
      <w:r w:rsidRPr="00F77E58">
        <w:rPr>
          <w:rFonts w:ascii="Times New Roman" w:hAnsi="Times New Roman" w:cs="Times New Roman"/>
          <w:b/>
          <w:noProof/>
          <w:color w:val="0D0D0D" w:themeColor="text1" w:themeTint="F2"/>
          <w:sz w:val="22"/>
          <w:szCs w:val="22"/>
          <w:u w:val="single"/>
          <w:lang w:val="es-AR" w:eastAsia="es-AR"/>
        </w:rPr>
        <w:t>L</w:t>
      </w:r>
      <w:r>
        <w:rPr>
          <w:rFonts w:ascii="Times New Roman" w:hAnsi="Times New Roman" w:cs="Times New Roman"/>
          <w:b/>
          <w:noProof/>
          <w:color w:val="0D0D0D" w:themeColor="text1" w:themeTint="F2"/>
          <w:sz w:val="22"/>
          <w:szCs w:val="22"/>
          <w:u w:val="single"/>
          <w:lang w:val="es-AR" w:eastAsia="es-AR"/>
        </w:rPr>
        <w:t>OS</w:t>
      </w:r>
      <w:r w:rsidRPr="00F77E58">
        <w:rPr>
          <w:rFonts w:ascii="Times New Roman" w:hAnsi="Times New Roman" w:cs="Times New Roman"/>
          <w:b/>
          <w:noProof/>
          <w:color w:val="0D0D0D" w:themeColor="text1" w:themeTint="F2"/>
          <w:sz w:val="22"/>
          <w:szCs w:val="22"/>
          <w:u w:val="single"/>
          <w:lang w:val="es-AR" w:eastAsia="es-AR"/>
        </w:rPr>
        <w:t xml:space="preserve"> ESTADO</w:t>
      </w:r>
      <w:r>
        <w:rPr>
          <w:rFonts w:ascii="Times New Roman" w:hAnsi="Times New Roman" w:cs="Times New Roman"/>
          <w:b/>
          <w:noProof/>
          <w:color w:val="0D0D0D" w:themeColor="text1" w:themeTint="F2"/>
          <w:sz w:val="22"/>
          <w:szCs w:val="22"/>
          <w:u w:val="single"/>
          <w:lang w:val="es-AR" w:eastAsia="es-AR"/>
        </w:rPr>
        <w:t>S</w:t>
      </w:r>
      <w:r w:rsidRPr="00F77E58">
        <w:rPr>
          <w:rFonts w:ascii="Times New Roman" w:hAnsi="Times New Roman" w:cs="Times New Roman"/>
          <w:b/>
          <w:noProof/>
          <w:color w:val="0D0D0D" w:themeColor="text1" w:themeTint="F2"/>
          <w:sz w:val="22"/>
          <w:szCs w:val="22"/>
          <w:u w:val="single"/>
          <w:lang w:val="es-AR" w:eastAsia="es-AR"/>
        </w:rPr>
        <w:t xml:space="preserve"> </w:t>
      </w:r>
      <w:r>
        <w:rPr>
          <w:rFonts w:ascii="Times New Roman" w:hAnsi="Times New Roman" w:cs="Times New Roman"/>
          <w:b/>
          <w:noProof/>
          <w:color w:val="0D0D0D" w:themeColor="text1" w:themeTint="F2"/>
          <w:sz w:val="22"/>
          <w:szCs w:val="22"/>
          <w:u w:val="single"/>
          <w:lang w:val="es-AR" w:eastAsia="es-AR"/>
        </w:rPr>
        <w:t>CONTABLES CONSUMO</w:t>
      </w:r>
    </w:p>
    <w:p w14:paraId="2186B524"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p>
    <w:p w14:paraId="28AE1817" w14:textId="2CFB4A97" w:rsidR="009564B0" w:rsidRPr="00B978D9" w:rsidRDefault="009564B0" w:rsidP="00FF6E5F">
      <w:pPr>
        <w:pStyle w:val="Prrafodelista"/>
        <w:numPr>
          <w:ilvl w:val="0"/>
          <w:numId w:val="63"/>
        </w:numPr>
        <w:spacing w:after="160" w:line="259" w:lineRule="auto"/>
        <w:jc w:val="both"/>
        <w:rPr>
          <w:sz w:val="22"/>
          <w:szCs w:val="22"/>
        </w:rPr>
      </w:pPr>
      <w:r w:rsidRPr="00B978D9">
        <w:rPr>
          <w:i/>
          <w:sz w:val="22"/>
          <w:szCs w:val="22"/>
          <w:u w:val="single"/>
        </w:rPr>
        <w:t>Caja y Bancos</w:t>
      </w:r>
      <w:r w:rsidRPr="00B978D9">
        <w:rPr>
          <w:sz w:val="22"/>
          <w:szCs w:val="22"/>
        </w:rPr>
        <w:t xml:space="preserve">: </w:t>
      </w:r>
      <w:r w:rsidR="00FF6E5F" w:rsidRPr="00FF6E5F">
        <w:rPr>
          <w:sz w:val="22"/>
          <w:szCs w:val="22"/>
        </w:rPr>
        <w:t>Las disponibilidades se incrementan un 272% en términos reales, llegando a los $ 4,75 millones a la fecha de cierre del ejercicio. Este crecimiento de debió fundamentalmente al mayor fondeo operativo para el préstamo de dinero en los locales de la firma.</w:t>
      </w:r>
    </w:p>
    <w:p w14:paraId="39DEF609" w14:textId="77777777" w:rsidR="009564B0" w:rsidRPr="00B978D9" w:rsidRDefault="009564B0" w:rsidP="00B978D9">
      <w:pPr>
        <w:pStyle w:val="Prrafodelista"/>
        <w:jc w:val="both"/>
        <w:rPr>
          <w:sz w:val="22"/>
          <w:szCs w:val="22"/>
        </w:rPr>
      </w:pPr>
    </w:p>
    <w:p w14:paraId="39917C47" w14:textId="4316C3E3" w:rsidR="009564B0" w:rsidRPr="00B978D9" w:rsidRDefault="009564B0" w:rsidP="00FF6E5F">
      <w:pPr>
        <w:pStyle w:val="Prrafodelista"/>
        <w:numPr>
          <w:ilvl w:val="0"/>
          <w:numId w:val="63"/>
        </w:numPr>
        <w:spacing w:after="160" w:line="259" w:lineRule="auto"/>
        <w:jc w:val="both"/>
        <w:rPr>
          <w:sz w:val="22"/>
          <w:szCs w:val="22"/>
        </w:rPr>
      </w:pPr>
      <w:r w:rsidRPr="00B978D9">
        <w:rPr>
          <w:i/>
          <w:sz w:val="22"/>
          <w:szCs w:val="22"/>
          <w:u w:val="single"/>
        </w:rPr>
        <w:t>Créditos por Ventas</w:t>
      </w:r>
      <w:r w:rsidRPr="00B978D9">
        <w:rPr>
          <w:sz w:val="22"/>
          <w:szCs w:val="22"/>
        </w:rPr>
        <w:t xml:space="preserve">: </w:t>
      </w:r>
      <w:r w:rsidR="00FF6E5F" w:rsidRPr="00FF6E5F">
        <w:rPr>
          <w:sz w:val="22"/>
          <w:szCs w:val="22"/>
        </w:rPr>
        <w:t>Considerando en conjunto los tramos Corriente y No Corriente, llegan a</w:t>
      </w:r>
      <w:r w:rsidR="00D71FA8">
        <w:rPr>
          <w:sz w:val="22"/>
          <w:szCs w:val="22"/>
        </w:rPr>
        <w:t xml:space="preserve"> </w:t>
      </w:r>
      <w:r w:rsidR="00FF6E5F" w:rsidRPr="00FF6E5F">
        <w:rPr>
          <w:sz w:val="22"/>
          <w:szCs w:val="22"/>
        </w:rPr>
        <w:t>los $ 116,72 MM, lo que significa un crecimiento del 130% respecto del ejercicio precedente. Esto se debe al incremento en los niveles de actividad y a las mayores tasas nominales con las que se operó en el otorgamiento de préstamos.</w:t>
      </w:r>
    </w:p>
    <w:p w14:paraId="1D5994CC" w14:textId="77777777" w:rsidR="009564B0" w:rsidRPr="00B978D9" w:rsidRDefault="009564B0" w:rsidP="00883FCC">
      <w:pPr>
        <w:pStyle w:val="Prrafodelista"/>
        <w:jc w:val="both"/>
        <w:rPr>
          <w:sz w:val="22"/>
          <w:szCs w:val="22"/>
        </w:rPr>
      </w:pPr>
    </w:p>
    <w:p w14:paraId="10AE2A42" w14:textId="66B5B0D8" w:rsidR="009564B0" w:rsidRPr="00B978D9" w:rsidRDefault="009564B0" w:rsidP="00FF6E5F">
      <w:pPr>
        <w:pStyle w:val="Prrafodelista"/>
        <w:numPr>
          <w:ilvl w:val="0"/>
          <w:numId w:val="63"/>
        </w:numPr>
        <w:spacing w:after="160" w:line="259" w:lineRule="auto"/>
        <w:jc w:val="both"/>
        <w:rPr>
          <w:sz w:val="22"/>
          <w:szCs w:val="22"/>
        </w:rPr>
      </w:pPr>
      <w:r w:rsidRPr="00B978D9">
        <w:rPr>
          <w:i/>
          <w:sz w:val="22"/>
          <w:szCs w:val="22"/>
          <w:u w:val="single"/>
        </w:rPr>
        <w:t>Cargas Fiscales</w:t>
      </w:r>
      <w:r w:rsidRPr="00B978D9">
        <w:rPr>
          <w:sz w:val="22"/>
          <w:szCs w:val="22"/>
        </w:rPr>
        <w:t xml:space="preserve">: </w:t>
      </w:r>
      <w:r w:rsidR="00FF6E5F" w:rsidRPr="00FF6E5F">
        <w:rPr>
          <w:sz w:val="22"/>
          <w:szCs w:val="22"/>
        </w:rPr>
        <w:t>Se reducen 64% en términos reales, al alcanzar los $ 26,58 MM, variación que se explica en su práctica totalidad por el Impuesto a las Ganancias Determinado, en un importe sustancialmente menor al del ejercicio precedente.</w:t>
      </w:r>
    </w:p>
    <w:p w14:paraId="0497D8C8" w14:textId="77777777" w:rsidR="009564B0" w:rsidRPr="00B978D9" w:rsidRDefault="009564B0" w:rsidP="00B978D9">
      <w:pPr>
        <w:pStyle w:val="Prrafodelista"/>
        <w:jc w:val="both"/>
        <w:rPr>
          <w:sz w:val="22"/>
          <w:szCs w:val="22"/>
        </w:rPr>
      </w:pPr>
    </w:p>
    <w:p w14:paraId="506429FA" w14:textId="4B33306D" w:rsidR="009564B0" w:rsidRPr="00B978D9" w:rsidRDefault="009564B0" w:rsidP="00FF6E5F">
      <w:pPr>
        <w:pStyle w:val="Prrafodelista"/>
        <w:numPr>
          <w:ilvl w:val="0"/>
          <w:numId w:val="63"/>
        </w:numPr>
        <w:spacing w:after="160" w:line="259" w:lineRule="auto"/>
        <w:jc w:val="both"/>
        <w:rPr>
          <w:sz w:val="22"/>
          <w:szCs w:val="22"/>
        </w:rPr>
      </w:pPr>
      <w:r w:rsidRPr="00B978D9">
        <w:rPr>
          <w:i/>
          <w:sz w:val="22"/>
          <w:szCs w:val="22"/>
          <w:u w:val="single"/>
        </w:rPr>
        <w:t>Pasivo Concursal</w:t>
      </w:r>
      <w:r w:rsidRPr="00B978D9">
        <w:rPr>
          <w:sz w:val="22"/>
          <w:szCs w:val="22"/>
        </w:rPr>
        <w:t xml:space="preserve">: </w:t>
      </w:r>
      <w:r w:rsidR="00FF6E5F" w:rsidRPr="00FF6E5F">
        <w:rPr>
          <w:sz w:val="22"/>
          <w:szCs w:val="22"/>
        </w:rPr>
        <w:t>Alcanza los $ 8,2 MM, significando un descenso del 14% en términos reales respecto del año anterior. Esto se debe a la normal evolución del acuerdo quirografario, que para sus tramos finales preveía cuotas crecientes de capital. Se destaca aquí que dado el plazo de vencimiento de las cuotas finales, ya no existe tramo No Corriente en este rubro del Pasivo, dado que los últimos servicios vencen antes de los 12 meses de la fecha de cierre del ejercicio al que se refieren los presentes Estados Contables.</w:t>
      </w:r>
    </w:p>
    <w:p w14:paraId="2DAB33F0" w14:textId="77777777" w:rsidR="009564B0" w:rsidRPr="00B978D9" w:rsidRDefault="009564B0" w:rsidP="00883FCC">
      <w:pPr>
        <w:pStyle w:val="Prrafodelista"/>
        <w:jc w:val="both"/>
        <w:rPr>
          <w:sz w:val="22"/>
          <w:szCs w:val="22"/>
        </w:rPr>
      </w:pPr>
    </w:p>
    <w:p w14:paraId="1BF4490B" w14:textId="05D5B0E6" w:rsidR="009564B0" w:rsidRPr="00B978D9" w:rsidRDefault="009564B0" w:rsidP="00FF6E5F">
      <w:pPr>
        <w:pStyle w:val="Prrafodelista"/>
        <w:numPr>
          <w:ilvl w:val="0"/>
          <w:numId w:val="63"/>
        </w:numPr>
        <w:spacing w:after="160" w:line="259" w:lineRule="auto"/>
        <w:jc w:val="both"/>
        <w:rPr>
          <w:sz w:val="22"/>
          <w:szCs w:val="22"/>
        </w:rPr>
      </w:pPr>
      <w:r w:rsidRPr="00B978D9">
        <w:rPr>
          <w:i/>
          <w:sz w:val="22"/>
          <w:szCs w:val="22"/>
          <w:u w:val="single"/>
        </w:rPr>
        <w:t>Intereses y Otros Cargos por Préstamos</w:t>
      </w:r>
      <w:r w:rsidRPr="00B978D9">
        <w:rPr>
          <w:sz w:val="22"/>
          <w:szCs w:val="22"/>
        </w:rPr>
        <w:t xml:space="preserve">: </w:t>
      </w:r>
      <w:r w:rsidR="00FF6E5F" w:rsidRPr="00FF6E5F">
        <w:rPr>
          <w:sz w:val="22"/>
          <w:szCs w:val="22"/>
        </w:rPr>
        <w:t>Descienden un 2,7% en términos reales, debido mayoritariamente a un crecimiento en el volumen de créditos cedidos a fideicomisos financieros, lo cual disminuye los ingresos provenientes de créditos que permanecen sin cederse. A su vez, se reduce la incidencia de los Intereses Punitorios facturados a deudores con atrasos en sus pagos.</w:t>
      </w:r>
    </w:p>
    <w:p w14:paraId="05A2F015" w14:textId="77777777" w:rsidR="009564B0" w:rsidRPr="00B978D9" w:rsidRDefault="009564B0" w:rsidP="00B978D9">
      <w:pPr>
        <w:pStyle w:val="Prrafodelista"/>
        <w:jc w:val="both"/>
        <w:rPr>
          <w:sz w:val="22"/>
          <w:szCs w:val="22"/>
        </w:rPr>
      </w:pPr>
    </w:p>
    <w:p w14:paraId="4A03AD43" w14:textId="70E63591" w:rsidR="00EE78A9" w:rsidRPr="00883FCC" w:rsidRDefault="009564B0" w:rsidP="00FF6E5F">
      <w:pPr>
        <w:pStyle w:val="Prrafodelista"/>
        <w:numPr>
          <w:ilvl w:val="0"/>
          <w:numId w:val="63"/>
        </w:numPr>
        <w:spacing w:after="160" w:line="259" w:lineRule="auto"/>
        <w:jc w:val="both"/>
        <w:rPr>
          <w:i/>
          <w:sz w:val="22"/>
        </w:rPr>
      </w:pPr>
      <w:r w:rsidRPr="00B978D9">
        <w:rPr>
          <w:i/>
          <w:sz w:val="22"/>
          <w:szCs w:val="22"/>
          <w:u w:val="single"/>
        </w:rPr>
        <w:t>Otros Ingresos y Egresos</w:t>
      </w:r>
      <w:r w:rsidRPr="00B978D9">
        <w:rPr>
          <w:i/>
          <w:sz w:val="22"/>
          <w:szCs w:val="22"/>
        </w:rPr>
        <w:t xml:space="preserve">: </w:t>
      </w:r>
      <w:r w:rsidR="00FF6E5F" w:rsidRPr="00DF6BB2">
        <w:rPr>
          <w:sz w:val="22"/>
          <w:szCs w:val="22"/>
        </w:rPr>
        <w:t>Alcanzan los $ 190,36 MM, lo cual representa una disminución real del 11,4% respecto del ejercicio previo. Esto se debe a que el canon locativo del Centro de Distribución de Campana se actualiza, en base a inflación transcurrida, cada 6 meses. A niveles crecientes de inflación, actualizar dos veces al año se traduce indefectiblemente en ingresos reales menores que los que surgen de actualizar punta a punta, y a los fines comparativos, el mismo concepto del ejercicio previo.</w:t>
      </w:r>
    </w:p>
    <w:p w14:paraId="0247BBBE" w14:textId="783D0AE5" w:rsidR="00DF2624" w:rsidRDefault="00DF2624" w:rsidP="00883FCC">
      <w:pPr>
        <w:autoSpaceDE w:val="0"/>
        <w:autoSpaceDN w:val="0"/>
        <w:adjustRightInd w:val="0"/>
        <w:rPr>
          <w:rFonts w:ascii="Times New Roman" w:hAnsi="Times New Roman" w:cs="Times New Roman"/>
          <w:b/>
          <w:bCs/>
          <w:iCs/>
          <w:color w:val="0D0D0D" w:themeColor="text1" w:themeTint="F2"/>
          <w:sz w:val="22"/>
          <w:szCs w:val="22"/>
          <w:lang w:val="es-AR"/>
        </w:rPr>
      </w:pPr>
    </w:p>
    <w:p w14:paraId="14FA1DC0" w14:textId="77777777" w:rsidR="00DF2624" w:rsidRDefault="00DF2624"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p>
    <w:p w14:paraId="0A1AC1AE"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CARTERA DE CRÉDITOS DE </w:t>
      </w:r>
      <w:r>
        <w:rPr>
          <w:rFonts w:ascii="Times New Roman" w:hAnsi="Times New Roman" w:cs="Times New Roman"/>
          <w:b/>
          <w:bCs/>
          <w:iCs/>
          <w:color w:val="0D0D0D" w:themeColor="text1" w:themeTint="F2"/>
          <w:sz w:val="22"/>
          <w:szCs w:val="22"/>
          <w:lang w:val="es-AR"/>
        </w:rPr>
        <w:t>CONSUMO</w:t>
      </w:r>
      <w:r w:rsidRPr="00506990">
        <w:rPr>
          <w:rFonts w:ascii="Times New Roman" w:hAnsi="Times New Roman" w:cs="Times New Roman"/>
          <w:b/>
          <w:bCs/>
          <w:iCs/>
          <w:color w:val="0D0D0D" w:themeColor="text1" w:themeTint="F2"/>
          <w:sz w:val="22"/>
          <w:szCs w:val="22"/>
          <w:lang w:val="es-AR"/>
        </w:rPr>
        <w:t xml:space="preserve"> S.A.</w:t>
      </w:r>
    </w:p>
    <w:p w14:paraId="3F84D7A0"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2BBA4196" w14:textId="07060AB7" w:rsidR="005313E8" w:rsidRDefault="008650DB">
      <w:pPr>
        <w:autoSpaceDE w:val="0"/>
        <w:autoSpaceDN w:val="0"/>
        <w:adjustRightInd w:val="0"/>
        <w:jc w:val="center"/>
        <w:rPr>
          <w:rFonts w:ascii="Times New Roman" w:hAnsi="Times New Roman" w:cs="Times New Roman"/>
          <w:bCs/>
          <w:iCs/>
          <w:color w:val="0D0D0D" w:themeColor="text1" w:themeTint="F2"/>
          <w:sz w:val="22"/>
          <w:szCs w:val="22"/>
          <w:lang w:val="es-AR"/>
        </w:rPr>
      </w:pPr>
      <w:r w:rsidRPr="0012378C">
        <w:rPr>
          <w:rFonts w:ascii="Times New Roman" w:hAnsi="Times New Roman" w:cs="Times New Roman"/>
          <w:bCs/>
          <w:iCs/>
          <w:color w:val="0D0D0D" w:themeColor="text1" w:themeTint="F2"/>
          <w:sz w:val="22"/>
          <w:szCs w:val="22"/>
          <w:lang w:val="es-AR"/>
        </w:rPr>
        <w:t xml:space="preserve">(Información al </w:t>
      </w:r>
      <w:r w:rsidR="00FB5F81">
        <w:rPr>
          <w:rFonts w:ascii="Times New Roman" w:hAnsi="Times New Roman" w:cs="Times New Roman"/>
          <w:bCs/>
          <w:iCs/>
          <w:color w:val="0D0D0D" w:themeColor="text1" w:themeTint="F2"/>
          <w:sz w:val="22"/>
          <w:szCs w:val="22"/>
          <w:lang w:val="es-AR"/>
        </w:rPr>
        <w:t>3</w:t>
      </w:r>
      <w:r w:rsidR="00296CFC">
        <w:rPr>
          <w:rFonts w:ascii="Times New Roman" w:hAnsi="Times New Roman" w:cs="Times New Roman"/>
          <w:bCs/>
          <w:iCs/>
          <w:color w:val="0D0D0D" w:themeColor="text1" w:themeTint="F2"/>
          <w:sz w:val="22"/>
          <w:szCs w:val="22"/>
          <w:lang w:val="es-AR"/>
        </w:rPr>
        <w:t>0</w:t>
      </w:r>
      <w:r w:rsidR="00FB5F81">
        <w:rPr>
          <w:rFonts w:ascii="Times New Roman" w:hAnsi="Times New Roman" w:cs="Times New Roman"/>
          <w:bCs/>
          <w:iCs/>
          <w:color w:val="0D0D0D" w:themeColor="text1" w:themeTint="F2"/>
          <w:sz w:val="22"/>
          <w:szCs w:val="22"/>
          <w:lang w:val="es-AR"/>
        </w:rPr>
        <w:t xml:space="preserve"> </w:t>
      </w:r>
      <w:r w:rsidR="001D1D74">
        <w:rPr>
          <w:rFonts w:ascii="Times New Roman" w:hAnsi="Times New Roman" w:cs="Times New Roman"/>
          <w:bCs/>
          <w:iCs/>
          <w:color w:val="0D0D0D" w:themeColor="text1" w:themeTint="F2"/>
          <w:sz w:val="22"/>
          <w:szCs w:val="22"/>
          <w:lang w:val="es-AR"/>
        </w:rPr>
        <w:t xml:space="preserve">de </w:t>
      </w:r>
      <w:r w:rsidR="00296CFC">
        <w:rPr>
          <w:rFonts w:ascii="Times New Roman" w:hAnsi="Times New Roman" w:cs="Times New Roman"/>
          <w:bCs/>
          <w:iCs/>
          <w:color w:val="0D0D0D" w:themeColor="text1" w:themeTint="F2"/>
          <w:sz w:val="22"/>
          <w:szCs w:val="22"/>
          <w:lang w:val="es-AR"/>
        </w:rPr>
        <w:t>septiembre</w:t>
      </w:r>
      <w:r w:rsidR="00296CFC" w:rsidRPr="0012378C" w:rsidDel="00023E8C">
        <w:rPr>
          <w:rFonts w:ascii="Times New Roman" w:hAnsi="Times New Roman" w:cs="Times New Roman"/>
          <w:bCs/>
          <w:iCs/>
          <w:color w:val="0D0D0D" w:themeColor="text1" w:themeTint="F2"/>
          <w:sz w:val="22"/>
          <w:szCs w:val="22"/>
          <w:lang w:val="es-AR"/>
        </w:rPr>
        <w:t xml:space="preserve"> </w:t>
      </w:r>
      <w:r w:rsidRPr="0012378C">
        <w:rPr>
          <w:rFonts w:ascii="Times New Roman" w:hAnsi="Times New Roman" w:cs="Times New Roman"/>
          <w:bCs/>
          <w:iCs/>
          <w:color w:val="0D0D0D" w:themeColor="text1" w:themeTint="F2"/>
          <w:sz w:val="22"/>
          <w:szCs w:val="22"/>
          <w:lang w:val="es-AR"/>
        </w:rPr>
        <w:t>de 202</w:t>
      </w:r>
      <w:r w:rsidR="00D01D92">
        <w:rPr>
          <w:rFonts w:ascii="Times New Roman" w:hAnsi="Times New Roman" w:cs="Times New Roman"/>
          <w:bCs/>
          <w:iCs/>
          <w:color w:val="0D0D0D" w:themeColor="text1" w:themeTint="F2"/>
          <w:sz w:val="22"/>
          <w:szCs w:val="22"/>
          <w:lang w:val="es-AR"/>
        </w:rPr>
        <w:t>3</w:t>
      </w:r>
      <w:r w:rsidRPr="0012378C">
        <w:rPr>
          <w:rFonts w:ascii="Times New Roman" w:hAnsi="Times New Roman" w:cs="Times New Roman"/>
          <w:bCs/>
          <w:iCs/>
          <w:color w:val="0D0D0D" w:themeColor="text1" w:themeTint="F2"/>
          <w:sz w:val="22"/>
          <w:szCs w:val="22"/>
          <w:lang w:val="es-AR"/>
        </w:rPr>
        <w:t>)</w:t>
      </w:r>
    </w:p>
    <w:p w14:paraId="16468EFB" w14:textId="71F0C2E6" w:rsidR="00A03B97" w:rsidRPr="008B3986" w:rsidRDefault="00296CFC">
      <w:pPr>
        <w:autoSpaceDE w:val="0"/>
        <w:autoSpaceDN w:val="0"/>
        <w:adjustRightInd w:val="0"/>
        <w:jc w:val="center"/>
        <w:rPr>
          <w:color w:val="0D0D0D" w:themeColor="text1" w:themeTint="F2"/>
          <w:sz w:val="22"/>
          <w:lang w:val="es-AR"/>
        </w:rPr>
      </w:pPr>
      <w:r>
        <w:rPr>
          <w:noProof/>
          <w:lang w:val="es-AR" w:eastAsia="es-AR"/>
        </w:rPr>
        <w:drawing>
          <wp:inline distT="0" distB="0" distL="0" distR="0" wp14:anchorId="41E63650" wp14:editId="5D857C13">
            <wp:extent cx="5613400" cy="1924685"/>
            <wp:effectExtent l="0" t="0" r="6350" b="0"/>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3400" cy="1924685"/>
                    </a:xfrm>
                    <a:prstGeom prst="rect">
                      <a:avLst/>
                    </a:prstGeom>
                    <a:noFill/>
                    <a:extLst/>
                  </pic:spPr>
                </pic:pic>
              </a:graphicData>
            </a:graphic>
          </wp:inline>
        </w:drawing>
      </w:r>
    </w:p>
    <w:p w14:paraId="2BE7EB02" w14:textId="77777777" w:rsidR="00A03B97" w:rsidRPr="00506990" w:rsidRDefault="00A03B97" w:rsidP="0098446E">
      <w:pPr>
        <w:autoSpaceDE w:val="0"/>
        <w:autoSpaceDN w:val="0"/>
        <w:adjustRightInd w:val="0"/>
        <w:rPr>
          <w:rFonts w:ascii="Times New Roman" w:hAnsi="Times New Roman" w:cs="Times New Roman"/>
          <w:bCs/>
          <w:iCs/>
          <w:color w:val="0D0D0D" w:themeColor="text1" w:themeTint="F2"/>
          <w:sz w:val="22"/>
          <w:szCs w:val="22"/>
          <w:lang w:val="es-AR"/>
        </w:rPr>
      </w:pPr>
    </w:p>
    <w:p w14:paraId="653E6A39" w14:textId="7AA740B9"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p>
    <w:p w14:paraId="267DF0BD" w14:textId="7AD9AA22" w:rsidR="00C74064" w:rsidRDefault="00FF2095"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FF2095">
        <w:rPr>
          <w:noProof/>
          <w:lang w:val="es-AR" w:eastAsia="es-AR"/>
        </w:rPr>
        <w:t xml:space="preserve"> </w:t>
      </w:r>
      <w:r w:rsidR="0058758F" w:rsidRPr="0058758F">
        <w:rPr>
          <w:noProof/>
          <w:lang w:val="es-AR" w:eastAsia="es-AR"/>
        </w:rPr>
        <w:t xml:space="preserve"> </w:t>
      </w:r>
      <w:r w:rsidR="00846A5C" w:rsidRPr="00846A5C">
        <w:rPr>
          <w:noProof/>
          <w:lang w:val="es-AR" w:eastAsia="es-AR"/>
        </w:rPr>
        <w:t xml:space="preserve"> </w:t>
      </w:r>
      <w:r w:rsidR="00AF1405" w:rsidRPr="00AF1405">
        <w:rPr>
          <w:noProof/>
          <w:lang w:val="es-AR" w:eastAsia="es-AR"/>
        </w:rPr>
        <w:t xml:space="preserve"> </w:t>
      </w:r>
      <w:r w:rsidR="00296CFC" w:rsidRPr="00296CFC">
        <w:rPr>
          <w:noProof/>
          <w:lang w:val="es-AR" w:eastAsia="es-AR"/>
        </w:rPr>
        <w:drawing>
          <wp:inline distT="0" distB="0" distL="0" distR="0" wp14:anchorId="57A38766" wp14:editId="02E5A219">
            <wp:extent cx="5613400" cy="586547"/>
            <wp:effectExtent l="0" t="0" r="0"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3400" cy="586547"/>
                    </a:xfrm>
                    <a:prstGeom prst="rect">
                      <a:avLst/>
                    </a:prstGeom>
                    <a:noFill/>
                    <a:ln>
                      <a:noFill/>
                    </a:ln>
                  </pic:spPr>
                </pic:pic>
              </a:graphicData>
            </a:graphic>
          </wp:inline>
        </w:drawing>
      </w:r>
    </w:p>
    <w:p w14:paraId="488948F1" w14:textId="633D38AD"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55C02DED"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p>
    <w:p w14:paraId="48AEB7E9"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2AB4BFE4" w14:textId="2924FF83"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Consumo S.A</w:t>
      </w:r>
      <w:r w:rsidR="001C470F" w:rsidRPr="00506990">
        <w:rPr>
          <w:rFonts w:ascii="Times New Roman" w:hAnsi="Times New Roman" w:cs="Times New Roman"/>
          <w:bCs/>
          <w:iCs/>
          <w:color w:val="0D0D0D" w:themeColor="text1" w:themeTint="F2"/>
          <w:sz w:val="22"/>
          <w:szCs w:val="22"/>
          <w:lang w:val="es-AR"/>
        </w:rPr>
        <w:t>.</w:t>
      </w:r>
      <w:r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 en estos casos se previsiona el 100% del capital adeudado más los intereses devengados sin perjuicio de la continuación de las acciones judiciales de cobro.</w:t>
      </w:r>
      <w:r w:rsidR="00FD1400" w:rsidRPr="00FD1400">
        <w:rPr>
          <w:rFonts w:ascii="Times New Roman" w:hAnsi="Times New Roman" w:cs="Times New Roman"/>
          <w:bCs/>
          <w:iCs/>
          <w:color w:val="0D0D0D" w:themeColor="text1" w:themeTint="F2"/>
          <w:sz w:val="22"/>
          <w:szCs w:val="22"/>
          <w:lang w:val="es-AR"/>
        </w:rPr>
        <w:t xml:space="preserve"> </w:t>
      </w:r>
    </w:p>
    <w:p w14:paraId="5C14F7E1" w14:textId="77777777" w:rsidR="00C16FCF" w:rsidRDefault="00C16FCF"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73326112" w14:textId="48EEB4EE" w:rsidR="0056729A" w:rsidRDefault="00FF2095" w:rsidP="0012672D">
      <w:pPr>
        <w:autoSpaceDE w:val="0"/>
        <w:autoSpaceDN w:val="0"/>
        <w:adjustRightInd w:val="0"/>
        <w:jc w:val="center"/>
        <w:rPr>
          <w:rFonts w:ascii="Times New Roman" w:hAnsi="Times New Roman" w:cs="Times New Roman"/>
          <w:bCs/>
          <w:iCs/>
          <w:color w:val="0D0D0D" w:themeColor="text1" w:themeTint="F2"/>
          <w:sz w:val="22"/>
          <w:szCs w:val="22"/>
          <w:lang w:val="es-AR"/>
        </w:rPr>
      </w:pPr>
      <w:r w:rsidRPr="00FF2095">
        <w:rPr>
          <w:noProof/>
          <w:lang w:val="es-AR" w:eastAsia="es-AR"/>
        </w:rPr>
        <w:t xml:space="preserve"> </w:t>
      </w:r>
      <w:r w:rsidR="00296CFC" w:rsidRPr="00296CFC">
        <w:rPr>
          <w:noProof/>
          <w:lang w:val="es-AR" w:eastAsia="es-AR"/>
        </w:rPr>
        <w:drawing>
          <wp:inline distT="0" distB="0" distL="0" distR="0" wp14:anchorId="28415EBD" wp14:editId="7BF31C51">
            <wp:extent cx="5613400" cy="2368461"/>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3400" cy="2368461"/>
                    </a:xfrm>
                    <a:prstGeom prst="rect">
                      <a:avLst/>
                    </a:prstGeom>
                    <a:noFill/>
                    <a:ln>
                      <a:noFill/>
                    </a:ln>
                  </pic:spPr>
                </pic:pic>
              </a:graphicData>
            </a:graphic>
          </wp:inline>
        </w:drawing>
      </w:r>
      <w:r w:rsidR="0058758F" w:rsidRPr="0058758F">
        <w:rPr>
          <w:noProof/>
          <w:lang w:val="es-AR" w:eastAsia="es-AR"/>
        </w:rPr>
        <w:t xml:space="preserve"> </w:t>
      </w:r>
      <w:r w:rsidR="00846A5C" w:rsidRPr="00846A5C">
        <w:rPr>
          <w:noProof/>
          <w:lang w:val="es-AR" w:eastAsia="es-AR"/>
        </w:rPr>
        <w:t xml:space="preserve"> </w:t>
      </w:r>
      <w:r w:rsidR="00AF1405" w:rsidRPr="00AF1405">
        <w:rPr>
          <w:noProof/>
          <w:lang w:val="es-AR" w:eastAsia="es-AR"/>
        </w:rPr>
        <w:t xml:space="preserve"> </w:t>
      </w:r>
    </w:p>
    <w:p w14:paraId="6EC2E82C" w14:textId="16C7207B" w:rsidR="00942C14"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3B4F86B3" w14:textId="77777777" w:rsidR="00653CFF" w:rsidRDefault="00653CFF" w:rsidP="00DB405C">
      <w:pPr>
        <w:autoSpaceDE w:val="0"/>
        <w:autoSpaceDN w:val="0"/>
        <w:adjustRightInd w:val="0"/>
        <w:rPr>
          <w:rFonts w:ascii="Times New Roman" w:hAnsi="Times New Roman" w:cs="Times New Roman"/>
          <w:b/>
          <w:bCs/>
          <w:iCs/>
          <w:color w:val="0D0D0D" w:themeColor="text1" w:themeTint="F2"/>
          <w:sz w:val="22"/>
          <w:szCs w:val="22"/>
          <w:lang w:val="es-AR"/>
        </w:rPr>
      </w:pPr>
    </w:p>
    <w:p w14:paraId="4AE207EA" w14:textId="1CDC353E" w:rsidR="00942C14" w:rsidRPr="00506990" w:rsidRDefault="00942C14" w:rsidP="00942C14">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Pr>
          <w:rFonts w:ascii="Times New Roman" w:hAnsi="Times New Roman" w:cs="Times New Roman"/>
          <w:b/>
          <w:bCs/>
          <w:iCs/>
          <w:color w:val="0D0D0D" w:themeColor="text1" w:themeTint="F2"/>
          <w:sz w:val="22"/>
          <w:szCs w:val="22"/>
          <w:lang w:val="es-AR"/>
        </w:rPr>
        <w:t xml:space="preserve"> Saldos de Cartera</w:t>
      </w:r>
    </w:p>
    <w:p w14:paraId="3C01D90F" w14:textId="45A63394" w:rsidR="008650DB" w:rsidRPr="004F6E4A" w:rsidRDefault="008650DB" w:rsidP="008650DB">
      <w:pPr>
        <w:autoSpaceDE w:val="0"/>
        <w:autoSpaceDN w:val="0"/>
        <w:adjustRightInd w:val="0"/>
        <w:jc w:val="center"/>
        <w:rPr>
          <w:rFonts w:ascii="Times New Roman" w:hAnsi="Times New Roman" w:cs="Times New Roman"/>
          <w:bCs/>
          <w:iCs/>
          <w:color w:val="0D0D0D" w:themeColor="text1" w:themeTint="F2"/>
          <w:sz w:val="22"/>
          <w:szCs w:val="22"/>
          <w:lang w:val="es-AR"/>
        </w:rPr>
      </w:pPr>
      <w:r w:rsidRPr="0012378C">
        <w:rPr>
          <w:rFonts w:ascii="Times New Roman" w:hAnsi="Times New Roman" w:cs="Times New Roman"/>
          <w:bCs/>
          <w:iCs/>
          <w:color w:val="0D0D0D" w:themeColor="text1" w:themeTint="F2"/>
          <w:sz w:val="22"/>
          <w:szCs w:val="22"/>
          <w:lang w:val="es-AR"/>
        </w:rPr>
        <w:t xml:space="preserve">(Información al </w:t>
      </w:r>
      <w:r w:rsidR="00FB5F81">
        <w:rPr>
          <w:rFonts w:ascii="Times New Roman" w:hAnsi="Times New Roman" w:cs="Times New Roman"/>
          <w:bCs/>
          <w:iCs/>
          <w:color w:val="0D0D0D" w:themeColor="text1" w:themeTint="F2"/>
          <w:sz w:val="22"/>
          <w:szCs w:val="22"/>
          <w:lang w:val="es-AR"/>
        </w:rPr>
        <w:t>3</w:t>
      </w:r>
      <w:r w:rsidR="00296CFC">
        <w:rPr>
          <w:rFonts w:ascii="Times New Roman" w:hAnsi="Times New Roman" w:cs="Times New Roman"/>
          <w:bCs/>
          <w:iCs/>
          <w:color w:val="0D0D0D" w:themeColor="text1" w:themeTint="F2"/>
          <w:sz w:val="22"/>
          <w:szCs w:val="22"/>
          <w:lang w:val="es-AR"/>
        </w:rPr>
        <w:t>0</w:t>
      </w:r>
      <w:r w:rsidR="00FB5F81">
        <w:rPr>
          <w:rFonts w:ascii="Times New Roman" w:hAnsi="Times New Roman" w:cs="Times New Roman"/>
          <w:bCs/>
          <w:iCs/>
          <w:color w:val="0D0D0D" w:themeColor="text1" w:themeTint="F2"/>
          <w:sz w:val="22"/>
          <w:szCs w:val="22"/>
          <w:lang w:val="es-AR"/>
        </w:rPr>
        <w:t xml:space="preserve"> </w:t>
      </w:r>
      <w:r w:rsidR="001D1D74">
        <w:rPr>
          <w:rFonts w:ascii="Times New Roman" w:hAnsi="Times New Roman" w:cs="Times New Roman"/>
          <w:bCs/>
          <w:iCs/>
          <w:color w:val="0D0D0D" w:themeColor="text1" w:themeTint="F2"/>
          <w:sz w:val="22"/>
          <w:szCs w:val="22"/>
          <w:lang w:val="es-AR"/>
        </w:rPr>
        <w:t xml:space="preserve">de </w:t>
      </w:r>
      <w:r w:rsidR="00296CFC">
        <w:rPr>
          <w:rFonts w:ascii="Times New Roman" w:hAnsi="Times New Roman" w:cs="Times New Roman"/>
          <w:bCs/>
          <w:iCs/>
          <w:color w:val="0D0D0D" w:themeColor="text1" w:themeTint="F2"/>
          <w:sz w:val="22"/>
          <w:szCs w:val="22"/>
          <w:lang w:val="es-AR"/>
        </w:rPr>
        <w:t>septiembre</w:t>
      </w:r>
      <w:r w:rsidR="000C32B7" w:rsidRPr="0012378C" w:rsidDel="00023E8C">
        <w:rPr>
          <w:rFonts w:ascii="Times New Roman" w:hAnsi="Times New Roman" w:cs="Times New Roman"/>
          <w:bCs/>
          <w:iCs/>
          <w:color w:val="0D0D0D" w:themeColor="text1" w:themeTint="F2"/>
          <w:sz w:val="22"/>
          <w:szCs w:val="22"/>
          <w:lang w:val="es-AR"/>
        </w:rPr>
        <w:t xml:space="preserve"> </w:t>
      </w:r>
      <w:r w:rsidRPr="0012378C">
        <w:rPr>
          <w:rFonts w:ascii="Times New Roman" w:hAnsi="Times New Roman" w:cs="Times New Roman"/>
          <w:bCs/>
          <w:iCs/>
          <w:color w:val="0D0D0D" w:themeColor="text1" w:themeTint="F2"/>
          <w:sz w:val="22"/>
          <w:szCs w:val="22"/>
          <w:lang w:val="es-AR"/>
        </w:rPr>
        <w:t>de 202</w:t>
      </w:r>
      <w:r w:rsidR="00D01D92">
        <w:rPr>
          <w:rFonts w:ascii="Times New Roman" w:hAnsi="Times New Roman" w:cs="Times New Roman"/>
          <w:bCs/>
          <w:iCs/>
          <w:color w:val="0D0D0D" w:themeColor="text1" w:themeTint="F2"/>
          <w:sz w:val="22"/>
          <w:szCs w:val="22"/>
          <w:lang w:val="es-AR"/>
        </w:rPr>
        <w:t>3</w:t>
      </w:r>
      <w:r w:rsidRPr="0012378C">
        <w:rPr>
          <w:rFonts w:ascii="Times New Roman" w:hAnsi="Times New Roman" w:cs="Times New Roman"/>
          <w:bCs/>
          <w:iCs/>
          <w:color w:val="0D0D0D" w:themeColor="text1" w:themeTint="F2"/>
          <w:sz w:val="22"/>
          <w:szCs w:val="22"/>
          <w:lang w:val="es-AR"/>
        </w:rPr>
        <w:t>)</w:t>
      </w:r>
    </w:p>
    <w:p w14:paraId="7A198CD7" w14:textId="14C4D446" w:rsidR="00942C14" w:rsidRDefault="008650DB" w:rsidP="00942C14">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sidDel="008650DB">
        <w:rPr>
          <w:rFonts w:ascii="Times New Roman" w:hAnsi="Times New Roman" w:cs="Times New Roman"/>
          <w:bCs/>
          <w:iCs/>
          <w:color w:val="0D0D0D" w:themeColor="text1" w:themeTint="F2"/>
          <w:sz w:val="22"/>
          <w:szCs w:val="22"/>
          <w:lang w:val="es-AR"/>
        </w:rPr>
        <w:t xml:space="preserve"> </w:t>
      </w:r>
      <w:r w:rsidR="00296CFC" w:rsidRPr="00296CFC">
        <w:rPr>
          <w:noProof/>
          <w:lang w:val="es-AR" w:eastAsia="es-AR"/>
        </w:rPr>
        <w:drawing>
          <wp:inline distT="0" distB="0" distL="0" distR="0" wp14:anchorId="1E839CFD" wp14:editId="2BBDC70D">
            <wp:extent cx="3454400" cy="1936750"/>
            <wp:effectExtent l="0" t="0" r="0"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54400" cy="1936750"/>
                    </a:xfrm>
                    <a:prstGeom prst="rect">
                      <a:avLst/>
                    </a:prstGeom>
                    <a:noFill/>
                    <a:ln>
                      <a:noFill/>
                    </a:ln>
                  </pic:spPr>
                </pic:pic>
              </a:graphicData>
            </a:graphic>
          </wp:inline>
        </w:drawing>
      </w:r>
    </w:p>
    <w:p w14:paraId="5D9A5F61" w14:textId="596B74EE" w:rsidR="00942C14" w:rsidRDefault="00846A5C" w:rsidP="0032703B">
      <w:pPr>
        <w:autoSpaceDE w:val="0"/>
        <w:autoSpaceDN w:val="0"/>
        <w:adjustRightInd w:val="0"/>
        <w:jc w:val="center"/>
        <w:rPr>
          <w:rFonts w:ascii="Times New Roman" w:hAnsi="Times New Roman" w:cs="Times New Roman"/>
          <w:bCs/>
          <w:iCs/>
          <w:color w:val="0D0D0D" w:themeColor="text1" w:themeTint="F2"/>
          <w:sz w:val="22"/>
          <w:szCs w:val="22"/>
          <w:lang w:val="es-AR"/>
        </w:rPr>
      </w:pPr>
      <w:r w:rsidRPr="00846A5C">
        <w:rPr>
          <w:rFonts w:ascii="Times New Roman" w:hAnsi="Times New Roman" w:cs="Times New Roman"/>
          <w:bCs/>
          <w:iCs/>
          <w:color w:val="0D0D0D" w:themeColor="text1" w:themeTint="F2"/>
          <w:sz w:val="22"/>
          <w:szCs w:val="22"/>
          <w:lang w:val="es-AR"/>
        </w:rPr>
        <w:t xml:space="preserve"> </w:t>
      </w:r>
      <w:r w:rsidR="00AF1405" w:rsidRPr="00AF1405">
        <w:rPr>
          <w:rFonts w:ascii="Times New Roman" w:hAnsi="Times New Roman" w:cs="Times New Roman"/>
          <w:bCs/>
          <w:iCs/>
          <w:color w:val="0D0D0D" w:themeColor="text1" w:themeTint="F2"/>
          <w:sz w:val="22"/>
          <w:szCs w:val="22"/>
          <w:lang w:val="es-AR"/>
        </w:rPr>
        <w:t xml:space="preserve"> </w:t>
      </w:r>
    </w:p>
    <w:p w14:paraId="23E6D9B6" w14:textId="77777777" w:rsidR="000D0234" w:rsidRPr="00506990" w:rsidRDefault="000D0234" w:rsidP="0098446E">
      <w:pPr>
        <w:pStyle w:val="Prrafodelista"/>
        <w:autoSpaceDE w:val="0"/>
        <w:autoSpaceDN w:val="0"/>
        <w:adjustRightInd w:val="0"/>
        <w:ind w:left="360"/>
        <w:rPr>
          <w:bCs/>
          <w:iCs/>
          <w:color w:val="0D0D0D" w:themeColor="text1" w:themeTint="F2"/>
          <w:sz w:val="22"/>
          <w:szCs w:val="22"/>
          <w:lang w:val="es-AR"/>
        </w:rPr>
      </w:pPr>
    </w:p>
    <w:p w14:paraId="41B6ED31" w14:textId="39DDBDCE" w:rsidR="00CC479E" w:rsidRPr="00543196" w:rsidRDefault="00CC479E" w:rsidP="006E1DEB">
      <w:pPr>
        <w:pStyle w:val="Prrafodelista"/>
        <w:shd w:val="clear" w:color="auto" w:fill="D9D9D9"/>
        <w:ind w:left="360"/>
        <w:rPr>
          <w:b/>
          <w:color w:val="0D0D0D" w:themeColor="text1" w:themeTint="F2"/>
          <w:sz w:val="22"/>
          <w:szCs w:val="22"/>
          <w:lang w:val="es-AR"/>
        </w:rPr>
      </w:pPr>
      <w:r w:rsidRPr="00506990">
        <w:rPr>
          <w:b/>
          <w:color w:val="0D0D0D" w:themeColor="text1" w:themeTint="F2"/>
          <w:sz w:val="22"/>
          <w:szCs w:val="22"/>
          <w:lang w:val="es-AR"/>
        </w:rPr>
        <w:t xml:space="preserve">ESTADO DE FLUJO DE FONDOS – </w:t>
      </w:r>
      <w:r w:rsidR="002A0DED" w:rsidRPr="00506990">
        <w:rPr>
          <w:b/>
          <w:color w:val="0D0D0D" w:themeColor="text1" w:themeTint="F2"/>
          <w:sz w:val="22"/>
          <w:szCs w:val="22"/>
          <w:lang w:val="es-AR"/>
        </w:rPr>
        <w:t>CONSUMO S.A.</w:t>
      </w:r>
      <w:r w:rsidR="00E03644">
        <w:rPr>
          <w:b/>
          <w:color w:val="0D0D0D" w:themeColor="text1" w:themeTint="F2"/>
          <w:sz w:val="22"/>
          <w:szCs w:val="22"/>
          <w:lang w:val="es-AR"/>
        </w:rPr>
        <w:t xml:space="preserve"> </w:t>
      </w:r>
    </w:p>
    <w:p w14:paraId="67719D3C" w14:textId="313580B1" w:rsidR="00CC479E" w:rsidRDefault="0046671E" w:rsidP="0098446E">
      <w:pPr>
        <w:autoSpaceDE w:val="0"/>
        <w:autoSpaceDN w:val="0"/>
        <w:adjustRightInd w:val="0"/>
        <w:rPr>
          <w:bCs/>
          <w:iCs/>
          <w:color w:val="0D0D0D" w:themeColor="text1" w:themeTint="F2"/>
          <w:sz w:val="22"/>
          <w:szCs w:val="22"/>
        </w:rPr>
      </w:pPr>
      <w:r w:rsidRPr="0046671E">
        <w:rPr>
          <w:noProof/>
          <w:lang w:val="es-AR" w:eastAsia="es-AR"/>
        </w:rPr>
        <w:t xml:space="preserve"> </w:t>
      </w:r>
      <w:r w:rsidR="00846A5C" w:rsidRPr="00846A5C">
        <w:rPr>
          <w:noProof/>
          <w:lang w:val="es-AR" w:eastAsia="es-AR"/>
        </w:rPr>
        <w:t xml:space="preserve"> </w:t>
      </w:r>
    </w:p>
    <w:p w14:paraId="0CA9EA3B" w14:textId="7E20A8F0" w:rsidR="00473E83" w:rsidRDefault="00B568F3" w:rsidP="0098446E">
      <w:pPr>
        <w:autoSpaceDE w:val="0"/>
        <w:autoSpaceDN w:val="0"/>
        <w:adjustRightInd w:val="0"/>
        <w:rPr>
          <w:bCs/>
          <w:iCs/>
          <w:color w:val="0D0D0D" w:themeColor="text1" w:themeTint="F2"/>
          <w:sz w:val="22"/>
          <w:szCs w:val="22"/>
        </w:rPr>
      </w:pPr>
      <w:r w:rsidRPr="00B568F3">
        <w:rPr>
          <w:noProof/>
          <w:lang w:val="es-AR" w:eastAsia="es-AR"/>
        </w:rPr>
        <w:drawing>
          <wp:inline distT="0" distB="0" distL="0" distR="0" wp14:anchorId="0D9B0EE9" wp14:editId="71AE4BC2">
            <wp:extent cx="5613400" cy="4635284"/>
            <wp:effectExtent l="0" t="0" r="635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13400" cy="4635284"/>
                    </a:xfrm>
                    <a:prstGeom prst="rect">
                      <a:avLst/>
                    </a:prstGeom>
                    <a:noFill/>
                    <a:ln>
                      <a:noFill/>
                    </a:ln>
                  </pic:spPr>
                </pic:pic>
              </a:graphicData>
            </a:graphic>
          </wp:inline>
        </w:drawing>
      </w:r>
    </w:p>
    <w:p w14:paraId="4243E991" w14:textId="16DAEA9E" w:rsidR="003374AC" w:rsidRPr="00264736" w:rsidRDefault="00DD5E09" w:rsidP="003374AC">
      <w:pPr>
        <w:rPr>
          <w:rFonts w:ascii="Times New Roman" w:hAnsi="Times New Roman" w:cs="Times New Roman"/>
          <w:sz w:val="22"/>
          <w:szCs w:val="22"/>
          <w:lang w:val="es-AR"/>
        </w:rPr>
      </w:pPr>
      <w:r w:rsidRPr="00DD5E09">
        <w:rPr>
          <w:rFonts w:ascii="Times New Roman" w:hAnsi="Times New Roman" w:cs="Times New Roman"/>
          <w:sz w:val="22"/>
          <w:szCs w:val="22"/>
          <w:lang w:val="es-AR"/>
        </w:rPr>
        <w:t>Las variaciones negativas de</w:t>
      </w:r>
      <w:r w:rsidR="00FB5F81">
        <w:rPr>
          <w:rFonts w:ascii="Times New Roman" w:hAnsi="Times New Roman" w:cs="Times New Roman"/>
          <w:sz w:val="22"/>
          <w:szCs w:val="22"/>
          <w:lang w:val="es-AR"/>
        </w:rPr>
        <w:t xml:space="preserve"> </w:t>
      </w:r>
      <w:r w:rsidR="00264736">
        <w:rPr>
          <w:rFonts w:ascii="Times New Roman" w:hAnsi="Times New Roman" w:cs="Times New Roman"/>
          <w:sz w:val="22"/>
          <w:szCs w:val="22"/>
          <w:lang w:val="es-AR"/>
        </w:rPr>
        <w:t>agost</w:t>
      </w:r>
      <w:r w:rsidR="003374AC">
        <w:rPr>
          <w:rFonts w:ascii="Times New Roman" w:hAnsi="Times New Roman" w:cs="Times New Roman"/>
          <w:sz w:val="22"/>
          <w:szCs w:val="22"/>
          <w:lang w:val="es-AR"/>
        </w:rPr>
        <w:t>o de 2023</w:t>
      </w:r>
      <w:r w:rsidR="00264736">
        <w:rPr>
          <w:rFonts w:ascii="Times New Roman" w:hAnsi="Times New Roman" w:cs="Times New Roman"/>
          <w:sz w:val="22"/>
          <w:szCs w:val="22"/>
          <w:lang w:val="es-AR"/>
        </w:rPr>
        <w:t xml:space="preserve"> </w:t>
      </w:r>
      <w:r w:rsidR="00264736" w:rsidRPr="00264736">
        <w:rPr>
          <w:rFonts w:ascii="Times New Roman" w:hAnsi="Times New Roman" w:cs="Times New Roman"/>
          <w:sz w:val="22"/>
          <w:szCs w:val="22"/>
          <w:lang w:val="es-AR"/>
        </w:rPr>
        <w:t>obedece</w:t>
      </w:r>
      <w:r w:rsidR="00B568F3">
        <w:rPr>
          <w:rFonts w:ascii="Times New Roman" w:hAnsi="Times New Roman" w:cs="Times New Roman"/>
          <w:sz w:val="22"/>
          <w:szCs w:val="22"/>
          <w:lang w:val="es-AR"/>
        </w:rPr>
        <w:t>n</w:t>
      </w:r>
      <w:r w:rsidR="003374AC" w:rsidRPr="00264736">
        <w:rPr>
          <w:rFonts w:ascii="Times New Roman" w:hAnsi="Times New Roman" w:cs="Times New Roman"/>
          <w:sz w:val="22"/>
          <w:szCs w:val="22"/>
          <w:lang w:val="es-AR"/>
        </w:rPr>
        <w:t xml:space="preserve"> </w:t>
      </w:r>
      <w:r w:rsidR="00264736" w:rsidRPr="007D10B1">
        <w:rPr>
          <w:rFonts w:ascii="Times New Roman" w:hAnsi="Times New Roman" w:cs="Times New Roman"/>
          <w:color w:val="222222"/>
          <w:sz w:val="22"/>
          <w:szCs w:val="22"/>
          <w:shd w:val="clear" w:color="auto" w:fill="FFFFFF"/>
        </w:rPr>
        <w:t>a menores recursos financieros provistos por sociedades vinculadas</w:t>
      </w:r>
      <w:r w:rsidR="003374AC" w:rsidRPr="00264736">
        <w:rPr>
          <w:rFonts w:ascii="Times New Roman" w:hAnsi="Times New Roman" w:cs="Times New Roman"/>
          <w:sz w:val="22"/>
          <w:szCs w:val="22"/>
          <w:lang w:val="es-AR"/>
        </w:rPr>
        <w:t>.</w:t>
      </w:r>
      <w:r w:rsidR="00B568F3">
        <w:rPr>
          <w:rFonts w:ascii="Times New Roman" w:hAnsi="Times New Roman" w:cs="Times New Roman"/>
          <w:sz w:val="22"/>
          <w:szCs w:val="22"/>
          <w:lang w:val="es-AR"/>
        </w:rPr>
        <w:t xml:space="preserve"> Las de Septiembre 2023 </w:t>
      </w:r>
      <w:r w:rsidR="00B568F3" w:rsidRPr="00B568F3">
        <w:rPr>
          <w:rFonts w:ascii="Times New Roman" w:hAnsi="Times New Roman" w:cs="Times New Roman"/>
          <w:sz w:val="22"/>
          <w:szCs w:val="22"/>
          <w:lang w:val="es-AR"/>
        </w:rPr>
        <w:t>pu</w:t>
      </w:r>
      <w:r w:rsidR="00B568F3">
        <w:rPr>
          <w:rFonts w:ascii="Times New Roman" w:hAnsi="Times New Roman" w:cs="Times New Roman"/>
          <w:sz w:val="22"/>
          <w:szCs w:val="22"/>
          <w:lang w:val="es-AR"/>
        </w:rPr>
        <w:t>eden</w:t>
      </w:r>
      <w:r w:rsidR="00B568F3" w:rsidRPr="00B568F3">
        <w:rPr>
          <w:rFonts w:ascii="Times New Roman" w:hAnsi="Times New Roman" w:cs="Times New Roman"/>
          <w:sz w:val="22"/>
          <w:szCs w:val="22"/>
          <w:lang w:val="es-AR"/>
        </w:rPr>
        <w:t xml:space="preserve"> atribuirse fundamentalmente a mayor efectivo destinado al otorgamiento de préstamos (las sucursales MEGACASH exclusivas fueron las únicas que se mantuvieron prestando dinero) y a la cancelación de saldos con empresas vinculadas.</w:t>
      </w:r>
    </w:p>
    <w:p w14:paraId="6DE41372" w14:textId="4D4014CE" w:rsidR="00A924E0" w:rsidRPr="00FB5F81" w:rsidRDefault="00A924E0" w:rsidP="0098446E">
      <w:pPr>
        <w:autoSpaceDE w:val="0"/>
        <w:autoSpaceDN w:val="0"/>
        <w:adjustRightInd w:val="0"/>
        <w:rPr>
          <w:rFonts w:ascii="Times New Roman" w:hAnsi="Times New Roman" w:cs="Times New Roman"/>
          <w:sz w:val="22"/>
          <w:szCs w:val="22"/>
          <w:lang w:val="es-AR"/>
        </w:rPr>
      </w:pPr>
    </w:p>
    <w:p w14:paraId="0F13CB53" w14:textId="77777777" w:rsidR="005F7412" w:rsidRPr="0098446E" w:rsidRDefault="005F7412" w:rsidP="0098446E">
      <w:pPr>
        <w:autoSpaceDE w:val="0"/>
        <w:autoSpaceDN w:val="0"/>
        <w:adjustRightInd w:val="0"/>
        <w:rPr>
          <w:bCs/>
          <w:iCs/>
          <w:color w:val="0D0D0D" w:themeColor="text1" w:themeTint="F2"/>
          <w:sz w:val="22"/>
          <w:szCs w:val="22"/>
        </w:rPr>
      </w:pPr>
    </w:p>
    <w:p w14:paraId="4B29354E" w14:textId="1BFB528B" w:rsidR="00CC479E" w:rsidRPr="0098446E" w:rsidRDefault="00CC479E" w:rsidP="006A1313">
      <w:pPr>
        <w:pStyle w:val="Prrafodelista"/>
        <w:numPr>
          <w:ilvl w:val="0"/>
          <w:numId w:val="25"/>
        </w:numPr>
        <w:shd w:val="clear" w:color="auto" w:fill="D9D9D9"/>
        <w:spacing w:after="120"/>
        <w:ind w:left="357" w:hanging="357"/>
        <w:contextualSpacing w:val="0"/>
        <w:rPr>
          <w:b/>
          <w:color w:val="0D0D0D" w:themeColor="text1" w:themeTint="F2"/>
          <w:sz w:val="22"/>
          <w:szCs w:val="22"/>
        </w:rPr>
      </w:pPr>
      <w:r w:rsidRPr="00506990">
        <w:rPr>
          <w:b/>
          <w:color w:val="0D0D0D" w:themeColor="text1" w:themeTint="F2"/>
          <w:sz w:val="22"/>
          <w:szCs w:val="22"/>
        </w:rPr>
        <w:t>Evolución de la cantidad de empleados</w:t>
      </w:r>
      <w:r w:rsidR="00E03644">
        <w:rPr>
          <w:b/>
          <w:color w:val="0D0D0D" w:themeColor="text1" w:themeTint="F2"/>
          <w:sz w:val="22"/>
          <w:szCs w:val="22"/>
        </w:rPr>
        <w:t xml:space="preserve"> </w:t>
      </w:r>
    </w:p>
    <w:p w14:paraId="7C25C250" w14:textId="47EF9C11" w:rsidR="0032703B" w:rsidRDefault="000D0234" w:rsidP="0032703B">
      <w:pPr>
        <w:pStyle w:val="Prrafodelista"/>
        <w:ind w:left="360"/>
        <w:rPr>
          <w:color w:val="0D0D0D" w:themeColor="text1" w:themeTint="F2"/>
          <w:sz w:val="22"/>
          <w:szCs w:val="22"/>
        </w:rPr>
      </w:pPr>
      <w:r>
        <w:rPr>
          <w:color w:val="0D0D0D" w:themeColor="text1" w:themeTint="F2"/>
          <w:sz w:val="22"/>
          <w:szCs w:val="22"/>
        </w:rPr>
        <w:t>Cantidad de empleados al 31/05/2021: 8</w:t>
      </w:r>
      <w:r w:rsidR="000E1BDF">
        <w:rPr>
          <w:color w:val="0D0D0D" w:themeColor="text1" w:themeTint="F2"/>
          <w:sz w:val="22"/>
          <w:szCs w:val="22"/>
        </w:rPr>
        <w:tab/>
      </w:r>
    </w:p>
    <w:p w14:paraId="6C64D7C9" w14:textId="0D650375" w:rsidR="008650DB" w:rsidRPr="00C00C15" w:rsidRDefault="008650DB" w:rsidP="0098446E">
      <w:pPr>
        <w:pStyle w:val="Prrafodelista"/>
        <w:ind w:left="360"/>
        <w:rPr>
          <w:color w:val="0D0D0D" w:themeColor="text1" w:themeTint="F2"/>
          <w:sz w:val="22"/>
          <w:szCs w:val="22"/>
          <w:lang w:val="es-AR"/>
        </w:rPr>
      </w:pPr>
      <w:r w:rsidRPr="008650DB">
        <w:rPr>
          <w:color w:val="0D0D0D" w:themeColor="text1" w:themeTint="F2"/>
          <w:sz w:val="22"/>
          <w:szCs w:val="22"/>
        </w:rPr>
        <w:t>Cantidad de empleados al 3</w:t>
      </w:r>
      <w:r w:rsidR="00AF17EC">
        <w:rPr>
          <w:color w:val="0D0D0D" w:themeColor="text1" w:themeTint="F2"/>
          <w:sz w:val="22"/>
          <w:szCs w:val="22"/>
        </w:rPr>
        <w:t>1</w:t>
      </w:r>
      <w:r w:rsidRPr="008650DB">
        <w:rPr>
          <w:color w:val="0D0D0D" w:themeColor="text1" w:themeTint="F2"/>
          <w:sz w:val="22"/>
          <w:szCs w:val="22"/>
        </w:rPr>
        <w:t>/0</w:t>
      </w:r>
      <w:r w:rsidR="00AF17EC">
        <w:rPr>
          <w:color w:val="0D0D0D" w:themeColor="text1" w:themeTint="F2"/>
          <w:sz w:val="22"/>
          <w:szCs w:val="22"/>
        </w:rPr>
        <w:t>5</w:t>
      </w:r>
      <w:r w:rsidRPr="008650DB">
        <w:rPr>
          <w:color w:val="0D0D0D" w:themeColor="text1" w:themeTint="F2"/>
          <w:sz w:val="22"/>
          <w:szCs w:val="22"/>
        </w:rPr>
        <w:t>/2022: 7</w:t>
      </w:r>
    </w:p>
    <w:p w14:paraId="184BFD0F" w14:textId="18E03713" w:rsidR="00AF17EC" w:rsidRDefault="00AF17EC">
      <w:pPr>
        <w:pStyle w:val="Prrafodelista"/>
        <w:ind w:left="360"/>
        <w:rPr>
          <w:color w:val="0D0D0D" w:themeColor="text1" w:themeTint="F2"/>
          <w:sz w:val="22"/>
          <w:szCs w:val="22"/>
        </w:rPr>
      </w:pPr>
      <w:r w:rsidRPr="008650DB">
        <w:rPr>
          <w:color w:val="0D0D0D" w:themeColor="text1" w:themeTint="F2"/>
          <w:sz w:val="22"/>
          <w:szCs w:val="22"/>
        </w:rPr>
        <w:t xml:space="preserve">Cantidad de empleados al </w:t>
      </w:r>
      <w:r w:rsidR="002B75F7">
        <w:rPr>
          <w:color w:val="0D0D0D" w:themeColor="text1" w:themeTint="F2"/>
          <w:sz w:val="22"/>
          <w:szCs w:val="22"/>
        </w:rPr>
        <w:t>31</w:t>
      </w:r>
      <w:r w:rsidR="009A7FE7">
        <w:rPr>
          <w:color w:val="0D0D0D" w:themeColor="text1" w:themeTint="F2"/>
          <w:sz w:val="22"/>
          <w:szCs w:val="22"/>
        </w:rPr>
        <w:t>/</w:t>
      </w:r>
      <w:r w:rsidR="002B75F7">
        <w:rPr>
          <w:color w:val="0D0D0D" w:themeColor="text1" w:themeTint="F2"/>
          <w:sz w:val="22"/>
          <w:szCs w:val="22"/>
        </w:rPr>
        <w:t>05</w:t>
      </w:r>
      <w:r w:rsidRPr="008650DB">
        <w:rPr>
          <w:color w:val="0D0D0D" w:themeColor="text1" w:themeTint="F2"/>
          <w:sz w:val="22"/>
          <w:szCs w:val="22"/>
        </w:rPr>
        <w:t>/202</w:t>
      </w:r>
      <w:r w:rsidR="00A40C48">
        <w:rPr>
          <w:color w:val="0D0D0D" w:themeColor="text1" w:themeTint="F2"/>
          <w:sz w:val="22"/>
          <w:szCs w:val="22"/>
        </w:rPr>
        <w:t>3</w:t>
      </w:r>
      <w:r w:rsidRPr="008650DB">
        <w:rPr>
          <w:color w:val="0D0D0D" w:themeColor="text1" w:themeTint="F2"/>
          <w:sz w:val="22"/>
          <w:szCs w:val="22"/>
        </w:rPr>
        <w:t xml:space="preserve">: </w:t>
      </w:r>
      <w:r w:rsidR="002B75F7">
        <w:rPr>
          <w:color w:val="0D0D0D" w:themeColor="text1" w:themeTint="F2"/>
          <w:sz w:val="22"/>
          <w:szCs w:val="22"/>
        </w:rPr>
        <w:t>10</w:t>
      </w:r>
    </w:p>
    <w:p w14:paraId="28092FBF" w14:textId="08708D33" w:rsidR="007653BC" w:rsidRPr="00732D9A" w:rsidRDefault="007653BC">
      <w:pPr>
        <w:pStyle w:val="Prrafodelista"/>
        <w:ind w:left="360"/>
        <w:rPr>
          <w:color w:val="0D0D0D" w:themeColor="text1" w:themeTint="F2"/>
          <w:sz w:val="22"/>
          <w:szCs w:val="22"/>
        </w:rPr>
      </w:pPr>
      <w:r w:rsidRPr="008650DB">
        <w:rPr>
          <w:color w:val="0D0D0D" w:themeColor="text1" w:themeTint="F2"/>
          <w:sz w:val="22"/>
          <w:szCs w:val="22"/>
        </w:rPr>
        <w:t xml:space="preserve">Cantidad de empleados al </w:t>
      </w:r>
      <w:r>
        <w:rPr>
          <w:color w:val="0D0D0D" w:themeColor="text1" w:themeTint="F2"/>
          <w:sz w:val="22"/>
          <w:szCs w:val="22"/>
        </w:rPr>
        <w:t>3</w:t>
      </w:r>
      <w:r w:rsidR="00296CFC">
        <w:rPr>
          <w:color w:val="0D0D0D" w:themeColor="text1" w:themeTint="F2"/>
          <w:sz w:val="22"/>
          <w:szCs w:val="22"/>
        </w:rPr>
        <w:t>0</w:t>
      </w:r>
      <w:r>
        <w:rPr>
          <w:color w:val="0D0D0D" w:themeColor="text1" w:themeTint="F2"/>
          <w:sz w:val="22"/>
          <w:szCs w:val="22"/>
        </w:rPr>
        <w:t>/0</w:t>
      </w:r>
      <w:r w:rsidR="00296CFC">
        <w:rPr>
          <w:color w:val="0D0D0D" w:themeColor="text1" w:themeTint="F2"/>
          <w:sz w:val="22"/>
          <w:szCs w:val="22"/>
        </w:rPr>
        <w:t>9</w:t>
      </w:r>
      <w:r w:rsidRPr="008650DB">
        <w:rPr>
          <w:color w:val="0D0D0D" w:themeColor="text1" w:themeTint="F2"/>
          <w:sz w:val="22"/>
          <w:szCs w:val="22"/>
        </w:rPr>
        <w:t>/202</w:t>
      </w:r>
      <w:r>
        <w:rPr>
          <w:color w:val="0D0D0D" w:themeColor="text1" w:themeTint="F2"/>
          <w:sz w:val="22"/>
          <w:szCs w:val="22"/>
        </w:rPr>
        <w:t>3</w:t>
      </w:r>
      <w:r w:rsidRPr="008650DB">
        <w:rPr>
          <w:color w:val="0D0D0D" w:themeColor="text1" w:themeTint="F2"/>
          <w:sz w:val="22"/>
          <w:szCs w:val="22"/>
        </w:rPr>
        <w:t>:</w:t>
      </w:r>
      <w:r>
        <w:rPr>
          <w:color w:val="0D0D0D" w:themeColor="text1" w:themeTint="F2"/>
          <w:sz w:val="22"/>
          <w:szCs w:val="22"/>
        </w:rPr>
        <w:t xml:space="preserve"> </w:t>
      </w:r>
      <w:r w:rsidR="004A2F32">
        <w:rPr>
          <w:color w:val="0D0D0D" w:themeColor="text1" w:themeTint="F2"/>
          <w:sz w:val="22"/>
          <w:szCs w:val="22"/>
        </w:rPr>
        <w:t>7</w:t>
      </w:r>
    </w:p>
    <w:p w14:paraId="2F261049" w14:textId="77777777" w:rsidR="00E64FCD" w:rsidRDefault="00E64FCD" w:rsidP="0098446E">
      <w:pPr>
        <w:pStyle w:val="Prrafodelista"/>
        <w:ind w:left="360"/>
        <w:rPr>
          <w:color w:val="0D0D0D" w:themeColor="text1" w:themeTint="F2"/>
          <w:sz w:val="22"/>
          <w:szCs w:val="22"/>
        </w:rPr>
      </w:pPr>
    </w:p>
    <w:p w14:paraId="1DB9AAE8" w14:textId="04FB6E1B" w:rsidR="008650DB" w:rsidRDefault="008650DB" w:rsidP="008650DB">
      <w:pPr>
        <w:rPr>
          <w:rFonts w:ascii="Times New Roman" w:hAnsi="Times New Roman" w:cs="Times New Roman"/>
          <w:bCs/>
          <w:sz w:val="22"/>
          <w:szCs w:val="22"/>
          <w:lang w:val="es-AR"/>
        </w:rPr>
      </w:pPr>
      <w:r w:rsidRPr="00C57689">
        <w:rPr>
          <w:rFonts w:ascii="Times New Roman" w:hAnsi="Times New Roman" w:cs="Times New Roman"/>
          <w:bCs/>
          <w:color w:val="0D0D0D" w:themeColor="text1" w:themeTint="F2"/>
          <w:sz w:val="22"/>
          <w:szCs w:val="22"/>
          <w:lang w:val="es-AR"/>
        </w:rPr>
        <w:t>Para la gestión operativa Consumo cuenta adicionalmente con los servicios de la empresa Avenida A.C.E. (</w:t>
      </w:r>
      <w:r w:rsidRPr="00DD5E09">
        <w:rPr>
          <w:rFonts w:ascii="Times New Roman" w:hAnsi="Times New Roman" w:cs="Times New Roman"/>
          <w:bCs/>
          <w:color w:val="0D0D0D" w:themeColor="text1" w:themeTint="F2"/>
          <w:sz w:val="22"/>
          <w:szCs w:val="22"/>
          <w:lang w:val="es-AR"/>
        </w:rPr>
        <w:t>que cuenta co</w:t>
      </w:r>
      <w:r w:rsidRPr="00DD5E09">
        <w:rPr>
          <w:rFonts w:ascii="Times New Roman" w:hAnsi="Times New Roman" w:cs="Times New Roman"/>
          <w:bCs/>
          <w:sz w:val="22"/>
          <w:szCs w:val="22"/>
          <w:lang w:val="es-AR"/>
        </w:rPr>
        <w:t xml:space="preserve">n </w:t>
      </w:r>
      <w:r w:rsidR="000C32B7">
        <w:rPr>
          <w:rFonts w:ascii="Times New Roman" w:hAnsi="Times New Roman" w:cs="Times New Roman"/>
          <w:bCs/>
          <w:sz w:val="22"/>
          <w:szCs w:val="22"/>
          <w:lang w:val="es-AR"/>
        </w:rPr>
        <w:t>25</w:t>
      </w:r>
      <w:r w:rsidR="00296CFC">
        <w:rPr>
          <w:rFonts w:ascii="Times New Roman" w:hAnsi="Times New Roman" w:cs="Times New Roman"/>
          <w:bCs/>
          <w:sz w:val="22"/>
          <w:szCs w:val="22"/>
          <w:lang w:val="es-AR"/>
        </w:rPr>
        <w:t>6</w:t>
      </w:r>
      <w:r w:rsidR="000C32B7" w:rsidRPr="00DD5E09">
        <w:rPr>
          <w:rFonts w:ascii="Times New Roman" w:hAnsi="Times New Roman" w:cs="Times New Roman"/>
          <w:bCs/>
          <w:sz w:val="22"/>
          <w:szCs w:val="22"/>
          <w:lang w:val="es-AR"/>
        </w:rPr>
        <w:t xml:space="preserve"> </w:t>
      </w:r>
      <w:r w:rsidRPr="00DD5E09">
        <w:rPr>
          <w:rFonts w:ascii="Times New Roman" w:hAnsi="Times New Roman" w:cs="Times New Roman"/>
          <w:bCs/>
          <w:sz w:val="22"/>
          <w:szCs w:val="22"/>
          <w:lang w:val="es-AR"/>
        </w:rPr>
        <w:t xml:space="preserve">empleados al </w:t>
      </w:r>
      <w:r w:rsidR="002B75F7">
        <w:rPr>
          <w:rFonts w:ascii="Times New Roman" w:hAnsi="Times New Roman" w:cs="Times New Roman"/>
          <w:bCs/>
          <w:sz w:val="22"/>
          <w:szCs w:val="22"/>
          <w:lang w:val="es-AR"/>
        </w:rPr>
        <w:t>3</w:t>
      </w:r>
      <w:r w:rsidR="00296CFC">
        <w:rPr>
          <w:rFonts w:ascii="Times New Roman" w:hAnsi="Times New Roman" w:cs="Times New Roman"/>
          <w:bCs/>
          <w:sz w:val="22"/>
          <w:szCs w:val="22"/>
          <w:lang w:val="es-AR"/>
        </w:rPr>
        <w:t>0</w:t>
      </w:r>
      <w:r w:rsidR="002B75F7" w:rsidRPr="00DD5E09">
        <w:rPr>
          <w:rFonts w:ascii="Times New Roman" w:hAnsi="Times New Roman" w:cs="Times New Roman"/>
          <w:bCs/>
          <w:sz w:val="22"/>
          <w:szCs w:val="22"/>
          <w:lang w:val="es-AR"/>
        </w:rPr>
        <w:t xml:space="preserve"> </w:t>
      </w:r>
      <w:r w:rsidRPr="00DD5E09">
        <w:rPr>
          <w:rFonts w:ascii="Times New Roman" w:hAnsi="Times New Roman" w:cs="Times New Roman"/>
          <w:bCs/>
          <w:sz w:val="22"/>
          <w:szCs w:val="22"/>
          <w:lang w:val="es-AR"/>
        </w:rPr>
        <w:t xml:space="preserve">de </w:t>
      </w:r>
      <w:r w:rsidR="00296CFC">
        <w:rPr>
          <w:rFonts w:ascii="Times New Roman" w:hAnsi="Times New Roman" w:cs="Times New Roman"/>
          <w:bCs/>
          <w:sz w:val="22"/>
          <w:szCs w:val="22"/>
          <w:lang w:val="es-AR"/>
        </w:rPr>
        <w:t>septiembre</w:t>
      </w:r>
      <w:r w:rsidR="000C32B7">
        <w:rPr>
          <w:rFonts w:ascii="Times New Roman" w:hAnsi="Times New Roman" w:cs="Times New Roman"/>
          <w:bCs/>
          <w:sz w:val="22"/>
          <w:szCs w:val="22"/>
          <w:lang w:val="es-AR"/>
        </w:rPr>
        <w:t xml:space="preserve"> </w:t>
      </w:r>
      <w:r w:rsidRPr="00DD5E09">
        <w:rPr>
          <w:rFonts w:ascii="Times New Roman" w:hAnsi="Times New Roman" w:cs="Times New Roman"/>
          <w:bCs/>
          <w:sz w:val="22"/>
          <w:szCs w:val="22"/>
          <w:lang w:val="es-AR"/>
        </w:rPr>
        <w:t>de 202</w:t>
      </w:r>
      <w:r w:rsidR="00A40C48">
        <w:rPr>
          <w:rFonts w:ascii="Times New Roman" w:hAnsi="Times New Roman" w:cs="Times New Roman"/>
          <w:bCs/>
          <w:sz w:val="22"/>
          <w:szCs w:val="22"/>
          <w:lang w:val="es-AR"/>
        </w:rPr>
        <w:t>3</w:t>
      </w:r>
      <w:r w:rsidRPr="00DD5E09">
        <w:rPr>
          <w:rFonts w:ascii="Times New Roman" w:hAnsi="Times New Roman" w:cs="Times New Roman"/>
          <w:bCs/>
          <w:sz w:val="22"/>
          <w:szCs w:val="22"/>
          <w:lang w:val="es-AR"/>
        </w:rPr>
        <w:t>).</w:t>
      </w:r>
    </w:p>
    <w:p w14:paraId="58C1FCA9" w14:textId="77777777" w:rsidR="00DF0AC0" w:rsidRDefault="00DF0AC0" w:rsidP="00AC5521">
      <w:pPr>
        <w:rPr>
          <w:rFonts w:ascii="Times New Roman" w:hAnsi="Times New Roman" w:cs="Times New Roman"/>
          <w:bCs/>
          <w:sz w:val="22"/>
          <w:szCs w:val="22"/>
          <w:lang w:val="es-AR"/>
        </w:rPr>
      </w:pPr>
    </w:p>
    <w:p w14:paraId="2506B723" w14:textId="642EF730" w:rsidR="00DF0AC0" w:rsidRDefault="00DF0AC0" w:rsidP="00AC5521">
      <w:pPr>
        <w:rPr>
          <w:color w:val="0D0D0D" w:themeColor="text1" w:themeTint="F2"/>
          <w:sz w:val="22"/>
          <w:szCs w:val="22"/>
        </w:rPr>
      </w:pPr>
      <w:r>
        <w:rPr>
          <w:rFonts w:ascii="Times New Roman" w:hAnsi="Times New Roman" w:cs="Times New Roman"/>
          <w:bCs/>
          <w:sz w:val="22"/>
          <w:szCs w:val="22"/>
          <w:lang w:val="es-AR"/>
        </w:rPr>
        <w:t>A la fecha del presente Suplemento de Prospecto no existen variaciones significativas en el personal de Consumo S.A.</w:t>
      </w:r>
    </w:p>
    <w:p w14:paraId="4C74A487" w14:textId="77777777" w:rsidR="00BC6D52" w:rsidRDefault="00BC6D52" w:rsidP="0098446E">
      <w:pPr>
        <w:pStyle w:val="Prrafodelista"/>
        <w:ind w:left="360"/>
        <w:rPr>
          <w:color w:val="0D0D0D" w:themeColor="text1" w:themeTint="F2"/>
          <w:sz w:val="22"/>
          <w:szCs w:val="22"/>
        </w:rPr>
      </w:pPr>
    </w:p>
    <w:p w14:paraId="31D8B46C" w14:textId="77777777" w:rsidR="00BC6D52" w:rsidRDefault="00BC6D52" w:rsidP="0098446E">
      <w:pPr>
        <w:pStyle w:val="Prrafodelista"/>
        <w:ind w:left="360"/>
        <w:rPr>
          <w:color w:val="0D0D0D" w:themeColor="text1" w:themeTint="F2"/>
          <w:sz w:val="22"/>
          <w:szCs w:val="22"/>
        </w:rPr>
      </w:pPr>
    </w:p>
    <w:p w14:paraId="7D29B810" w14:textId="77777777" w:rsidR="00DF306F" w:rsidRDefault="00DF306F" w:rsidP="0098446E">
      <w:pPr>
        <w:pStyle w:val="Prrafodelista"/>
        <w:ind w:left="360"/>
        <w:rPr>
          <w:color w:val="0D0D0D" w:themeColor="text1" w:themeTint="F2"/>
          <w:sz w:val="22"/>
          <w:szCs w:val="22"/>
        </w:rPr>
      </w:pPr>
    </w:p>
    <w:p w14:paraId="1443F3CA" w14:textId="77777777" w:rsidR="00DF306F" w:rsidRDefault="00DF306F" w:rsidP="0098446E">
      <w:pPr>
        <w:pStyle w:val="Prrafodelista"/>
        <w:ind w:left="360"/>
        <w:rPr>
          <w:color w:val="0D0D0D" w:themeColor="text1" w:themeTint="F2"/>
          <w:sz w:val="22"/>
          <w:szCs w:val="22"/>
        </w:rPr>
      </w:pPr>
    </w:p>
    <w:p w14:paraId="48BCD878" w14:textId="77777777" w:rsidR="00DF306F" w:rsidRDefault="00DF306F" w:rsidP="0098446E">
      <w:pPr>
        <w:pStyle w:val="Prrafodelista"/>
        <w:ind w:left="360"/>
        <w:rPr>
          <w:color w:val="0D0D0D" w:themeColor="text1" w:themeTint="F2"/>
          <w:sz w:val="22"/>
          <w:szCs w:val="22"/>
        </w:rPr>
      </w:pPr>
    </w:p>
    <w:p w14:paraId="37156FF4" w14:textId="5DD29186" w:rsidR="00BC6D52" w:rsidRDefault="00C52381" w:rsidP="00C00447">
      <w:pPr>
        <w:autoSpaceDE w:val="0"/>
        <w:autoSpaceDN w:val="0"/>
        <w:adjustRightInd w:val="0"/>
        <w:jc w:val="center"/>
        <w:rPr>
          <w:rFonts w:ascii="Times New Roman" w:hAnsi="Times New Roman" w:cs="Times New Roman"/>
          <w:sz w:val="22"/>
          <w:szCs w:val="22"/>
          <w:lang w:val="es-AR" w:eastAsia="en-US"/>
        </w:rPr>
      </w:pPr>
      <w:r w:rsidRPr="00671695">
        <w:rPr>
          <w:rFonts w:ascii="Times New Roman" w:hAnsi="Times New Roman" w:cs="Times New Roman"/>
          <w:b/>
          <w:sz w:val="21"/>
          <w:szCs w:val="21"/>
          <w:u w:val="single"/>
        </w:rPr>
        <w:t>Series emitidas y vigentes</w:t>
      </w:r>
      <w:r w:rsidR="001E64B4" w:rsidRPr="00671695">
        <w:rPr>
          <w:rFonts w:ascii="Times New Roman" w:hAnsi="Times New Roman" w:cs="Times New Roman"/>
          <w:b/>
          <w:sz w:val="21"/>
          <w:szCs w:val="21"/>
          <w:u w:val="single"/>
        </w:rPr>
        <w:t>*</w:t>
      </w:r>
    </w:p>
    <w:p w14:paraId="0E58A0A6" w14:textId="661C1CFB" w:rsidR="00C52381" w:rsidRDefault="00296CFC" w:rsidP="00C52381">
      <w:pPr>
        <w:jc w:val="center"/>
        <w:rPr>
          <w:rFonts w:ascii="Times New Roman" w:hAnsi="Times New Roman" w:cs="Times New Roman"/>
          <w:sz w:val="22"/>
          <w:szCs w:val="22"/>
          <w:lang w:val="es-AR" w:eastAsia="en-US"/>
        </w:rPr>
      </w:pPr>
      <w:r w:rsidRPr="00296CFC">
        <w:rPr>
          <w:noProof/>
          <w:lang w:val="es-AR" w:eastAsia="es-AR"/>
        </w:rPr>
        <w:drawing>
          <wp:inline distT="0" distB="0" distL="0" distR="0" wp14:anchorId="33837CA0" wp14:editId="4022BFF3">
            <wp:extent cx="5441950" cy="1479550"/>
            <wp:effectExtent l="0" t="0" r="635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41950" cy="1479550"/>
                    </a:xfrm>
                    <a:prstGeom prst="rect">
                      <a:avLst/>
                    </a:prstGeom>
                    <a:noFill/>
                    <a:ln>
                      <a:noFill/>
                    </a:ln>
                  </pic:spPr>
                </pic:pic>
              </a:graphicData>
            </a:graphic>
          </wp:inline>
        </w:drawing>
      </w:r>
    </w:p>
    <w:p w14:paraId="1D6A108E" w14:textId="41675A1C" w:rsidR="00C52381" w:rsidRPr="004E3394" w:rsidRDefault="001E64B4" w:rsidP="004E3394">
      <w:pPr>
        <w:jc w:val="center"/>
        <w:rPr>
          <w:sz w:val="22"/>
          <w:szCs w:val="22"/>
        </w:rPr>
      </w:pPr>
      <w:r w:rsidRPr="004E3394">
        <w:rPr>
          <w:rFonts w:ascii="Times New Roman" w:hAnsi="Times New Roman" w:cs="Times New Roman"/>
          <w:color w:val="0D0D0D" w:themeColor="text1" w:themeTint="F2"/>
          <w:sz w:val="22"/>
          <w:szCs w:val="22"/>
        </w:rPr>
        <w:t>*</w:t>
      </w:r>
      <w:r w:rsidRPr="004E3394">
        <w:rPr>
          <w:rFonts w:ascii="Times New Roman" w:hAnsi="Times New Roman" w:cs="Times New Roman"/>
          <w:sz w:val="22"/>
          <w:szCs w:val="22"/>
        </w:rPr>
        <w:t xml:space="preserve"> Información </w:t>
      </w:r>
      <w:r w:rsidR="00FF198F" w:rsidRPr="004E3394">
        <w:rPr>
          <w:rFonts w:ascii="Times New Roman" w:hAnsi="Times New Roman" w:cs="Times New Roman"/>
          <w:sz w:val="22"/>
          <w:szCs w:val="22"/>
        </w:rPr>
        <w:t xml:space="preserve">al </w:t>
      </w:r>
      <w:r w:rsidR="008A2B30">
        <w:rPr>
          <w:rFonts w:ascii="Times New Roman" w:hAnsi="Times New Roman" w:cs="Times New Roman"/>
          <w:sz w:val="22"/>
          <w:szCs w:val="22"/>
        </w:rPr>
        <w:t>3</w:t>
      </w:r>
      <w:r w:rsidR="00916728">
        <w:rPr>
          <w:rFonts w:ascii="Times New Roman" w:hAnsi="Times New Roman" w:cs="Times New Roman"/>
          <w:sz w:val="22"/>
          <w:szCs w:val="22"/>
        </w:rPr>
        <w:t>1</w:t>
      </w:r>
      <w:r w:rsidR="00E8505C" w:rsidRPr="004E3394">
        <w:rPr>
          <w:rFonts w:ascii="Times New Roman" w:hAnsi="Times New Roman" w:cs="Times New Roman"/>
          <w:sz w:val="22"/>
          <w:szCs w:val="22"/>
        </w:rPr>
        <w:t xml:space="preserve"> </w:t>
      </w:r>
      <w:r w:rsidR="00FF198F" w:rsidRPr="004E3394">
        <w:rPr>
          <w:rFonts w:ascii="Times New Roman" w:hAnsi="Times New Roman" w:cs="Times New Roman"/>
          <w:sz w:val="22"/>
          <w:szCs w:val="22"/>
        </w:rPr>
        <w:t xml:space="preserve">de </w:t>
      </w:r>
      <w:r w:rsidR="00296CFC">
        <w:rPr>
          <w:rFonts w:ascii="Times New Roman" w:hAnsi="Times New Roman" w:cs="Times New Roman"/>
          <w:sz w:val="22"/>
          <w:szCs w:val="22"/>
        </w:rPr>
        <w:t>octubre</w:t>
      </w:r>
      <w:r w:rsidR="00296CFC" w:rsidRPr="004E3394">
        <w:rPr>
          <w:rFonts w:ascii="Times New Roman" w:hAnsi="Times New Roman" w:cs="Times New Roman"/>
          <w:sz w:val="22"/>
          <w:szCs w:val="22"/>
        </w:rPr>
        <w:t xml:space="preserve"> </w:t>
      </w:r>
      <w:r w:rsidR="00FF198F" w:rsidRPr="004E3394">
        <w:rPr>
          <w:rFonts w:ascii="Times New Roman" w:hAnsi="Times New Roman" w:cs="Times New Roman"/>
          <w:sz w:val="22"/>
          <w:szCs w:val="22"/>
        </w:rPr>
        <w:t>de 202</w:t>
      </w:r>
      <w:r w:rsidR="00E73844">
        <w:rPr>
          <w:rFonts w:ascii="Times New Roman" w:hAnsi="Times New Roman" w:cs="Times New Roman"/>
          <w:sz w:val="22"/>
          <w:szCs w:val="22"/>
        </w:rPr>
        <w:t>3</w:t>
      </w:r>
    </w:p>
    <w:p w14:paraId="240D908F" w14:textId="77777777" w:rsidR="001E64B4" w:rsidRDefault="001E64B4" w:rsidP="00C52381">
      <w:pPr>
        <w:pStyle w:val="Prrafodelista"/>
        <w:ind w:left="360"/>
        <w:rPr>
          <w:color w:val="0D0D0D" w:themeColor="text1" w:themeTint="F2"/>
          <w:sz w:val="22"/>
          <w:szCs w:val="22"/>
        </w:rPr>
      </w:pPr>
    </w:p>
    <w:p w14:paraId="0909D841" w14:textId="765B7B04" w:rsidR="00C52381" w:rsidRPr="000579E7"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 - Fideicomisos Vigentes</w:t>
      </w:r>
    </w:p>
    <w:p w14:paraId="03A0E016" w14:textId="45C0C936" w:rsidR="008650DB" w:rsidRPr="00DB405C" w:rsidRDefault="008650DB" w:rsidP="008650DB">
      <w:pPr>
        <w:autoSpaceDE w:val="0"/>
        <w:autoSpaceDN w:val="0"/>
        <w:adjustRightInd w:val="0"/>
        <w:jc w:val="center"/>
        <w:rPr>
          <w:rFonts w:ascii="Times New Roman" w:hAnsi="Times New Roman" w:cs="Times New Roman"/>
          <w:bCs/>
          <w:iCs/>
          <w:color w:val="0D0D0D" w:themeColor="text1" w:themeTint="F2"/>
          <w:sz w:val="22"/>
          <w:szCs w:val="22"/>
          <w:lang w:val="es-AR"/>
        </w:rPr>
      </w:pPr>
      <w:r w:rsidRPr="000965A3">
        <w:rPr>
          <w:rFonts w:ascii="Times New Roman" w:hAnsi="Times New Roman" w:cs="Times New Roman"/>
          <w:bCs/>
          <w:iCs/>
          <w:color w:val="0D0D0D" w:themeColor="text1" w:themeTint="F2"/>
          <w:sz w:val="22"/>
          <w:szCs w:val="22"/>
          <w:lang w:val="es-AR"/>
        </w:rPr>
        <w:t>(</w:t>
      </w:r>
      <w:r w:rsidRPr="00A23BAF">
        <w:rPr>
          <w:rFonts w:ascii="Times New Roman" w:hAnsi="Times New Roman" w:cs="Times New Roman"/>
          <w:bCs/>
          <w:iCs/>
          <w:color w:val="0D0D0D" w:themeColor="text1" w:themeTint="F2"/>
          <w:sz w:val="22"/>
          <w:szCs w:val="22"/>
          <w:lang w:val="es-AR"/>
        </w:rPr>
        <w:t xml:space="preserve">Información al </w:t>
      </w:r>
      <w:r w:rsidR="004213B3">
        <w:rPr>
          <w:rFonts w:ascii="Times New Roman" w:hAnsi="Times New Roman" w:cs="Times New Roman"/>
          <w:bCs/>
          <w:iCs/>
          <w:color w:val="0D0D0D" w:themeColor="text1" w:themeTint="F2"/>
          <w:sz w:val="22"/>
          <w:szCs w:val="22"/>
          <w:lang w:val="es-AR"/>
        </w:rPr>
        <w:t>3</w:t>
      </w:r>
      <w:r w:rsidR="00296CFC">
        <w:rPr>
          <w:rFonts w:ascii="Times New Roman" w:hAnsi="Times New Roman" w:cs="Times New Roman"/>
          <w:bCs/>
          <w:iCs/>
          <w:color w:val="0D0D0D" w:themeColor="text1" w:themeTint="F2"/>
          <w:sz w:val="22"/>
          <w:szCs w:val="22"/>
          <w:lang w:val="es-AR"/>
        </w:rPr>
        <w:t>0</w:t>
      </w:r>
      <w:r w:rsidR="004213B3">
        <w:rPr>
          <w:rFonts w:ascii="Times New Roman" w:hAnsi="Times New Roman" w:cs="Times New Roman"/>
          <w:bCs/>
          <w:iCs/>
          <w:color w:val="0D0D0D" w:themeColor="text1" w:themeTint="F2"/>
          <w:sz w:val="22"/>
          <w:szCs w:val="22"/>
          <w:lang w:val="es-AR"/>
        </w:rPr>
        <w:t xml:space="preserve"> </w:t>
      </w:r>
      <w:r w:rsidR="008A2B30">
        <w:rPr>
          <w:rFonts w:ascii="Times New Roman" w:hAnsi="Times New Roman" w:cs="Times New Roman"/>
          <w:bCs/>
          <w:iCs/>
          <w:color w:val="0D0D0D" w:themeColor="text1" w:themeTint="F2"/>
          <w:sz w:val="22"/>
          <w:szCs w:val="22"/>
          <w:lang w:val="es-AR"/>
        </w:rPr>
        <w:t xml:space="preserve">de </w:t>
      </w:r>
      <w:r w:rsidR="00296CFC">
        <w:rPr>
          <w:rFonts w:ascii="Times New Roman" w:hAnsi="Times New Roman" w:cs="Times New Roman"/>
          <w:bCs/>
          <w:iCs/>
          <w:color w:val="0D0D0D" w:themeColor="text1" w:themeTint="F2"/>
          <w:sz w:val="22"/>
          <w:szCs w:val="22"/>
          <w:lang w:val="es-AR"/>
        </w:rPr>
        <w:t>septiembre</w:t>
      </w:r>
      <w:r w:rsidR="000C32B7">
        <w:rPr>
          <w:rFonts w:ascii="Times New Roman" w:hAnsi="Times New Roman" w:cs="Times New Roman"/>
          <w:bCs/>
          <w:iCs/>
          <w:color w:val="0D0D0D" w:themeColor="text1" w:themeTint="F2"/>
          <w:sz w:val="22"/>
          <w:szCs w:val="22"/>
          <w:lang w:val="es-AR"/>
        </w:rPr>
        <w:t xml:space="preserve"> </w:t>
      </w:r>
      <w:r w:rsidRPr="00A23BAF">
        <w:rPr>
          <w:rFonts w:ascii="Times New Roman" w:hAnsi="Times New Roman" w:cs="Times New Roman"/>
          <w:bCs/>
          <w:iCs/>
          <w:color w:val="0D0D0D" w:themeColor="text1" w:themeTint="F2"/>
          <w:sz w:val="22"/>
          <w:szCs w:val="22"/>
          <w:lang w:val="es-AR"/>
        </w:rPr>
        <w:t>de 202</w:t>
      </w:r>
      <w:r w:rsidR="00B63F77">
        <w:rPr>
          <w:rFonts w:ascii="Times New Roman" w:hAnsi="Times New Roman" w:cs="Times New Roman"/>
          <w:bCs/>
          <w:iCs/>
          <w:color w:val="0D0D0D" w:themeColor="text1" w:themeTint="F2"/>
          <w:sz w:val="22"/>
          <w:szCs w:val="22"/>
          <w:lang w:val="es-AR"/>
        </w:rPr>
        <w:t>3</w:t>
      </w:r>
      <w:r w:rsidRPr="00A23BAF">
        <w:rPr>
          <w:rFonts w:ascii="Times New Roman" w:hAnsi="Times New Roman" w:cs="Times New Roman"/>
          <w:bCs/>
          <w:iCs/>
          <w:color w:val="0D0D0D" w:themeColor="text1" w:themeTint="F2"/>
          <w:sz w:val="22"/>
          <w:szCs w:val="22"/>
          <w:lang w:val="es-AR"/>
        </w:rPr>
        <w:t>)</w:t>
      </w:r>
    </w:p>
    <w:p w14:paraId="0F72936E" w14:textId="29B215A1" w:rsidR="0068548A" w:rsidRDefault="008650DB" w:rsidP="004E3394">
      <w:pPr>
        <w:autoSpaceDE w:val="0"/>
        <w:autoSpaceDN w:val="0"/>
        <w:adjustRightInd w:val="0"/>
        <w:jc w:val="center"/>
        <w:rPr>
          <w:noProof/>
          <w:lang w:val="es-AR" w:eastAsia="es-AR"/>
        </w:rPr>
      </w:pPr>
      <w:r w:rsidRPr="00506990" w:rsidDel="008650DB">
        <w:rPr>
          <w:rFonts w:ascii="Times New Roman" w:hAnsi="Times New Roman" w:cs="Times New Roman"/>
          <w:bCs/>
          <w:iCs/>
          <w:color w:val="0D0D0D" w:themeColor="text1" w:themeTint="F2"/>
          <w:sz w:val="22"/>
          <w:szCs w:val="22"/>
          <w:lang w:val="es-AR"/>
        </w:rPr>
        <w:t xml:space="preserve"> </w:t>
      </w:r>
      <w:r w:rsidR="00C52381" w:rsidRPr="00506990">
        <w:rPr>
          <w:rFonts w:ascii="Times New Roman" w:hAnsi="Times New Roman" w:cs="Times New Roman"/>
          <w:bCs/>
          <w:iCs/>
          <w:color w:val="0D0D0D" w:themeColor="text1" w:themeTint="F2"/>
          <w:sz w:val="22"/>
          <w:szCs w:val="22"/>
          <w:lang w:val="es-AR"/>
        </w:rPr>
        <w:t xml:space="preserve"> </w:t>
      </w:r>
      <w:r w:rsidR="00091F5B" w:rsidRPr="00091F5B">
        <w:rPr>
          <w:noProof/>
          <w:lang w:val="es-AR" w:eastAsia="es-AR"/>
        </w:rPr>
        <w:t xml:space="preserve"> </w:t>
      </w:r>
      <w:r w:rsidR="00726D5E" w:rsidRPr="00726D5E">
        <w:rPr>
          <w:noProof/>
          <w:lang w:val="es-AR" w:eastAsia="es-AR"/>
        </w:rPr>
        <w:t xml:space="preserve"> </w:t>
      </w:r>
      <w:r w:rsidR="00AF1405" w:rsidRPr="00AF1405">
        <w:rPr>
          <w:noProof/>
          <w:lang w:val="es-AR" w:eastAsia="es-AR"/>
        </w:rPr>
        <w:t xml:space="preserve"> </w:t>
      </w:r>
      <w:r w:rsidR="00F42500" w:rsidRPr="00F42500">
        <w:rPr>
          <w:noProof/>
          <w:lang w:val="es-AR" w:eastAsia="es-AR"/>
        </w:rPr>
        <w:t xml:space="preserve"> </w:t>
      </w:r>
    </w:p>
    <w:p w14:paraId="6A7CC6DB" w14:textId="7636CBBA" w:rsidR="00CD00DA" w:rsidRDefault="00296CFC" w:rsidP="004E3394">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296CFC">
        <w:rPr>
          <w:noProof/>
          <w:lang w:val="es-AR" w:eastAsia="es-AR"/>
        </w:rPr>
        <w:drawing>
          <wp:inline distT="0" distB="0" distL="0" distR="0" wp14:anchorId="0EFD6D5A" wp14:editId="1EC86584">
            <wp:extent cx="5613400" cy="1012252"/>
            <wp:effectExtent l="0" t="0" r="635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3400" cy="1012252"/>
                    </a:xfrm>
                    <a:prstGeom prst="rect">
                      <a:avLst/>
                    </a:prstGeom>
                    <a:noFill/>
                    <a:ln>
                      <a:noFill/>
                    </a:ln>
                  </pic:spPr>
                </pic:pic>
              </a:graphicData>
            </a:graphic>
          </wp:inline>
        </w:drawing>
      </w:r>
      <w:r w:rsidR="0068548A" w:rsidRPr="0068548A" w:rsidDel="000C32B7">
        <w:t xml:space="preserve"> </w:t>
      </w:r>
    </w:p>
    <w:p w14:paraId="27A93DF7" w14:textId="77777777" w:rsidR="00CD00DA" w:rsidRPr="008B3986" w:rsidRDefault="00CD00DA" w:rsidP="008B3986">
      <w:pPr>
        <w:autoSpaceDE w:val="0"/>
        <w:autoSpaceDN w:val="0"/>
        <w:adjustRightInd w:val="0"/>
        <w:jc w:val="center"/>
        <w:rPr>
          <w:b/>
          <w:color w:val="0D0D0D" w:themeColor="text1" w:themeTint="F2"/>
          <w:sz w:val="22"/>
          <w:lang w:val="es-AR"/>
        </w:rPr>
      </w:pPr>
    </w:p>
    <w:p w14:paraId="6058F7FE" w14:textId="47E633B1" w:rsidR="00C52381" w:rsidRPr="00506990"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Cobranza Anticipada - Fideicomisos Vigentes</w:t>
      </w:r>
    </w:p>
    <w:p w14:paraId="6C6129EE" w14:textId="46407917" w:rsidR="008650DB" w:rsidRPr="000F3240" w:rsidRDefault="008650DB" w:rsidP="008650DB">
      <w:pPr>
        <w:autoSpaceDE w:val="0"/>
        <w:autoSpaceDN w:val="0"/>
        <w:adjustRightInd w:val="0"/>
        <w:jc w:val="center"/>
        <w:rPr>
          <w:rFonts w:ascii="Times New Roman" w:hAnsi="Times New Roman" w:cs="Times New Roman"/>
          <w:bCs/>
          <w:iCs/>
          <w:color w:val="0D0D0D" w:themeColor="text1" w:themeTint="F2"/>
          <w:sz w:val="22"/>
          <w:szCs w:val="22"/>
          <w:lang w:val="es-AR"/>
        </w:rPr>
      </w:pPr>
      <w:r w:rsidRPr="000F3240">
        <w:rPr>
          <w:rFonts w:ascii="Times New Roman" w:hAnsi="Times New Roman" w:cs="Times New Roman"/>
          <w:bCs/>
          <w:iCs/>
          <w:color w:val="0D0D0D" w:themeColor="text1" w:themeTint="F2"/>
          <w:sz w:val="22"/>
          <w:szCs w:val="22"/>
          <w:lang w:val="es-AR"/>
        </w:rPr>
        <w:t>(</w:t>
      </w:r>
      <w:r w:rsidRPr="00A23BAF">
        <w:rPr>
          <w:rFonts w:ascii="Times New Roman" w:hAnsi="Times New Roman" w:cs="Times New Roman"/>
          <w:bCs/>
          <w:iCs/>
          <w:color w:val="0D0D0D" w:themeColor="text1" w:themeTint="F2"/>
          <w:sz w:val="22"/>
          <w:szCs w:val="22"/>
          <w:lang w:val="es-AR"/>
        </w:rPr>
        <w:t xml:space="preserve">Información al </w:t>
      </w:r>
      <w:r w:rsidR="004213B3">
        <w:rPr>
          <w:rFonts w:ascii="Times New Roman" w:hAnsi="Times New Roman" w:cs="Times New Roman"/>
          <w:bCs/>
          <w:iCs/>
          <w:color w:val="0D0D0D" w:themeColor="text1" w:themeTint="F2"/>
          <w:sz w:val="22"/>
          <w:szCs w:val="22"/>
          <w:lang w:val="es-AR"/>
        </w:rPr>
        <w:t>3</w:t>
      </w:r>
      <w:r w:rsidR="00296CFC">
        <w:rPr>
          <w:rFonts w:ascii="Times New Roman" w:hAnsi="Times New Roman" w:cs="Times New Roman"/>
          <w:bCs/>
          <w:iCs/>
          <w:color w:val="0D0D0D" w:themeColor="text1" w:themeTint="F2"/>
          <w:sz w:val="22"/>
          <w:szCs w:val="22"/>
          <w:lang w:val="es-AR"/>
        </w:rPr>
        <w:t>0</w:t>
      </w:r>
      <w:r w:rsidR="004213B3">
        <w:rPr>
          <w:rFonts w:ascii="Times New Roman" w:hAnsi="Times New Roman" w:cs="Times New Roman"/>
          <w:bCs/>
          <w:iCs/>
          <w:color w:val="0D0D0D" w:themeColor="text1" w:themeTint="F2"/>
          <w:sz w:val="22"/>
          <w:szCs w:val="22"/>
          <w:lang w:val="es-AR"/>
        </w:rPr>
        <w:t xml:space="preserve"> </w:t>
      </w:r>
      <w:r w:rsidR="008A2B30">
        <w:rPr>
          <w:rFonts w:ascii="Times New Roman" w:hAnsi="Times New Roman" w:cs="Times New Roman"/>
          <w:bCs/>
          <w:iCs/>
          <w:color w:val="0D0D0D" w:themeColor="text1" w:themeTint="F2"/>
          <w:sz w:val="22"/>
          <w:szCs w:val="22"/>
          <w:lang w:val="es-AR"/>
        </w:rPr>
        <w:t xml:space="preserve">de </w:t>
      </w:r>
      <w:r w:rsidR="00296CFC">
        <w:rPr>
          <w:rFonts w:ascii="Times New Roman" w:hAnsi="Times New Roman" w:cs="Times New Roman"/>
          <w:bCs/>
          <w:iCs/>
          <w:color w:val="0D0D0D" w:themeColor="text1" w:themeTint="F2"/>
          <w:sz w:val="22"/>
          <w:szCs w:val="22"/>
          <w:lang w:val="es-AR"/>
        </w:rPr>
        <w:t>septiembre</w:t>
      </w:r>
      <w:r w:rsidR="000C32B7">
        <w:rPr>
          <w:rFonts w:ascii="Times New Roman" w:hAnsi="Times New Roman" w:cs="Times New Roman"/>
          <w:bCs/>
          <w:iCs/>
          <w:color w:val="0D0D0D" w:themeColor="text1" w:themeTint="F2"/>
          <w:sz w:val="22"/>
          <w:szCs w:val="22"/>
          <w:lang w:val="es-AR"/>
        </w:rPr>
        <w:t xml:space="preserve"> </w:t>
      </w:r>
      <w:r w:rsidRPr="00A23BAF">
        <w:rPr>
          <w:rFonts w:ascii="Times New Roman" w:hAnsi="Times New Roman" w:cs="Times New Roman"/>
          <w:bCs/>
          <w:iCs/>
          <w:color w:val="0D0D0D" w:themeColor="text1" w:themeTint="F2"/>
          <w:sz w:val="22"/>
          <w:szCs w:val="22"/>
          <w:lang w:val="es-AR"/>
        </w:rPr>
        <w:t>de 202</w:t>
      </w:r>
      <w:r w:rsidR="00E73844">
        <w:rPr>
          <w:rFonts w:ascii="Times New Roman" w:hAnsi="Times New Roman" w:cs="Times New Roman"/>
          <w:bCs/>
          <w:iCs/>
          <w:color w:val="0D0D0D" w:themeColor="text1" w:themeTint="F2"/>
          <w:sz w:val="22"/>
          <w:szCs w:val="22"/>
          <w:lang w:val="es-AR"/>
        </w:rPr>
        <w:t>3</w:t>
      </w:r>
      <w:r w:rsidR="00BF5F08">
        <w:rPr>
          <w:rFonts w:ascii="Times New Roman" w:hAnsi="Times New Roman" w:cs="Times New Roman"/>
          <w:bCs/>
          <w:iCs/>
          <w:color w:val="0D0D0D" w:themeColor="text1" w:themeTint="F2"/>
          <w:sz w:val="22"/>
          <w:szCs w:val="22"/>
          <w:lang w:val="es-AR"/>
        </w:rPr>
        <w:t>)</w:t>
      </w:r>
    </w:p>
    <w:p w14:paraId="33755689" w14:textId="5A21DF41" w:rsidR="0068548A" w:rsidRDefault="004213B3"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4213B3">
        <w:rPr>
          <w:rFonts w:ascii="Times New Roman" w:hAnsi="Times New Roman" w:cs="Times New Roman"/>
          <w:bCs/>
          <w:iCs/>
          <w:color w:val="0D0D0D" w:themeColor="text1" w:themeTint="F2"/>
          <w:sz w:val="22"/>
          <w:szCs w:val="22"/>
          <w:lang w:val="es-AR"/>
        </w:rPr>
        <w:t xml:space="preserve"> </w:t>
      </w:r>
      <w:r w:rsidR="008650DB" w:rsidRPr="00B345DD" w:rsidDel="008650DB">
        <w:rPr>
          <w:rFonts w:ascii="Times New Roman" w:hAnsi="Times New Roman" w:cs="Times New Roman"/>
          <w:bCs/>
          <w:iCs/>
          <w:color w:val="0D0D0D" w:themeColor="text1" w:themeTint="F2"/>
          <w:sz w:val="22"/>
          <w:szCs w:val="22"/>
          <w:lang w:val="es-AR"/>
        </w:rPr>
        <w:t xml:space="preserve"> </w:t>
      </w:r>
      <w:r w:rsidR="0068548A" w:rsidRPr="0068548A">
        <w:rPr>
          <w:rFonts w:ascii="Times New Roman" w:hAnsi="Times New Roman" w:cs="Times New Roman"/>
          <w:bCs/>
          <w:iCs/>
          <w:color w:val="0D0D0D" w:themeColor="text1" w:themeTint="F2"/>
          <w:sz w:val="22"/>
          <w:szCs w:val="22"/>
          <w:lang w:val="es-AR"/>
        </w:rPr>
        <w:t xml:space="preserve"> </w:t>
      </w:r>
      <w:r w:rsidR="00296CFC" w:rsidRPr="00296CFC">
        <w:rPr>
          <w:noProof/>
          <w:lang w:val="es-AR" w:eastAsia="es-AR"/>
        </w:rPr>
        <w:drawing>
          <wp:inline distT="0" distB="0" distL="0" distR="0" wp14:anchorId="00F68C45" wp14:editId="099D72D0">
            <wp:extent cx="4451350" cy="1397000"/>
            <wp:effectExtent l="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51350" cy="1397000"/>
                    </a:xfrm>
                    <a:prstGeom prst="rect">
                      <a:avLst/>
                    </a:prstGeom>
                    <a:noFill/>
                    <a:ln>
                      <a:noFill/>
                    </a:ln>
                  </pic:spPr>
                </pic:pic>
              </a:graphicData>
            </a:graphic>
          </wp:inline>
        </w:drawing>
      </w:r>
    </w:p>
    <w:p w14:paraId="38F09141" w14:textId="5DD8608D" w:rsidR="00D541B0" w:rsidRPr="000E765C" w:rsidRDefault="00D541B0"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p>
    <w:p w14:paraId="5234F57B" w14:textId="6C102D8A" w:rsidR="00C52381" w:rsidRPr="000E765C"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0E765C">
        <w:rPr>
          <w:noProof/>
          <w:lang w:val="es-AR" w:eastAsia="es-AR"/>
        </w:rPr>
        <w:t xml:space="preserve"> </w:t>
      </w:r>
      <w:r w:rsidR="00091F5B" w:rsidRPr="000E765C">
        <w:rPr>
          <w:noProof/>
          <w:lang w:val="es-AR" w:eastAsia="es-AR"/>
        </w:rPr>
        <w:t xml:space="preserve"> </w:t>
      </w:r>
      <w:r w:rsidR="00726D5E" w:rsidRPr="000E765C">
        <w:rPr>
          <w:noProof/>
          <w:lang w:val="es-AR" w:eastAsia="es-AR"/>
        </w:rPr>
        <w:t xml:space="preserve"> </w:t>
      </w:r>
      <w:r w:rsidR="00AF1405" w:rsidRPr="000E765C">
        <w:rPr>
          <w:noProof/>
          <w:lang w:val="es-AR" w:eastAsia="es-AR"/>
        </w:rPr>
        <w:t xml:space="preserve"> </w:t>
      </w:r>
      <w:r w:rsidR="00654C2F" w:rsidRPr="00654C2F">
        <w:rPr>
          <w:noProof/>
          <w:lang w:val="es-AR" w:eastAsia="es-AR"/>
        </w:rPr>
        <w:t xml:space="preserve"> </w:t>
      </w:r>
    </w:p>
    <w:p w14:paraId="00EC7E6A" w14:textId="06FD2834" w:rsidR="000C754E" w:rsidRPr="008B3986" w:rsidRDefault="00C52381" w:rsidP="0078718C">
      <w:pPr>
        <w:autoSpaceDE w:val="0"/>
        <w:autoSpaceDN w:val="0"/>
        <w:adjustRightInd w:val="0"/>
        <w:rPr>
          <w:rFonts w:ascii="Times New Roman" w:hAnsi="Times New Roman"/>
          <w:color w:val="0D0D0D" w:themeColor="text1" w:themeTint="F2"/>
          <w:sz w:val="22"/>
        </w:rPr>
      </w:pPr>
      <w:r w:rsidRPr="000E765C">
        <w:rPr>
          <w:rFonts w:ascii="Times New Roman" w:hAnsi="Times New Roman" w:cs="Times New Roman"/>
          <w:bCs/>
          <w:iCs/>
          <w:color w:val="0D0D0D" w:themeColor="text1" w:themeTint="F2"/>
          <w:sz w:val="22"/>
          <w:szCs w:val="22"/>
          <w:lang w:val="es-AR"/>
        </w:rPr>
        <w:t>Los valores corresponden al monto de capital e interés cobrado con anticipación a la fecha de vencimiento de la correspondiente cuota y son expresados como</w:t>
      </w:r>
      <w:r w:rsidRPr="00506990">
        <w:rPr>
          <w:rFonts w:ascii="Times New Roman" w:hAnsi="Times New Roman" w:cs="Times New Roman"/>
          <w:bCs/>
          <w:iCs/>
          <w:color w:val="0D0D0D" w:themeColor="text1" w:themeTint="F2"/>
          <w:sz w:val="22"/>
          <w:szCs w:val="22"/>
          <w:lang w:val="es-AR"/>
        </w:rPr>
        <w:t xml:space="preserve"> porcentaje del monto total de capital e interés cedido a cada serie.</w:t>
      </w:r>
    </w:p>
    <w:p w14:paraId="0BBA5DA3" w14:textId="112DD02A" w:rsidR="006B6B5E" w:rsidRPr="00506990" w:rsidRDefault="006B6B5E" w:rsidP="00B228F5">
      <w:pPr>
        <w:pStyle w:val="Ttulo1"/>
        <w:jc w:val="center"/>
        <w:rPr>
          <w:rFonts w:ascii="Times New Roman" w:hAnsi="Times New Roman"/>
          <w:sz w:val="22"/>
          <w:szCs w:val="22"/>
        </w:rPr>
      </w:pPr>
      <w:bookmarkStart w:id="63" w:name="_Toc521424870"/>
      <w:bookmarkStart w:id="64" w:name="_Toc20409086"/>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w:t>
      </w:r>
      <w:r w:rsidR="00477E99">
        <w:rPr>
          <w:rFonts w:ascii="Times New Roman" w:hAnsi="Times New Roman"/>
          <w:sz w:val="22"/>
          <w:szCs w:val="22"/>
        </w:rPr>
        <w:t xml:space="preserve"> </w:t>
      </w:r>
      <w:r w:rsidRPr="00506990">
        <w:rPr>
          <w:rFonts w:ascii="Times New Roman" w:hAnsi="Times New Roman"/>
          <w:sz w:val="22"/>
          <w:szCs w:val="22"/>
        </w:rPr>
        <w:t>L</w:t>
      </w:r>
      <w:r w:rsidR="00477E99">
        <w:rPr>
          <w:rFonts w:ascii="Times New Roman" w:hAnsi="Times New Roman"/>
          <w:sz w:val="22"/>
          <w:szCs w:val="22"/>
        </w:rPr>
        <w:t>OS</w:t>
      </w:r>
      <w:r w:rsidRPr="00506990">
        <w:rPr>
          <w:rFonts w:ascii="Times New Roman" w:hAnsi="Times New Roman"/>
          <w:sz w:val="22"/>
          <w:szCs w:val="22"/>
        </w:rPr>
        <w:t xml:space="preserve"> ORGANIZADOR</w:t>
      </w:r>
      <w:r w:rsidR="00477E99">
        <w:rPr>
          <w:rFonts w:ascii="Times New Roman" w:hAnsi="Times New Roman"/>
          <w:sz w:val="22"/>
          <w:szCs w:val="22"/>
        </w:rPr>
        <w:t>ES</w:t>
      </w:r>
      <w:r w:rsidRPr="00506990">
        <w:rPr>
          <w:rFonts w:ascii="Times New Roman" w:hAnsi="Times New Roman"/>
          <w:sz w:val="22"/>
          <w:szCs w:val="22"/>
        </w:rPr>
        <w:t xml:space="preserve"> Y </w:t>
      </w:r>
      <w:r w:rsidR="00477E99">
        <w:rPr>
          <w:rFonts w:ascii="Times New Roman" w:hAnsi="Times New Roman"/>
          <w:sz w:val="22"/>
          <w:szCs w:val="22"/>
        </w:rPr>
        <w:t xml:space="preserve">DEL </w:t>
      </w:r>
      <w:r w:rsidRPr="00506990">
        <w:rPr>
          <w:rFonts w:ascii="Times New Roman" w:hAnsi="Times New Roman"/>
          <w:sz w:val="22"/>
          <w:szCs w:val="22"/>
        </w:rPr>
        <w:t>ASESOR FINANCIERO</w:t>
      </w:r>
      <w:bookmarkEnd w:id="63"/>
      <w:bookmarkEnd w:id="64"/>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38348DA9" w14:textId="77777777" w:rsidR="00477E99" w:rsidRPr="00EA5C6B" w:rsidRDefault="00477E99" w:rsidP="00C56DC8">
      <w:pPr>
        <w:rPr>
          <w:rFonts w:ascii="Times New Roman" w:hAnsi="Times New Roman" w:cs="Times New Roman"/>
          <w:b/>
          <w:color w:val="0D0D0D" w:themeColor="text1" w:themeTint="F2"/>
          <w:sz w:val="22"/>
          <w:szCs w:val="22"/>
          <w:u w:val="single"/>
          <w:lang w:val="es-AR"/>
        </w:rPr>
      </w:pPr>
      <w:r w:rsidRPr="00EA5C6B">
        <w:rPr>
          <w:rFonts w:ascii="Times New Roman" w:hAnsi="Times New Roman" w:cs="Times New Roman"/>
          <w:b/>
          <w:color w:val="0D0D0D" w:themeColor="text1" w:themeTint="F2"/>
          <w:sz w:val="22"/>
          <w:szCs w:val="22"/>
          <w:u w:val="single"/>
          <w:lang w:val="es-AR"/>
        </w:rPr>
        <w:t>Organizador y Asesor Financiero</w:t>
      </w:r>
    </w:p>
    <w:p w14:paraId="2820F6D5" w14:textId="016C70EB"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Corporate Finance Advisors S.A. (“FIRST”) se encuentra inscripta en Inspección General de Justicia el 08/02/99 bajo el Nro. 1.858, libro Nro. 4 de Sociedades por Acciones, el cambio por la de denominación social mencionada fue inscripto el 08/10/13 bajo el Nro. 20.031 del Libro Nro. 65 de Sociedades por Acciones. Tiene su sede social en la calle 25 de mayo 596, piso 20, de la Ciudad de Buenos Aires. Tel. 011-4311-6014. Email info@first</w:t>
      </w:r>
      <w:r w:rsidR="00F60586">
        <w:rPr>
          <w:rFonts w:ascii="Times New Roman" w:hAnsi="Times New Roman" w:cs="Times New Roman"/>
          <w:color w:val="0D0D0D" w:themeColor="text1" w:themeTint="F2"/>
          <w:sz w:val="22"/>
          <w:szCs w:val="22"/>
          <w:lang w:val="es-AR"/>
        </w:rPr>
        <w:t xml:space="preserve">capital.group </w:t>
      </w:r>
      <w:r w:rsidRPr="00506990">
        <w:rPr>
          <w:rFonts w:ascii="Times New Roman" w:hAnsi="Times New Roman" w:cs="Times New Roman"/>
          <w:color w:val="0D0D0D" w:themeColor="text1" w:themeTint="F2"/>
          <w:sz w:val="22"/>
          <w:szCs w:val="22"/>
          <w:lang w:val="es-AR"/>
        </w:rPr>
        <w:t>Sitio web institucional: http://www.firstc</w:t>
      </w:r>
      <w:r w:rsidR="00F60586">
        <w:rPr>
          <w:rFonts w:ascii="Times New Roman" w:hAnsi="Times New Roman" w:cs="Times New Roman"/>
          <w:color w:val="0D0D0D" w:themeColor="text1" w:themeTint="F2"/>
          <w:sz w:val="22"/>
          <w:szCs w:val="22"/>
          <w:lang w:val="es-AR"/>
        </w:rPr>
        <w:t>apital.group</w:t>
      </w:r>
      <w:r w:rsidRPr="00506990">
        <w:rPr>
          <w:rFonts w:ascii="Times New Roman" w:hAnsi="Times New Roman" w:cs="Times New Roman"/>
          <w:color w:val="0D0D0D" w:themeColor="text1" w:themeTint="F2"/>
          <w:sz w:val="22"/>
          <w:szCs w:val="22"/>
          <w:lang w:val="es-AR"/>
        </w:rPr>
        <w:t>/ CUIT: 33-70097858-9.</w:t>
      </w:r>
    </w:p>
    <w:p w14:paraId="13AA0822" w14:textId="77777777" w:rsidR="00C56DC8" w:rsidRDefault="00C56DC8" w:rsidP="00C56DC8">
      <w:pPr>
        <w:rPr>
          <w:rFonts w:ascii="Times New Roman" w:hAnsi="Times New Roman" w:cs="Times New Roman"/>
          <w:color w:val="0D0D0D" w:themeColor="text1" w:themeTint="F2"/>
          <w:sz w:val="22"/>
          <w:szCs w:val="22"/>
          <w:lang w:val="es-AR"/>
        </w:rPr>
      </w:pPr>
    </w:p>
    <w:p w14:paraId="65BD64A8" w14:textId="77777777" w:rsidR="00DF306F" w:rsidRDefault="00DF306F" w:rsidP="00C56DC8">
      <w:pPr>
        <w:rPr>
          <w:rFonts w:ascii="Times New Roman" w:hAnsi="Times New Roman" w:cs="Times New Roman"/>
          <w:color w:val="0D0D0D" w:themeColor="text1" w:themeTint="F2"/>
          <w:sz w:val="22"/>
          <w:szCs w:val="22"/>
          <w:lang w:val="es-AR"/>
        </w:rPr>
      </w:pPr>
    </w:p>
    <w:p w14:paraId="55A0A6FF" w14:textId="77777777" w:rsidR="00DF306F" w:rsidRPr="00506990" w:rsidRDefault="00DF306F" w:rsidP="00C56DC8">
      <w:pPr>
        <w:rPr>
          <w:rFonts w:ascii="Times New Roman" w:hAnsi="Times New Roman" w:cs="Times New Roman"/>
          <w:color w:val="0D0D0D" w:themeColor="text1" w:themeTint="F2"/>
          <w:sz w:val="22"/>
          <w:szCs w:val="22"/>
          <w:lang w:val="es-AR"/>
        </w:rPr>
      </w:pPr>
    </w:p>
    <w:p w14:paraId="08C4045F" w14:textId="2C2E2F08"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Órgano de Administración</w:t>
      </w:r>
    </w:p>
    <w:tbl>
      <w:tblPr>
        <w:tblStyle w:val="Tablaconcuadrcula"/>
        <w:tblW w:w="8938" w:type="dxa"/>
        <w:tblLook w:val="04A0" w:firstRow="1" w:lastRow="0" w:firstColumn="1" w:lastColumn="0" w:noHBand="0" w:noVBand="1"/>
      </w:tblPr>
      <w:tblGrid>
        <w:gridCol w:w="2092"/>
        <w:gridCol w:w="3944"/>
        <w:gridCol w:w="2902"/>
      </w:tblGrid>
      <w:tr w:rsidR="00C56DC8" w:rsidRPr="00506990" w14:paraId="33FEC8FB" w14:textId="77777777" w:rsidTr="00E4104F">
        <w:trPr>
          <w:trHeight w:val="236"/>
        </w:trPr>
        <w:tc>
          <w:tcPr>
            <w:tcW w:w="2092" w:type="dxa"/>
            <w:vAlign w:val="center"/>
          </w:tcPr>
          <w:p w14:paraId="62E86A6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Cargo</w:t>
            </w:r>
          </w:p>
        </w:tc>
        <w:tc>
          <w:tcPr>
            <w:tcW w:w="3944" w:type="dxa"/>
            <w:vAlign w:val="center"/>
          </w:tcPr>
          <w:p w14:paraId="0947E777"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Nombre y Apellido</w:t>
            </w:r>
          </w:p>
        </w:tc>
        <w:tc>
          <w:tcPr>
            <w:tcW w:w="2902" w:type="dxa"/>
            <w:vAlign w:val="center"/>
          </w:tcPr>
          <w:p w14:paraId="26876A1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Vto. de los Mandatos</w:t>
            </w:r>
          </w:p>
        </w:tc>
      </w:tr>
      <w:tr w:rsidR="00C56DC8" w:rsidRPr="00506990" w14:paraId="4BB95127" w14:textId="77777777" w:rsidTr="00E4104F">
        <w:trPr>
          <w:trHeight w:val="462"/>
        </w:trPr>
        <w:tc>
          <w:tcPr>
            <w:tcW w:w="2092" w:type="dxa"/>
            <w:vAlign w:val="center"/>
          </w:tcPr>
          <w:p w14:paraId="507114FB"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Presidente</w:t>
            </w:r>
          </w:p>
        </w:tc>
        <w:tc>
          <w:tcPr>
            <w:tcW w:w="3944" w:type="dxa"/>
            <w:vAlign w:val="center"/>
          </w:tcPr>
          <w:p w14:paraId="1D3ECC2F"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MIGUEL ANGEL ARRIGONI</w:t>
            </w:r>
          </w:p>
          <w:p w14:paraId="0D2BE93D" w14:textId="77777777" w:rsidR="00C56DC8" w:rsidRPr="00506990" w:rsidRDefault="00C56DC8" w:rsidP="00546BED">
            <w:pPr>
              <w:rPr>
                <w:rFonts w:ascii="Times New Roman" w:hAnsi="Times New Roman" w:cs="Times New Roman"/>
                <w:sz w:val="22"/>
                <w:szCs w:val="22"/>
              </w:rPr>
            </w:pPr>
          </w:p>
        </w:tc>
        <w:tc>
          <w:tcPr>
            <w:tcW w:w="2902" w:type="dxa"/>
            <w:vAlign w:val="center"/>
          </w:tcPr>
          <w:p w14:paraId="689F8B8B" w14:textId="02CF12DD"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w:t>
            </w:r>
            <w:r w:rsidR="00091F5B">
              <w:rPr>
                <w:rFonts w:ascii="Times New Roman" w:hAnsi="Times New Roman" w:cs="Times New Roman"/>
                <w:sz w:val="22"/>
                <w:szCs w:val="22"/>
              </w:rPr>
              <w:t>4</w:t>
            </w:r>
          </w:p>
        </w:tc>
      </w:tr>
      <w:tr w:rsidR="00C56DC8" w:rsidRPr="00506990" w14:paraId="39D20E4A" w14:textId="77777777" w:rsidTr="00E4104F">
        <w:trPr>
          <w:trHeight w:val="462"/>
        </w:trPr>
        <w:tc>
          <w:tcPr>
            <w:tcW w:w="2092" w:type="dxa"/>
            <w:vAlign w:val="center"/>
          </w:tcPr>
          <w:p w14:paraId="1F6B1019"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Vicepresidente</w:t>
            </w:r>
          </w:p>
        </w:tc>
        <w:tc>
          <w:tcPr>
            <w:tcW w:w="3944" w:type="dxa"/>
            <w:vAlign w:val="center"/>
          </w:tcPr>
          <w:p w14:paraId="69555B22" w14:textId="5D134A4D" w:rsidR="00C56DC8" w:rsidRPr="00506990" w:rsidRDefault="00091F5B" w:rsidP="00AC5521">
            <w:pPr>
              <w:jc w:val="left"/>
              <w:rPr>
                <w:rFonts w:ascii="Times New Roman" w:hAnsi="Times New Roman" w:cs="Times New Roman"/>
                <w:sz w:val="22"/>
                <w:szCs w:val="22"/>
              </w:rPr>
            </w:pPr>
            <w:r w:rsidRPr="00506990">
              <w:rPr>
                <w:rFonts w:ascii="Times New Roman" w:hAnsi="Times New Roman" w:cs="Times New Roman"/>
                <w:sz w:val="22"/>
                <w:szCs w:val="22"/>
                <w:lang w:val="pt-BR"/>
              </w:rPr>
              <w:t>GUILLERMO ALBERTO BARBERO</w:t>
            </w:r>
          </w:p>
        </w:tc>
        <w:tc>
          <w:tcPr>
            <w:tcW w:w="2902" w:type="dxa"/>
            <w:vAlign w:val="center"/>
          </w:tcPr>
          <w:p w14:paraId="0A960F35" w14:textId="481657A6"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w:t>
            </w:r>
            <w:r w:rsidR="00091F5B">
              <w:rPr>
                <w:rFonts w:ascii="Times New Roman" w:hAnsi="Times New Roman" w:cs="Times New Roman"/>
                <w:sz w:val="22"/>
                <w:szCs w:val="22"/>
              </w:rPr>
              <w:t>4</w:t>
            </w:r>
          </w:p>
        </w:tc>
      </w:tr>
      <w:tr w:rsidR="00C56DC8" w:rsidRPr="00506990" w14:paraId="3DB84FF7" w14:textId="77777777" w:rsidTr="00E4104F">
        <w:trPr>
          <w:trHeight w:val="2545"/>
        </w:trPr>
        <w:tc>
          <w:tcPr>
            <w:tcW w:w="2092" w:type="dxa"/>
            <w:vAlign w:val="center"/>
          </w:tcPr>
          <w:p w14:paraId="4A7B02E6"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Directores</w:t>
            </w:r>
          </w:p>
        </w:tc>
        <w:tc>
          <w:tcPr>
            <w:tcW w:w="3944" w:type="dxa"/>
            <w:vAlign w:val="center"/>
          </w:tcPr>
          <w:p w14:paraId="6C2B1F79"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DANIEL HORACIO ZUBILLAGA</w:t>
            </w:r>
          </w:p>
          <w:p w14:paraId="4D6350B4"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JOSE LUIS GAROFALO</w:t>
            </w:r>
          </w:p>
          <w:p w14:paraId="251C89FB"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GUIDO DALLA BONA MAINI</w:t>
            </w:r>
          </w:p>
          <w:p w14:paraId="52E6189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VICTOR LAMBERTI</w:t>
            </w:r>
          </w:p>
          <w:p w14:paraId="6049E10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HORACIO CONTINO</w:t>
            </w:r>
          </w:p>
          <w:p w14:paraId="0D4A754E"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ESTEBAN CARLOS GARCIA BRUNELLI</w:t>
            </w:r>
          </w:p>
          <w:p w14:paraId="301E125C" w14:textId="77777777" w:rsidR="00091F5B"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DAVID EDUARDO MONTEMURRI</w:t>
            </w:r>
          </w:p>
          <w:p w14:paraId="7C82E7CE" w14:textId="781D157B" w:rsidR="00C56DC8" w:rsidRPr="00506990" w:rsidRDefault="00091F5B" w:rsidP="00502438">
            <w:pPr>
              <w:jc w:val="left"/>
              <w:rPr>
                <w:rFonts w:ascii="Times New Roman" w:hAnsi="Times New Roman" w:cs="Times New Roman"/>
                <w:sz w:val="22"/>
                <w:szCs w:val="22"/>
              </w:rPr>
            </w:pPr>
            <w:r>
              <w:rPr>
                <w:rFonts w:ascii="Times New Roman" w:hAnsi="Times New Roman" w:cs="Times New Roman"/>
                <w:sz w:val="22"/>
                <w:szCs w:val="22"/>
              </w:rPr>
              <w:t>FERNANDO TERRÉ</w:t>
            </w:r>
            <w:r w:rsidR="00C56DC8" w:rsidRPr="00506990">
              <w:rPr>
                <w:rFonts w:ascii="Times New Roman" w:hAnsi="Times New Roman" w:cs="Times New Roman"/>
                <w:sz w:val="22"/>
                <w:szCs w:val="22"/>
              </w:rPr>
              <w:t xml:space="preserve"> </w:t>
            </w:r>
          </w:p>
        </w:tc>
        <w:tc>
          <w:tcPr>
            <w:tcW w:w="2902" w:type="dxa"/>
            <w:vAlign w:val="center"/>
          </w:tcPr>
          <w:p w14:paraId="4503CC10" w14:textId="3EFAA55B"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w:t>
            </w:r>
            <w:r w:rsidR="00091F5B">
              <w:rPr>
                <w:rFonts w:ascii="Times New Roman" w:hAnsi="Times New Roman" w:cs="Times New Roman"/>
                <w:sz w:val="22"/>
                <w:szCs w:val="22"/>
              </w:rPr>
              <w:t>4</w:t>
            </w:r>
          </w:p>
        </w:tc>
      </w:tr>
      <w:tr w:rsidR="00C56DC8" w:rsidRPr="00506990" w14:paraId="1714157A" w14:textId="77777777" w:rsidTr="00E4104F">
        <w:trPr>
          <w:trHeight w:val="473"/>
        </w:trPr>
        <w:tc>
          <w:tcPr>
            <w:tcW w:w="2092" w:type="dxa"/>
            <w:vAlign w:val="center"/>
          </w:tcPr>
          <w:p w14:paraId="62E07B83"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Director Suplente</w:t>
            </w:r>
          </w:p>
        </w:tc>
        <w:tc>
          <w:tcPr>
            <w:tcW w:w="3944" w:type="dxa"/>
            <w:vAlign w:val="center"/>
          </w:tcPr>
          <w:p w14:paraId="58EF470D" w14:textId="30A66595" w:rsidR="00C56DC8" w:rsidRPr="00506990" w:rsidRDefault="00091F5B" w:rsidP="00546BED">
            <w:pPr>
              <w:rPr>
                <w:rFonts w:ascii="Times New Roman" w:hAnsi="Times New Roman" w:cs="Times New Roman"/>
                <w:sz w:val="22"/>
                <w:szCs w:val="22"/>
              </w:rPr>
            </w:pPr>
            <w:r>
              <w:rPr>
                <w:rFonts w:ascii="Times New Roman" w:hAnsi="Times New Roman" w:cs="Times New Roman"/>
                <w:sz w:val="22"/>
                <w:szCs w:val="22"/>
              </w:rPr>
              <w:t>ALICIA BEATRIZ MOLINA</w:t>
            </w:r>
          </w:p>
        </w:tc>
        <w:tc>
          <w:tcPr>
            <w:tcW w:w="2902" w:type="dxa"/>
            <w:vAlign w:val="center"/>
          </w:tcPr>
          <w:p w14:paraId="6E859E3A" w14:textId="7A93D094"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w:t>
            </w:r>
            <w:r w:rsidR="00091F5B">
              <w:rPr>
                <w:rFonts w:ascii="Times New Roman" w:hAnsi="Times New Roman" w:cs="Times New Roman"/>
                <w:sz w:val="22"/>
                <w:szCs w:val="22"/>
              </w:rPr>
              <w:t>4</w:t>
            </w:r>
          </w:p>
        </w:tc>
      </w:tr>
    </w:tbl>
    <w:p w14:paraId="7888AD47" w14:textId="77777777" w:rsidR="00C56DC8" w:rsidRPr="00506990" w:rsidRDefault="00C56DC8" w:rsidP="00C56DC8">
      <w:pPr>
        <w:rPr>
          <w:rFonts w:ascii="Times New Roman" w:hAnsi="Times New Roman" w:cs="Times New Roman"/>
          <w:b/>
          <w:bCs/>
          <w:color w:val="0D0D0D" w:themeColor="text1" w:themeTint="F2"/>
          <w:sz w:val="22"/>
          <w:szCs w:val="22"/>
          <w:lang w:val="es-AR"/>
        </w:rPr>
      </w:pPr>
    </w:p>
    <w:p w14:paraId="2E6C7355" w14:textId="13B5BA99" w:rsidR="00BD5808" w:rsidRPr="00506990" w:rsidRDefault="00BD5808" w:rsidP="00BD5808">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contables al 31/05</w:t>
      </w:r>
      <w:r w:rsidRPr="00A1698E">
        <w:rPr>
          <w:rFonts w:ascii="Times New Roman" w:hAnsi="Times New Roman" w:cs="Times New Roman"/>
          <w:color w:val="0D0D0D" w:themeColor="text1" w:themeTint="F2"/>
          <w:sz w:val="22"/>
          <w:szCs w:val="22"/>
        </w:rPr>
        <w:t>/20</w:t>
      </w:r>
      <w:r w:rsidR="001C470F" w:rsidRPr="00A1698E">
        <w:rPr>
          <w:rFonts w:ascii="Times New Roman" w:hAnsi="Times New Roman" w:cs="Times New Roman"/>
          <w:color w:val="0D0D0D" w:themeColor="text1" w:themeTint="F2"/>
          <w:sz w:val="22"/>
          <w:szCs w:val="22"/>
        </w:rPr>
        <w:t>2</w:t>
      </w:r>
      <w:r w:rsidR="00091F5B">
        <w:rPr>
          <w:rFonts w:ascii="Times New Roman" w:hAnsi="Times New Roman" w:cs="Times New Roman"/>
          <w:color w:val="0D0D0D" w:themeColor="text1" w:themeTint="F2"/>
          <w:sz w:val="22"/>
          <w:szCs w:val="22"/>
        </w:rPr>
        <w:t>4</w:t>
      </w:r>
      <w:r w:rsidR="00DE116D" w:rsidRPr="00A1698E">
        <w:rPr>
          <w:rFonts w:ascii="Times New Roman" w:hAnsi="Times New Roman" w:cs="Times New Roman"/>
          <w:color w:val="0D0D0D" w:themeColor="text1" w:themeTint="F2"/>
          <w:sz w:val="22"/>
          <w:szCs w:val="22"/>
        </w:rPr>
        <w:t>.</w:t>
      </w:r>
    </w:p>
    <w:p w14:paraId="11914525" w14:textId="77777777" w:rsidR="00BD5808" w:rsidRPr="00506990" w:rsidRDefault="00BD5808" w:rsidP="00C56DC8">
      <w:pPr>
        <w:rPr>
          <w:rFonts w:ascii="Times New Roman" w:hAnsi="Times New Roman" w:cs="Times New Roman"/>
          <w:b/>
          <w:bCs/>
          <w:color w:val="0D0D0D" w:themeColor="text1" w:themeTint="F2"/>
          <w:sz w:val="22"/>
          <w:szCs w:val="22"/>
        </w:rPr>
      </w:pPr>
    </w:p>
    <w:p w14:paraId="0D1657F0" w14:textId="77777777"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 xml:space="preserve">Órgano de fiscalización </w:t>
      </w:r>
    </w:p>
    <w:p w14:paraId="2D384E35"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La sociedad prescinde de Sindicatura conforme lo dispuesto por el art. 284 de la Ley General de Sociedades.</w:t>
      </w:r>
    </w:p>
    <w:p w14:paraId="641D0DAF"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49A2E8E3"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está conformado por un equipo de profesionales con más de 30 años de experiencia en servicios de asesoramiento financiero en los principales mercados de América Latina. Los mismos se han especializado en la prestación de servicios de alta sofisticación a una amplia cartera de clientes que incluye tanto grandes conglomerados empresariales nacionales y extranjeros como a empresas familiares y Gobiernos Nacional, Provincial y Municipal, con fuerte foco en las principales industrias del espectro económico que conforman nuestra región.</w:t>
      </w:r>
    </w:p>
    <w:p w14:paraId="09CD1F0A"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 </w:t>
      </w:r>
    </w:p>
    <w:p w14:paraId="1D2C7C8E" w14:textId="77777777" w:rsidR="00C56DC8" w:rsidRPr="00506990" w:rsidRDefault="00C56DC8" w:rsidP="00E4104F">
      <w:pPr>
        <w:spacing w:after="12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Con más de 20 años de experiencia en securitizaciones en la región, FIRST ha sido partícipe de los hechos más significativos de la historia reciente del mercado de capitales argentino. Alguno de estos hechos relevantes:</w:t>
      </w:r>
    </w:p>
    <w:p w14:paraId="477B8775" w14:textId="2CD92566"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Realización de la primera Securitización hecha en Argentina.</w:t>
      </w:r>
    </w:p>
    <w:p w14:paraId="00AE594C" w14:textId="435F4892"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Asesoramiento en la transacción con el primer Investment Grade International en América Latina (S&amp;P BBB-).</w:t>
      </w:r>
    </w:p>
    <w:p w14:paraId="3BA456E2" w14:textId="0EE0AD8A"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Estructuración de más de 1.</w:t>
      </w:r>
      <w:r w:rsidR="009B5211">
        <w:rPr>
          <w:color w:val="0D0D0D" w:themeColor="text1" w:themeTint="F2"/>
          <w:sz w:val="22"/>
          <w:szCs w:val="22"/>
          <w:lang w:val="es-AR"/>
        </w:rPr>
        <w:t>8</w:t>
      </w:r>
      <w:r w:rsidR="00FE2F7B" w:rsidRPr="00E4104F">
        <w:rPr>
          <w:color w:val="0D0D0D" w:themeColor="text1" w:themeTint="F2"/>
          <w:sz w:val="22"/>
          <w:szCs w:val="22"/>
          <w:lang w:val="es-AR"/>
        </w:rPr>
        <w:t xml:space="preserve">00 </w:t>
      </w:r>
      <w:r w:rsidRPr="00E4104F">
        <w:rPr>
          <w:color w:val="0D0D0D" w:themeColor="text1" w:themeTint="F2"/>
          <w:sz w:val="22"/>
          <w:szCs w:val="22"/>
          <w:lang w:val="es-AR"/>
        </w:rPr>
        <w:t>series de fideicomisos financieros.</w:t>
      </w:r>
    </w:p>
    <w:p w14:paraId="2AA5DE44"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384CA48E" w14:textId="77777777" w:rsidR="00C56DC8"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Nuestras líneas de servicios incluyen Negocios (Business Strategy, Corporate Finance Advisory, M&amp;A, Valuación, Fairness Opinion y Infrastructure Advisory) y Financiamiento (Securitización, Deuda Corporativa, Reestructuración), contando con experiencia en diversas Industrias (Financial Services, Consumer Finance / Retail, Agibusiness, Energía y Recursos, Real Estate, Infraestructura, Tecnología, Media y Telecomunicaciones).</w:t>
      </w:r>
    </w:p>
    <w:p w14:paraId="76152A97" w14:textId="77777777" w:rsidR="00477E99" w:rsidRDefault="00477E99" w:rsidP="00C56DC8">
      <w:pPr>
        <w:rPr>
          <w:rFonts w:ascii="Times New Roman" w:hAnsi="Times New Roman" w:cs="Times New Roman"/>
          <w:b/>
          <w:color w:val="0D0D0D" w:themeColor="text1" w:themeTint="F2"/>
          <w:sz w:val="22"/>
          <w:szCs w:val="22"/>
          <w:u w:val="single"/>
          <w:lang w:val="es-AR"/>
        </w:rPr>
      </w:pPr>
    </w:p>
    <w:p w14:paraId="3DABA84C" w14:textId="7590B018" w:rsidR="00BC36C5" w:rsidRDefault="00477E99" w:rsidP="00C56DC8">
      <w:pPr>
        <w:rPr>
          <w:rFonts w:ascii="Times New Roman" w:hAnsi="Times New Roman" w:cs="Times New Roman"/>
          <w:b/>
          <w:color w:val="0D0D0D" w:themeColor="text1" w:themeTint="F2"/>
          <w:sz w:val="22"/>
          <w:szCs w:val="22"/>
          <w:u w:val="single"/>
          <w:lang w:val="es-AR"/>
        </w:rPr>
      </w:pPr>
      <w:r w:rsidRPr="00FE2AD4">
        <w:rPr>
          <w:rFonts w:ascii="Times New Roman" w:hAnsi="Times New Roman" w:cs="Times New Roman"/>
          <w:b/>
          <w:color w:val="0D0D0D" w:themeColor="text1" w:themeTint="F2"/>
          <w:sz w:val="22"/>
          <w:szCs w:val="22"/>
          <w:u w:val="single"/>
          <w:lang w:val="es-AR"/>
        </w:rPr>
        <w:t>Organizador</w:t>
      </w:r>
    </w:p>
    <w:p w14:paraId="11E313A1" w14:textId="77777777" w:rsidR="00477E99" w:rsidRPr="00EA5C6B" w:rsidRDefault="00477E99" w:rsidP="00477E99">
      <w:pPr>
        <w:rPr>
          <w:rFonts w:ascii="Times New Roman" w:hAnsi="Times New Roman" w:cs="Times New Roman"/>
          <w:bCs/>
          <w:sz w:val="22"/>
          <w:szCs w:val="22"/>
        </w:rPr>
      </w:pPr>
      <w:r w:rsidRPr="00EA5C6B">
        <w:rPr>
          <w:rFonts w:ascii="Times New Roman" w:hAnsi="Times New Roman" w:cs="Times New Roman"/>
          <w:bCs/>
          <w:sz w:val="22"/>
          <w:szCs w:val="22"/>
        </w:rPr>
        <w:t>StoneX Securities S.A. (“StoneX”) es una sociedad anónima con domicilio legal y sede social en Sarmiento 459, 9º piso, Ciudad Autónoma de Buenos Aires. CUIT 33-62174378-9. Tel/fax: 4390-7500. E-mail: mercadodecapitales@stonex.com, pág. web: http://www.stonex.com.ar/, constituida en y de conformidad con las leyes de la República Argentina, inscripta en la Inspección General de Justicia (IGJ), inscripta el 26 de noviembre de 1987, bajo el número 9407 del libro 104, tomo A de Sociedades Anónimas. Su ejercicio social cierra los 30 de septiembre de cada año.</w:t>
      </w:r>
    </w:p>
    <w:p w14:paraId="4F74CC32" w14:textId="77777777" w:rsidR="00477E99" w:rsidRPr="00EA5C6B" w:rsidRDefault="00477E99" w:rsidP="00477E99">
      <w:pPr>
        <w:rPr>
          <w:rFonts w:ascii="Times New Roman" w:hAnsi="Times New Roman" w:cs="Times New Roman"/>
          <w:bCs/>
          <w:sz w:val="22"/>
          <w:szCs w:val="22"/>
        </w:rPr>
      </w:pPr>
    </w:p>
    <w:p w14:paraId="4ECA89A8" w14:textId="77777777" w:rsidR="00477E99" w:rsidRPr="00EA5C6B" w:rsidRDefault="00477E99" w:rsidP="00477E99">
      <w:pPr>
        <w:rPr>
          <w:rFonts w:ascii="Times New Roman" w:hAnsi="Times New Roman" w:cs="Times New Roman"/>
          <w:sz w:val="22"/>
          <w:szCs w:val="22"/>
        </w:rPr>
      </w:pPr>
      <w:r w:rsidRPr="00EA5C6B">
        <w:rPr>
          <w:rFonts w:ascii="Times New Roman" w:hAnsi="Times New Roman" w:cs="Times New Roman"/>
          <w:bCs/>
          <w:sz w:val="22"/>
          <w:szCs w:val="22"/>
        </w:rPr>
        <w:t>StoneX tiene por objeto dedicarse por cuenta propia, de terceros, o asociada a terceros, en cualquier lugar de la República Argentina, o en el exterior, con sujeción a las leyes del respectivo país, a las siguientes actividades: De Agente de Liquidación y Compensación y Agente de Negociación Integral, de conformidad a lo dispuesto por la Ley N° 26.831  y las NORMAS CNV (N.T. 2013), por lo que además de desarrollar las actividades propias de los Agentes de Negociación, podrá intervenir en la liquidación y compensación de operaciones (colocación primaria y negociación secundaria) registradas tanto para la cartera propia como para sus clientes, como así también prestar el mencionado servicio de liquidación y compensación de operaciones a otros Agentes de Negociación registrados ante la Comisión Nacional de Valores, siendo responsables del cumplimiento ante los Mercados y/o las Cámaras Compensadoras de las obligaciones propias, de sus clientes y de las obligaciones de los Agentes de Negociación con los que haya firmado un Convenio de Liquidación y Compensación. Asimismo, la Sociedad podrá solicitar el registro ante la Comisión Nacional de Valores de cualquier otra actividad compatible conforme las normas reglamentarias, en particular las actividades previstas en la Ley N°26.831, sus modificatorias y complementarias, las NORMAS CNV (N.T. 2013) y las que en el futuro las pudieren modificar, incluyendo las actividades que a continuación se detallan, sin que el detalle implique limitación alguna, siendo el mismo una descripción enunciativa y no taxativa: operar como Agente de Colocación y Distribución de Fondos Comunes de Inversión y/o como Agente de Colocación y Distribución Integral de Fondos Comunes de Inversión, como Agente de Liquidación y Compensación Propio, Agente de Liquidación y Compensación Participante Directo. A fin de llevar a cabo las actividades antes mencionadas, se requerirá estar registrado en la correspondiente categoría ante la Comisión Nacional de Valores. Cualquiera que sea la categoría en que se registre ante la Comisión Nacional de Valores, se encuentra facultada a realizar, toda clase de operaciones en el ámbito del Mercado de Capitales sobre valores negociables, celebrar contratos al contado o a término, de futuros y opciones sobre valores negociables permitidas por las disposiciones legales y reglamentarias vigentes a las categorías de Agentes mencionadas “ut-supra”. En el desarrollo de las actividades, en las categorías que se inscriba, la Sociedad se encuentra facultada para realizar todas aquellas actividades dentro del Mercado de Capitales, en un todo de acuerdo con las disposiciones legales y reglamentarias, incluyendo la organización, promoción, distribución y colocación primaria de valores negociables en cualquiera de sus modalidades, la suscripción previa en una colocación primaria, la concertación de operaciones en mercados secundarios, la liquidación, compensación y custodia de fondos y de valores negociables, la administración de carteras y de saldos generados como consecuencia de las operaciones mencionadas, la emisión de pagos y la recepción de fondos, valores y acreencias y, en general, cualquier otra actividad autorizada por la normativa vigente requerida para el desarrollo de todas aquellas transacciones del Mercado de Capitales que puedan llevar a cabo las categorías de Agentes antes descriptas, en un todo de acuerdo con las disposiciones legales y reglamentarias en vigor. A tal fin la Sociedad tiene plena capacidad jurídica para adquirir derechos y contraer obligaciones, ejerciendo todos los actos que no sean prohibidos por las leyes, o reglamentos, o por su Estatuto.</w:t>
      </w:r>
    </w:p>
    <w:p w14:paraId="4B0FD6A9" w14:textId="77777777" w:rsidR="00477E99" w:rsidRPr="00EA5C6B" w:rsidRDefault="00477E99" w:rsidP="00477E99">
      <w:pPr>
        <w:rPr>
          <w:rFonts w:ascii="Times New Roman" w:hAnsi="Times New Roman" w:cs="Times New Roman"/>
          <w:b/>
          <w:bCs/>
          <w:sz w:val="22"/>
          <w:szCs w:val="22"/>
          <w:u w:val="single"/>
        </w:rPr>
      </w:pPr>
    </w:p>
    <w:p w14:paraId="39AAE910" w14:textId="77777777" w:rsidR="00477E99" w:rsidRPr="00EA5C6B" w:rsidRDefault="00477E99" w:rsidP="00477E99">
      <w:pPr>
        <w:rPr>
          <w:rFonts w:ascii="Times New Roman" w:hAnsi="Times New Roman" w:cs="Times New Roman"/>
          <w:b/>
          <w:bCs/>
          <w:sz w:val="22"/>
          <w:szCs w:val="22"/>
          <w:u w:val="single"/>
        </w:rPr>
      </w:pPr>
      <w:r w:rsidRPr="00EA5C6B">
        <w:rPr>
          <w:rFonts w:ascii="Times New Roman" w:hAnsi="Times New Roman" w:cs="Times New Roman"/>
          <w:b/>
          <w:bCs/>
          <w:sz w:val="22"/>
          <w:szCs w:val="22"/>
          <w:u w:val="single"/>
        </w:rPr>
        <w:t xml:space="preserve">Autoridades </w:t>
      </w:r>
    </w:p>
    <w:p w14:paraId="6CBBD237" w14:textId="77777777" w:rsidR="00477E99" w:rsidRPr="00EA5C6B" w:rsidRDefault="00477E99" w:rsidP="00477E99">
      <w:pPr>
        <w:rPr>
          <w:rFonts w:ascii="Times New Roman" w:hAnsi="Times New Roman" w:cs="Times New Roman"/>
          <w:b/>
          <w:bCs/>
          <w:sz w:val="22"/>
          <w:szCs w:val="22"/>
          <w:u w:val="single"/>
        </w:rPr>
      </w:pPr>
    </w:p>
    <w:tbl>
      <w:tblPr>
        <w:tblW w:w="8340" w:type="dxa"/>
        <w:tblLook w:val="04A0" w:firstRow="1" w:lastRow="0" w:firstColumn="1" w:lastColumn="0" w:noHBand="0" w:noVBand="1"/>
      </w:tblPr>
      <w:tblGrid>
        <w:gridCol w:w="2560"/>
        <w:gridCol w:w="2520"/>
        <w:gridCol w:w="3260"/>
      </w:tblGrid>
      <w:tr w:rsidR="00477E99" w:rsidRPr="00477E99" w14:paraId="308D1723" w14:textId="77777777" w:rsidTr="00900C58">
        <w:trPr>
          <w:trHeight w:val="290"/>
        </w:trPr>
        <w:tc>
          <w:tcPr>
            <w:tcW w:w="2560" w:type="dxa"/>
            <w:tcBorders>
              <w:top w:val="single" w:sz="8" w:space="0" w:color="auto"/>
              <w:left w:val="single" w:sz="8" w:space="0" w:color="auto"/>
              <w:bottom w:val="nil"/>
              <w:right w:val="single" w:sz="4" w:space="0" w:color="auto"/>
            </w:tcBorders>
            <w:shd w:val="clear" w:color="auto" w:fill="auto"/>
            <w:noWrap/>
            <w:vAlign w:val="center"/>
            <w:hideMark/>
          </w:tcPr>
          <w:p w14:paraId="7C7C8C27"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NOMBRE</w:t>
            </w:r>
          </w:p>
        </w:tc>
        <w:tc>
          <w:tcPr>
            <w:tcW w:w="2520" w:type="dxa"/>
            <w:tcBorders>
              <w:top w:val="single" w:sz="8" w:space="0" w:color="auto"/>
              <w:left w:val="single" w:sz="8" w:space="0" w:color="auto"/>
              <w:bottom w:val="nil"/>
              <w:right w:val="single" w:sz="4" w:space="0" w:color="auto"/>
            </w:tcBorders>
            <w:shd w:val="clear" w:color="auto" w:fill="auto"/>
            <w:noWrap/>
            <w:vAlign w:val="center"/>
            <w:hideMark/>
          </w:tcPr>
          <w:p w14:paraId="51199DE4"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CARGO</w:t>
            </w:r>
          </w:p>
        </w:tc>
        <w:tc>
          <w:tcPr>
            <w:tcW w:w="3260" w:type="dxa"/>
            <w:tcBorders>
              <w:top w:val="single" w:sz="8" w:space="0" w:color="auto"/>
              <w:left w:val="single" w:sz="8" w:space="0" w:color="auto"/>
              <w:bottom w:val="nil"/>
              <w:right w:val="single" w:sz="4" w:space="0" w:color="auto"/>
            </w:tcBorders>
            <w:shd w:val="clear" w:color="auto" w:fill="auto"/>
            <w:noWrap/>
            <w:vAlign w:val="center"/>
            <w:hideMark/>
          </w:tcPr>
          <w:p w14:paraId="5ECB190E"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MANDATO AUTORIDADES</w:t>
            </w:r>
          </w:p>
        </w:tc>
      </w:tr>
      <w:tr w:rsidR="00477E99" w:rsidRPr="00477E99" w14:paraId="6F52EA17" w14:textId="77777777" w:rsidTr="00900C58">
        <w:trPr>
          <w:trHeight w:val="29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6685"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Juan Pablo Jaime Rechter</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012B6C4"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Presidente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8FA2464"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03/01/2023 al 03/01/2025</w:t>
            </w:r>
          </w:p>
        </w:tc>
      </w:tr>
      <w:tr w:rsidR="00477E99" w:rsidRPr="00477E99" w14:paraId="29C25B54"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AEB656C"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Fabio Damián Nadel</w:t>
            </w:r>
          </w:p>
        </w:tc>
        <w:tc>
          <w:tcPr>
            <w:tcW w:w="2520" w:type="dxa"/>
            <w:tcBorders>
              <w:top w:val="nil"/>
              <w:left w:val="nil"/>
              <w:bottom w:val="single" w:sz="4" w:space="0" w:color="auto"/>
              <w:right w:val="single" w:sz="4" w:space="0" w:color="auto"/>
            </w:tcBorders>
            <w:shd w:val="clear" w:color="auto" w:fill="auto"/>
            <w:noWrap/>
            <w:vAlign w:val="center"/>
            <w:hideMark/>
          </w:tcPr>
          <w:p w14:paraId="139EBDD3"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Vicepresidente</w:t>
            </w:r>
          </w:p>
        </w:tc>
        <w:tc>
          <w:tcPr>
            <w:tcW w:w="3260" w:type="dxa"/>
            <w:tcBorders>
              <w:top w:val="nil"/>
              <w:left w:val="nil"/>
              <w:bottom w:val="single" w:sz="4" w:space="0" w:color="auto"/>
              <w:right w:val="single" w:sz="4" w:space="0" w:color="auto"/>
            </w:tcBorders>
            <w:shd w:val="clear" w:color="auto" w:fill="auto"/>
            <w:noWrap/>
            <w:vAlign w:val="center"/>
            <w:hideMark/>
          </w:tcPr>
          <w:p w14:paraId="4BE4F61C"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676F2BD2"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036601D"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Luis Marcelo Brocardo</w:t>
            </w:r>
          </w:p>
        </w:tc>
        <w:tc>
          <w:tcPr>
            <w:tcW w:w="2520" w:type="dxa"/>
            <w:tcBorders>
              <w:top w:val="nil"/>
              <w:left w:val="nil"/>
              <w:bottom w:val="single" w:sz="4" w:space="0" w:color="auto"/>
              <w:right w:val="single" w:sz="4" w:space="0" w:color="auto"/>
            </w:tcBorders>
            <w:shd w:val="clear" w:color="auto" w:fill="auto"/>
            <w:noWrap/>
            <w:vAlign w:val="center"/>
            <w:hideMark/>
          </w:tcPr>
          <w:p w14:paraId="6111EDA8"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Director Titular</w:t>
            </w:r>
          </w:p>
        </w:tc>
        <w:tc>
          <w:tcPr>
            <w:tcW w:w="3260" w:type="dxa"/>
            <w:tcBorders>
              <w:top w:val="nil"/>
              <w:left w:val="nil"/>
              <w:bottom w:val="single" w:sz="4" w:space="0" w:color="auto"/>
              <w:right w:val="single" w:sz="4" w:space="0" w:color="auto"/>
            </w:tcBorders>
            <w:shd w:val="clear" w:color="auto" w:fill="auto"/>
            <w:noWrap/>
            <w:vAlign w:val="center"/>
            <w:hideMark/>
          </w:tcPr>
          <w:p w14:paraId="07D73DEC"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4BAD07F0"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EF1141F"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María Alejandra Parra</w:t>
            </w:r>
          </w:p>
        </w:tc>
        <w:tc>
          <w:tcPr>
            <w:tcW w:w="2520" w:type="dxa"/>
            <w:tcBorders>
              <w:top w:val="nil"/>
              <w:left w:val="nil"/>
              <w:bottom w:val="single" w:sz="4" w:space="0" w:color="auto"/>
              <w:right w:val="single" w:sz="4" w:space="0" w:color="auto"/>
            </w:tcBorders>
            <w:shd w:val="clear" w:color="auto" w:fill="auto"/>
            <w:noWrap/>
            <w:vAlign w:val="center"/>
            <w:hideMark/>
          </w:tcPr>
          <w:p w14:paraId="719DB443"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Directora Titular</w:t>
            </w:r>
          </w:p>
        </w:tc>
        <w:tc>
          <w:tcPr>
            <w:tcW w:w="3260" w:type="dxa"/>
            <w:tcBorders>
              <w:top w:val="nil"/>
              <w:left w:val="nil"/>
              <w:bottom w:val="single" w:sz="4" w:space="0" w:color="auto"/>
              <w:right w:val="single" w:sz="4" w:space="0" w:color="auto"/>
            </w:tcBorders>
            <w:shd w:val="clear" w:color="auto" w:fill="auto"/>
            <w:noWrap/>
            <w:vAlign w:val="center"/>
            <w:hideMark/>
          </w:tcPr>
          <w:p w14:paraId="4A1967B9"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55359733"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81652F6"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Adriana Antonia Luzzetti</w:t>
            </w:r>
          </w:p>
        </w:tc>
        <w:tc>
          <w:tcPr>
            <w:tcW w:w="2520" w:type="dxa"/>
            <w:tcBorders>
              <w:top w:val="nil"/>
              <w:left w:val="nil"/>
              <w:bottom w:val="single" w:sz="4" w:space="0" w:color="auto"/>
              <w:right w:val="single" w:sz="4" w:space="0" w:color="auto"/>
            </w:tcBorders>
            <w:shd w:val="clear" w:color="auto" w:fill="auto"/>
            <w:noWrap/>
            <w:vAlign w:val="center"/>
            <w:hideMark/>
          </w:tcPr>
          <w:p w14:paraId="1B7979DE"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Directora Titular</w:t>
            </w:r>
          </w:p>
        </w:tc>
        <w:tc>
          <w:tcPr>
            <w:tcW w:w="3260" w:type="dxa"/>
            <w:tcBorders>
              <w:top w:val="nil"/>
              <w:left w:val="nil"/>
              <w:bottom w:val="single" w:sz="4" w:space="0" w:color="auto"/>
              <w:right w:val="single" w:sz="4" w:space="0" w:color="auto"/>
            </w:tcBorders>
            <w:shd w:val="clear" w:color="auto" w:fill="auto"/>
            <w:noWrap/>
            <w:vAlign w:val="center"/>
            <w:hideMark/>
          </w:tcPr>
          <w:p w14:paraId="1E44EC9A"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52432749"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3F675C5"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Enrique María Algorta</w:t>
            </w:r>
          </w:p>
        </w:tc>
        <w:tc>
          <w:tcPr>
            <w:tcW w:w="2520" w:type="dxa"/>
            <w:tcBorders>
              <w:top w:val="nil"/>
              <w:left w:val="nil"/>
              <w:bottom w:val="single" w:sz="4" w:space="0" w:color="auto"/>
              <w:right w:val="single" w:sz="4" w:space="0" w:color="auto"/>
            </w:tcBorders>
            <w:shd w:val="clear" w:color="auto" w:fill="auto"/>
            <w:noWrap/>
            <w:vAlign w:val="center"/>
            <w:hideMark/>
          </w:tcPr>
          <w:p w14:paraId="2110ABCF"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Director Suplente</w:t>
            </w:r>
          </w:p>
        </w:tc>
        <w:tc>
          <w:tcPr>
            <w:tcW w:w="3260" w:type="dxa"/>
            <w:tcBorders>
              <w:top w:val="nil"/>
              <w:left w:val="nil"/>
              <w:bottom w:val="single" w:sz="4" w:space="0" w:color="auto"/>
              <w:right w:val="single" w:sz="4" w:space="0" w:color="auto"/>
            </w:tcBorders>
            <w:shd w:val="clear" w:color="auto" w:fill="auto"/>
            <w:noWrap/>
            <w:vAlign w:val="center"/>
            <w:hideMark/>
          </w:tcPr>
          <w:p w14:paraId="179BE23E"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0FF165D9" w14:textId="77777777" w:rsidTr="00900C58">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546EF49"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Flavia Dómina</w:t>
            </w:r>
          </w:p>
        </w:tc>
        <w:tc>
          <w:tcPr>
            <w:tcW w:w="2520" w:type="dxa"/>
            <w:tcBorders>
              <w:top w:val="nil"/>
              <w:left w:val="nil"/>
              <w:bottom w:val="single" w:sz="4" w:space="0" w:color="auto"/>
              <w:right w:val="single" w:sz="4" w:space="0" w:color="auto"/>
            </w:tcBorders>
            <w:shd w:val="clear" w:color="auto" w:fill="auto"/>
            <w:noWrap/>
            <w:vAlign w:val="center"/>
            <w:hideMark/>
          </w:tcPr>
          <w:p w14:paraId="3D56C692"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Directora Suplente</w:t>
            </w:r>
          </w:p>
        </w:tc>
        <w:tc>
          <w:tcPr>
            <w:tcW w:w="3260" w:type="dxa"/>
            <w:tcBorders>
              <w:top w:val="nil"/>
              <w:left w:val="nil"/>
              <w:bottom w:val="single" w:sz="4" w:space="0" w:color="auto"/>
              <w:right w:val="single" w:sz="4" w:space="0" w:color="auto"/>
            </w:tcBorders>
            <w:shd w:val="clear" w:color="auto" w:fill="auto"/>
            <w:noWrap/>
            <w:vAlign w:val="center"/>
            <w:hideMark/>
          </w:tcPr>
          <w:p w14:paraId="450C9D0A"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bl>
    <w:p w14:paraId="3ADCE7CF" w14:textId="77777777" w:rsidR="00477E99" w:rsidRPr="00EA5C6B" w:rsidRDefault="00477E99" w:rsidP="00477E99">
      <w:pPr>
        <w:rPr>
          <w:rFonts w:ascii="Times New Roman" w:hAnsi="Times New Roman" w:cs="Times New Roman"/>
          <w:bCs/>
          <w:sz w:val="22"/>
          <w:szCs w:val="22"/>
        </w:rPr>
      </w:pPr>
    </w:p>
    <w:p w14:paraId="47B5CFF5" w14:textId="77777777" w:rsidR="00477E99" w:rsidRPr="00EA5C6B" w:rsidRDefault="00477E99" w:rsidP="00477E99">
      <w:pPr>
        <w:rPr>
          <w:rFonts w:ascii="Times New Roman" w:hAnsi="Times New Roman" w:cs="Times New Roman"/>
          <w:bCs/>
          <w:sz w:val="22"/>
          <w:szCs w:val="22"/>
        </w:rPr>
      </w:pPr>
    </w:p>
    <w:p w14:paraId="24F7C917" w14:textId="77777777" w:rsidR="00477E99" w:rsidRPr="00EA5C6B" w:rsidRDefault="00477E99" w:rsidP="00477E99">
      <w:pPr>
        <w:rPr>
          <w:rFonts w:ascii="Times New Roman" w:hAnsi="Times New Roman" w:cs="Times New Roman"/>
          <w:b/>
          <w:bCs/>
          <w:sz w:val="22"/>
          <w:szCs w:val="22"/>
          <w:u w:val="single"/>
          <w:lang w:val="pt-BR"/>
        </w:rPr>
      </w:pPr>
      <w:r w:rsidRPr="00EA5C6B">
        <w:rPr>
          <w:rFonts w:ascii="Times New Roman" w:hAnsi="Times New Roman" w:cs="Times New Roman"/>
          <w:b/>
          <w:bCs/>
          <w:sz w:val="22"/>
          <w:szCs w:val="22"/>
          <w:u w:val="single"/>
          <w:lang w:val="pt-BR"/>
        </w:rPr>
        <w:t>Síndicos de la Comisión Fiscalizadora</w:t>
      </w:r>
    </w:p>
    <w:p w14:paraId="50EA3E16" w14:textId="77777777" w:rsidR="00477E99" w:rsidRPr="00EA5C6B" w:rsidRDefault="00477E99" w:rsidP="00477E99">
      <w:pPr>
        <w:rPr>
          <w:rFonts w:ascii="Times New Roman" w:hAnsi="Times New Roman" w:cs="Times New Roman"/>
          <w:b/>
          <w:bCs/>
          <w:sz w:val="22"/>
          <w:szCs w:val="22"/>
          <w:u w:val="single"/>
          <w:lang w:val="pt-BR"/>
        </w:rPr>
      </w:pPr>
    </w:p>
    <w:p w14:paraId="455CBDD0" w14:textId="77777777" w:rsidR="00477E99" w:rsidRPr="00EA5C6B" w:rsidRDefault="00477E99" w:rsidP="00477E99">
      <w:pPr>
        <w:rPr>
          <w:rFonts w:ascii="Times New Roman" w:hAnsi="Times New Roman" w:cs="Times New Roman"/>
          <w:b/>
          <w:bCs/>
          <w:sz w:val="22"/>
          <w:szCs w:val="22"/>
          <w:u w:val="single"/>
          <w:lang w:val="pt-BR"/>
        </w:rPr>
      </w:pPr>
    </w:p>
    <w:tbl>
      <w:tblPr>
        <w:tblW w:w="8359" w:type="dxa"/>
        <w:tblLook w:val="04A0" w:firstRow="1" w:lastRow="0" w:firstColumn="1" w:lastColumn="0" w:noHBand="0" w:noVBand="1"/>
      </w:tblPr>
      <w:tblGrid>
        <w:gridCol w:w="2547"/>
        <w:gridCol w:w="2551"/>
        <w:gridCol w:w="3261"/>
      </w:tblGrid>
      <w:tr w:rsidR="00477E99" w:rsidRPr="00477E99" w14:paraId="1E093327" w14:textId="77777777" w:rsidTr="00900C58">
        <w:trPr>
          <w:trHeight w:val="290"/>
        </w:trPr>
        <w:tc>
          <w:tcPr>
            <w:tcW w:w="2547" w:type="dxa"/>
            <w:tcBorders>
              <w:top w:val="single" w:sz="8" w:space="0" w:color="auto"/>
              <w:left w:val="single" w:sz="8" w:space="0" w:color="auto"/>
              <w:bottom w:val="nil"/>
              <w:right w:val="single" w:sz="4" w:space="0" w:color="auto"/>
            </w:tcBorders>
            <w:shd w:val="clear" w:color="auto" w:fill="auto"/>
            <w:noWrap/>
            <w:vAlign w:val="center"/>
            <w:hideMark/>
          </w:tcPr>
          <w:p w14:paraId="11EABD04"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NOMBRE</w:t>
            </w:r>
          </w:p>
        </w:tc>
        <w:tc>
          <w:tcPr>
            <w:tcW w:w="2551" w:type="dxa"/>
            <w:tcBorders>
              <w:top w:val="single" w:sz="8" w:space="0" w:color="auto"/>
              <w:left w:val="single" w:sz="8" w:space="0" w:color="auto"/>
              <w:bottom w:val="nil"/>
              <w:right w:val="single" w:sz="4" w:space="0" w:color="auto"/>
            </w:tcBorders>
            <w:shd w:val="clear" w:color="auto" w:fill="auto"/>
            <w:noWrap/>
            <w:vAlign w:val="center"/>
            <w:hideMark/>
          </w:tcPr>
          <w:p w14:paraId="7561FDDE"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CARGO</w:t>
            </w:r>
          </w:p>
        </w:tc>
        <w:tc>
          <w:tcPr>
            <w:tcW w:w="3261" w:type="dxa"/>
            <w:tcBorders>
              <w:top w:val="single" w:sz="8" w:space="0" w:color="auto"/>
              <w:left w:val="single" w:sz="8" w:space="0" w:color="auto"/>
              <w:bottom w:val="nil"/>
              <w:right w:val="single" w:sz="4" w:space="0" w:color="auto"/>
            </w:tcBorders>
            <w:shd w:val="clear" w:color="auto" w:fill="auto"/>
            <w:noWrap/>
            <w:vAlign w:val="center"/>
            <w:hideMark/>
          </w:tcPr>
          <w:p w14:paraId="4B552F6D" w14:textId="77777777" w:rsidR="00477E99" w:rsidRPr="00EA5C6B" w:rsidRDefault="00477E99" w:rsidP="00900C58">
            <w:pPr>
              <w:jc w:val="center"/>
              <w:rPr>
                <w:rFonts w:ascii="Times New Roman" w:hAnsi="Times New Roman" w:cs="Times New Roman"/>
                <w:b/>
                <w:bCs/>
                <w:color w:val="000000"/>
                <w:sz w:val="22"/>
                <w:szCs w:val="22"/>
              </w:rPr>
            </w:pPr>
            <w:r w:rsidRPr="00EA5C6B">
              <w:rPr>
                <w:rFonts w:ascii="Times New Roman" w:hAnsi="Times New Roman" w:cs="Times New Roman"/>
                <w:b/>
                <w:bCs/>
                <w:color w:val="000000"/>
                <w:sz w:val="22"/>
                <w:szCs w:val="22"/>
              </w:rPr>
              <w:t>MANDATO AUTORIDADES</w:t>
            </w:r>
          </w:p>
        </w:tc>
      </w:tr>
      <w:tr w:rsidR="00477E99" w:rsidRPr="00477E99" w14:paraId="1D72FCDD" w14:textId="77777777" w:rsidTr="00900C58">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2EBD"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Jorge Luis Mladineo</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29A051E"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Titular</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09C31E6D"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60D4EE1A" w14:textId="77777777" w:rsidTr="00900C5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5B65C7"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Luciana Andrea Russo</w:t>
            </w:r>
          </w:p>
        </w:tc>
        <w:tc>
          <w:tcPr>
            <w:tcW w:w="2551" w:type="dxa"/>
            <w:tcBorders>
              <w:top w:val="nil"/>
              <w:left w:val="nil"/>
              <w:bottom w:val="single" w:sz="4" w:space="0" w:color="auto"/>
              <w:right w:val="single" w:sz="4" w:space="0" w:color="auto"/>
            </w:tcBorders>
            <w:shd w:val="clear" w:color="auto" w:fill="auto"/>
            <w:noWrap/>
            <w:vAlign w:val="center"/>
            <w:hideMark/>
          </w:tcPr>
          <w:p w14:paraId="505C65AC"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Titular</w:t>
            </w:r>
          </w:p>
        </w:tc>
        <w:tc>
          <w:tcPr>
            <w:tcW w:w="3261" w:type="dxa"/>
            <w:tcBorders>
              <w:top w:val="nil"/>
              <w:left w:val="nil"/>
              <w:bottom w:val="single" w:sz="4" w:space="0" w:color="auto"/>
              <w:right w:val="single" w:sz="4" w:space="0" w:color="auto"/>
            </w:tcBorders>
            <w:shd w:val="clear" w:color="auto" w:fill="auto"/>
            <w:noWrap/>
            <w:vAlign w:val="center"/>
            <w:hideMark/>
          </w:tcPr>
          <w:p w14:paraId="03B56449"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5A6B522C" w14:textId="77777777" w:rsidTr="00900C5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BF5461"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Miguel Angel Centarti</w:t>
            </w:r>
          </w:p>
        </w:tc>
        <w:tc>
          <w:tcPr>
            <w:tcW w:w="2551" w:type="dxa"/>
            <w:tcBorders>
              <w:top w:val="nil"/>
              <w:left w:val="nil"/>
              <w:bottom w:val="single" w:sz="4" w:space="0" w:color="auto"/>
              <w:right w:val="single" w:sz="4" w:space="0" w:color="auto"/>
            </w:tcBorders>
            <w:shd w:val="clear" w:color="auto" w:fill="auto"/>
            <w:noWrap/>
            <w:vAlign w:val="center"/>
            <w:hideMark/>
          </w:tcPr>
          <w:p w14:paraId="3E14ED86"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Titular</w:t>
            </w:r>
          </w:p>
        </w:tc>
        <w:tc>
          <w:tcPr>
            <w:tcW w:w="3261" w:type="dxa"/>
            <w:tcBorders>
              <w:top w:val="nil"/>
              <w:left w:val="nil"/>
              <w:bottom w:val="single" w:sz="4" w:space="0" w:color="auto"/>
              <w:right w:val="single" w:sz="4" w:space="0" w:color="auto"/>
            </w:tcBorders>
            <w:shd w:val="clear" w:color="auto" w:fill="auto"/>
            <w:noWrap/>
            <w:vAlign w:val="center"/>
            <w:hideMark/>
          </w:tcPr>
          <w:p w14:paraId="43E8F0D1"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0DFA667C" w14:textId="77777777" w:rsidTr="00900C5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23C506D"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lang w:val="es-AR"/>
              </w:rPr>
              <w:t>Raúl Javier Yñarra</w:t>
            </w:r>
          </w:p>
        </w:tc>
        <w:tc>
          <w:tcPr>
            <w:tcW w:w="2551" w:type="dxa"/>
            <w:tcBorders>
              <w:top w:val="nil"/>
              <w:left w:val="nil"/>
              <w:bottom w:val="single" w:sz="4" w:space="0" w:color="auto"/>
              <w:right w:val="single" w:sz="4" w:space="0" w:color="auto"/>
            </w:tcBorders>
            <w:shd w:val="clear" w:color="auto" w:fill="auto"/>
            <w:noWrap/>
            <w:vAlign w:val="center"/>
            <w:hideMark/>
          </w:tcPr>
          <w:p w14:paraId="3EE65BC3"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Suplente</w:t>
            </w:r>
          </w:p>
        </w:tc>
        <w:tc>
          <w:tcPr>
            <w:tcW w:w="3261" w:type="dxa"/>
            <w:tcBorders>
              <w:top w:val="nil"/>
              <w:left w:val="nil"/>
              <w:bottom w:val="single" w:sz="4" w:space="0" w:color="auto"/>
              <w:right w:val="single" w:sz="4" w:space="0" w:color="auto"/>
            </w:tcBorders>
            <w:shd w:val="clear" w:color="auto" w:fill="auto"/>
            <w:noWrap/>
            <w:vAlign w:val="center"/>
            <w:hideMark/>
          </w:tcPr>
          <w:p w14:paraId="265B0C7A"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55ADF491" w14:textId="77777777" w:rsidTr="00900C5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A3A656F"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María Elena Crnak</w:t>
            </w:r>
          </w:p>
        </w:tc>
        <w:tc>
          <w:tcPr>
            <w:tcW w:w="2551" w:type="dxa"/>
            <w:tcBorders>
              <w:top w:val="nil"/>
              <w:left w:val="nil"/>
              <w:bottom w:val="single" w:sz="4" w:space="0" w:color="auto"/>
              <w:right w:val="single" w:sz="4" w:space="0" w:color="auto"/>
            </w:tcBorders>
            <w:shd w:val="clear" w:color="auto" w:fill="auto"/>
            <w:noWrap/>
            <w:vAlign w:val="center"/>
            <w:hideMark/>
          </w:tcPr>
          <w:p w14:paraId="0D522A9E"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Suplente</w:t>
            </w:r>
          </w:p>
        </w:tc>
        <w:tc>
          <w:tcPr>
            <w:tcW w:w="3261" w:type="dxa"/>
            <w:tcBorders>
              <w:top w:val="nil"/>
              <w:left w:val="nil"/>
              <w:bottom w:val="single" w:sz="4" w:space="0" w:color="auto"/>
              <w:right w:val="single" w:sz="4" w:space="0" w:color="auto"/>
            </w:tcBorders>
            <w:shd w:val="clear" w:color="auto" w:fill="auto"/>
            <w:noWrap/>
            <w:vAlign w:val="center"/>
            <w:hideMark/>
          </w:tcPr>
          <w:p w14:paraId="2439BA54"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r w:rsidR="00477E99" w:rsidRPr="00477E99" w14:paraId="539C0C18" w14:textId="77777777" w:rsidTr="00900C5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D8C4688"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Orlando Raúl Sanguinetti</w:t>
            </w:r>
          </w:p>
        </w:tc>
        <w:tc>
          <w:tcPr>
            <w:tcW w:w="2551" w:type="dxa"/>
            <w:tcBorders>
              <w:top w:val="nil"/>
              <w:left w:val="nil"/>
              <w:bottom w:val="single" w:sz="4" w:space="0" w:color="auto"/>
              <w:right w:val="single" w:sz="4" w:space="0" w:color="auto"/>
            </w:tcBorders>
            <w:shd w:val="clear" w:color="auto" w:fill="auto"/>
            <w:noWrap/>
            <w:vAlign w:val="center"/>
            <w:hideMark/>
          </w:tcPr>
          <w:p w14:paraId="597A7971"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color w:val="000000"/>
                <w:sz w:val="22"/>
                <w:szCs w:val="22"/>
              </w:rPr>
              <w:t>Síndico Suplente</w:t>
            </w:r>
          </w:p>
        </w:tc>
        <w:tc>
          <w:tcPr>
            <w:tcW w:w="3261" w:type="dxa"/>
            <w:tcBorders>
              <w:top w:val="nil"/>
              <w:left w:val="nil"/>
              <w:bottom w:val="single" w:sz="4" w:space="0" w:color="auto"/>
              <w:right w:val="single" w:sz="4" w:space="0" w:color="auto"/>
            </w:tcBorders>
            <w:shd w:val="clear" w:color="auto" w:fill="auto"/>
            <w:noWrap/>
            <w:vAlign w:val="center"/>
            <w:hideMark/>
          </w:tcPr>
          <w:p w14:paraId="4A91BA11" w14:textId="77777777" w:rsidR="00477E99" w:rsidRPr="00EA5C6B" w:rsidRDefault="00477E99" w:rsidP="00900C58">
            <w:pPr>
              <w:jc w:val="center"/>
              <w:rPr>
                <w:rFonts w:ascii="Times New Roman" w:hAnsi="Times New Roman" w:cs="Times New Roman"/>
                <w:color w:val="000000"/>
                <w:sz w:val="22"/>
                <w:szCs w:val="22"/>
              </w:rPr>
            </w:pPr>
            <w:r w:rsidRPr="00EA5C6B">
              <w:rPr>
                <w:rFonts w:ascii="Times New Roman" w:hAnsi="Times New Roman" w:cs="Times New Roman"/>
                <w:sz w:val="22"/>
                <w:szCs w:val="22"/>
              </w:rPr>
              <w:t>03/01/2023 al 03/01/2025</w:t>
            </w:r>
          </w:p>
        </w:tc>
      </w:tr>
    </w:tbl>
    <w:p w14:paraId="2488E078" w14:textId="77777777" w:rsidR="00477E99" w:rsidRPr="00EA5C6B" w:rsidRDefault="00477E99" w:rsidP="00477E99">
      <w:pPr>
        <w:rPr>
          <w:rFonts w:ascii="Times New Roman" w:hAnsi="Times New Roman" w:cs="Times New Roman"/>
          <w:b/>
          <w:sz w:val="22"/>
          <w:szCs w:val="22"/>
          <w:u w:val="single"/>
          <w:lang w:val="es-AR"/>
        </w:rPr>
      </w:pPr>
    </w:p>
    <w:p w14:paraId="321816B7" w14:textId="77777777" w:rsidR="00477E99" w:rsidRPr="00EA5C6B" w:rsidRDefault="00477E99" w:rsidP="00477E99">
      <w:pPr>
        <w:rPr>
          <w:rFonts w:ascii="Times New Roman" w:hAnsi="Times New Roman" w:cs="Times New Roman"/>
          <w:b/>
          <w:sz w:val="22"/>
          <w:szCs w:val="22"/>
          <w:u w:val="single"/>
        </w:rPr>
      </w:pPr>
      <w:bookmarkStart w:id="65" w:name="_Hlk31729024"/>
      <w:r w:rsidRPr="00EA5C6B">
        <w:rPr>
          <w:rFonts w:ascii="Times New Roman" w:hAnsi="Times New Roman" w:cs="Times New Roman"/>
          <w:b/>
          <w:sz w:val="22"/>
          <w:szCs w:val="22"/>
          <w:u w:val="single"/>
        </w:rPr>
        <w:t>Principal Actividad</w:t>
      </w:r>
    </w:p>
    <w:p w14:paraId="612C2A05" w14:textId="77777777" w:rsidR="00477E99" w:rsidRPr="00EA5C6B" w:rsidRDefault="00477E99" w:rsidP="00477E99">
      <w:pPr>
        <w:rPr>
          <w:rFonts w:ascii="Times New Roman" w:hAnsi="Times New Roman" w:cs="Times New Roman"/>
          <w:b/>
          <w:sz w:val="22"/>
          <w:szCs w:val="22"/>
          <w:u w:val="single"/>
        </w:rPr>
      </w:pPr>
    </w:p>
    <w:bookmarkEnd w:id="65"/>
    <w:p w14:paraId="7654DCDA" w14:textId="77777777" w:rsidR="00477E99" w:rsidRPr="00EA5C6B" w:rsidRDefault="00477E99" w:rsidP="00477E99">
      <w:pPr>
        <w:rPr>
          <w:rFonts w:ascii="Times New Roman" w:hAnsi="Times New Roman" w:cs="Times New Roman"/>
          <w:bCs/>
          <w:sz w:val="22"/>
          <w:szCs w:val="22"/>
        </w:rPr>
      </w:pPr>
      <w:r w:rsidRPr="00EA5C6B">
        <w:rPr>
          <w:rFonts w:ascii="Times New Roman" w:hAnsi="Times New Roman" w:cs="Times New Roman"/>
          <w:bCs/>
          <w:sz w:val="22"/>
          <w:szCs w:val="22"/>
        </w:rPr>
        <w:t xml:space="preserve">StoneX está registrada en la Comisión Nacional de Valores como AGENTE DE LIQUIDACIÓN Y COMPENSACIÓN Y AGENTE DE NEGOCIACIÓN INTEGRAL N°47. </w:t>
      </w:r>
    </w:p>
    <w:p w14:paraId="30A98BA3" w14:textId="77777777" w:rsidR="00477E99" w:rsidRPr="00EA5C6B" w:rsidRDefault="00477E99" w:rsidP="00477E99">
      <w:pPr>
        <w:rPr>
          <w:rFonts w:ascii="Times New Roman" w:hAnsi="Times New Roman" w:cs="Times New Roman"/>
          <w:bCs/>
          <w:sz w:val="22"/>
          <w:szCs w:val="22"/>
        </w:rPr>
      </w:pPr>
    </w:p>
    <w:p w14:paraId="735EAA2E" w14:textId="77777777" w:rsidR="00477E99" w:rsidRPr="00EA5C6B" w:rsidRDefault="00477E99" w:rsidP="00477E99">
      <w:pPr>
        <w:rPr>
          <w:rFonts w:ascii="Times New Roman" w:hAnsi="Times New Roman" w:cs="Times New Roman"/>
          <w:bCs/>
          <w:sz w:val="22"/>
          <w:szCs w:val="22"/>
        </w:rPr>
      </w:pPr>
      <w:r w:rsidRPr="00EA5C6B">
        <w:rPr>
          <w:rFonts w:ascii="Times New Roman" w:hAnsi="Times New Roman" w:cs="Times New Roman"/>
          <w:bCs/>
          <w:sz w:val="22"/>
          <w:szCs w:val="22"/>
        </w:rPr>
        <w:t>StoneX opera en los Mercados de Capitales, brindando una amplia gama de servicios. StoneX es líder en el mercado de capitales local en base a la amplia experiencia de su equipo de trabajo en la estructuración y colocación de fideicomisos financieros sobre préstamos personales, de consumo, prendarios, cheques, cupones de tarjetas de crédito y cuentas por cobrar en general.</w:t>
      </w:r>
    </w:p>
    <w:p w14:paraId="11B388DF" w14:textId="77777777" w:rsidR="00477E99" w:rsidRPr="00EA5C6B" w:rsidRDefault="00477E99" w:rsidP="00477E99">
      <w:pPr>
        <w:rPr>
          <w:rFonts w:ascii="Times New Roman" w:hAnsi="Times New Roman" w:cs="Times New Roman"/>
          <w:bCs/>
          <w:sz w:val="22"/>
          <w:szCs w:val="22"/>
        </w:rPr>
      </w:pPr>
    </w:p>
    <w:p w14:paraId="2F9684B1" w14:textId="77777777" w:rsidR="00477E99" w:rsidRPr="00EA5C6B" w:rsidRDefault="00477E99" w:rsidP="00477E99">
      <w:pPr>
        <w:rPr>
          <w:rFonts w:ascii="Times New Roman" w:hAnsi="Times New Roman" w:cs="Times New Roman"/>
          <w:bCs/>
          <w:sz w:val="22"/>
          <w:szCs w:val="22"/>
        </w:rPr>
      </w:pPr>
      <w:r w:rsidRPr="00EA5C6B">
        <w:rPr>
          <w:rFonts w:ascii="Times New Roman" w:hAnsi="Times New Roman" w:cs="Times New Roman"/>
          <w:bCs/>
          <w:sz w:val="22"/>
          <w:szCs w:val="22"/>
        </w:rPr>
        <w:t>StoneX tiene una importante participación en el volumen operado en los mercados en cuanto a títulos públicos, cheques de pago diferido, acciones y Cedears; opciones, futuros y caución bursátil. Es Agente miembro del Mercado Argentino de Valores N° 506, de Bolsas y Mercados Argentinos N° 240; Agente MATbaRofex N°7122 (Agente ROFEX interconectado con MATba), Agente Rofex N° 325 y posee membresía plena en Mercado Abierto Electrónico N° 660. En diciembre 2019, lideró el ranking de Compraventa de Renta Fija del Mercado Abierto Electrónico, con una participación del 24,89%.</w:t>
      </w:r>
    </w:p>
    <w:p w14:paraId="3C6D3E30" w14:textId="77777777" w:rsidR="00477E99" w:rsidRPr="00EA5C6B" w:rsidRDefault="00477E99" w:rsidP="00477E99">
      <w:pPr>
        <w:rPr>
          <w:rFonts w:ascii="Times New Roman" w:hAnsi="Times New Roman" w:cs="Times New Roman"/>
          <w:bCs/>
          <w:sz w:val="22"/>
          <w:szCs w:val="22"/>
        </w:rPr>
      </w:pPr>
    </w:p>
    <w:p w14:paraId="45F780A4" w14:textId="77777777" w:rsidR="00477E99" w:rsidRPr="00EA5C6B" w:rsidRDefault="00477E99" w:rsidP="00477E99">
      <w:pPr>
        <w:rPr>
          <w:rFonts w:ascii="Times New Roman" w:hAnsi="Times New Roman" w:cs="Times New Roman"/>
          <w:bCs/>
          <w:sz w:val="22"/>
          <w:szCs w:val="22"/>
        </w:rPr>
      </w:pPr>
      <w:r w:rsidRPr="00EA5C6B">
        <w:rPr>
          <w:rFonts w:ascii="Times New Roman" w:hAnsi="Times New Roman" w:cs="Times New Roman"/>
          <w:bCs/>
          <w:sz w:val="22"/>
          <w:szCs w:val="22"/>
        </w:rPr>
        <w:t>StoneX es el principal agente colocador de los Fondos Comunes de Inversión administrados por StoneX Asset Management S.A., Sociedad Gerente de Fondos Comunes de Inversión, una de las administradoras independientes de la Argentina con más de 15 años de experiencia.</w:t>
      </w:r>
    </w:p>
    <w:p w14:paraId="430EFF2D" w14:textId="77777777" w:rsidR="00477E99" w:rsidRPr="00EA5C6B" w:rsidRDefault="00477E99" w:rsidP="00477E99">
      <w:pPr>
        <w:rPr>
          <w:rFonts w:ascii="Times New Roman" w:hAnsi="Times New Roman" w:cs="Times New Roman"/>
          <w:sz w:val="22"/>
          <w:szCs w:val="22"/>
        </w:rPr>
      </w:pPr>
    </w:p>
    <w:p w14:paraId="316034E5" w14:textId="77777777" w:rsidR="00477E99" w:rsidRPr="00EA5C6B" w:rsidRDefault="00477E99" w:rsidP="00477E99">
      <w:pPr>
        <w:rPr>
          <w:rFonts w:ascii="Times New Roman" w:hAnsi="Times New Roman" w:cs="Times New Roman"/>
          <w:b/>
          <w:sz w:val="22"/>
          <w:szCs w:val="22"/>
          <w:u w:val="single"/>
        </w:rPr>
      </w:pPr>
      <w:r w:rsidRPr="00EA5C6B">
        <w:rPr>
          <w:rFonts w:ascii="Times New Roman" w:hAnsi="Times New Roman" w:cs="Times New Roman"/>
          <w:b/>
          <w:sz w:val="22"/>
          <w:szCs w:val="22"/>
          <w:u w:val="single"/>
        </w:rPr>
        <w:t>Política Ambiental</w:t>
      </w:r>
    </w:p>
    <w:p w14:paraId="52D9FCF9" w14:textId="77777777" w:rsidR="00477E99" w:rsidRPr="00EA5C6B" w:rsidRDefault="00477E99" w:rsidP="00477E99">
      <w:pPr>
        <w:rPr>
          <w:rFonts w:ascii="Times New Roman" w:hAnsi="Times New Roman" w:cs="Times New Roman"/>
          <w:b/>
          <w:sz w:val="22"/>
          <w:szCs w:val="22"/>
          <w:u w:val="single"/>
        </w:rPr>
      </w:pPr>
    </w:p>
    <w:p w14:paraId="4AC0810E" w14:textId="792AFE21" w:rsidR="00477E99" w:rsidRPr="00506990" w:rsidRDefault="00477E99" w:rsidP="00C56DC8">
      <w:pPr>
        <w:rPr>
          <w:rFonts w:ascii="Times New Roman" w:hAnsi="Times New Roman" w:cs="Times New Roman"/>
          <w:color w:val="0D0D0D" w:themeColor="text1" w:themeTint="F2"/>
          <w:sz w:val="22"/>
          <w:szCs w:val="22"/>
          <w:lang w:val="es-AR"/>
        </w:rPr>
      </w:pPr>
      <w:r w:rsidRPr="00EA5C6B">
        <w:rPr>
          <w:rFonts w:ascii="Times New Roman" w:hAnsi="Times New Roman" w:cs="Times New Roman"/>
          <w:sz w:val="22"/>
          <w:szCs w:val="22"/>
        </w:rPr>
        <w:t>La compañía no posee a la fecha de corte una política ambiental debido a que la naturaleza del negocio y su actividad principal no posee un impacto sobre el medioambiente.</w:t>
      </w:r>
    </w:p>
    <w:p w14:paraId="6F51AADC" w14:textId="77777777" w:rsidR="000D2637" w:rsidRPr="00506990" w:rsidRDefault="00A46B18" w:rsidP="00B228F5">
      <w:pPr>
        <w:pStyle w:val="Ttulo1"/>
        <w:jc w:val="center"/>
        <w:rPr>
          <w:rFonts w:ascii="Times New Roman" w:hAnsi="Times New Roman"/>
          <w:sz w:val="22"/>
          <w:szCs w:val="22"/>
        </w:rPr>
      </w:pPr>
      <w:bookmarkStart w:id="66" w:name="_Toc521424871"/>
      <w:bookmarkStart w:id="67"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66"/>
      <w:bookmarkEnd w:id="67"/>
    </w:p>
    <w:p w14:paraId="2B149A82" w14:textId="77777777" w:rsidR="00372671" w:rsidRPr="00506990" w:rsidRDefault="00372671" w:rsidP="00DE2BB1">
      <w:pPr>
        <w:pStyle w:val="NormalWeb"/>
        <w:spacing w:after="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TINSA S.A. (COBRO EXPRESS)</w:t>
      </w:r>
    </w:p>
    <w:p w14:paraId="507825F2"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Denominación social:</w:t>
      </w:r>
      <w:r w:rsidRPr="00506990">
        <w:rPr>
          <w:rFonts w:eastAsia="Arial Unicode MS"/>
          <w:color w:val="0D0D0D" w:themeColor="text1" w:themeTint="F2"/>
          <w:sz w:val="22"/>
          <w:szCs w:val="22"/>
        </w:rPr>
        <w:t xml:space="preserve"> </w:t>
      </w:r>
      <w:r w:rsidR="00AD379D" w:rsidRPr="00506990">
        <w:rPr>
          <w:rFonts w:eastAsia="Arial Unicode MS"/>
          <w:color w:val="0D0D0D" w:themeColor="text1" w:themeTint="F2"/>
          <w:sz w:val="22"/>
          <w:szCs w:val="22"/>
        </w:rPr>
        <w:t>TIN</w:t>
      </w:r>
      <w:r w:rsidR="00B17C45" w:rsidRPr="00506990">
        <w:rPr>
          <w:rFonts w:eastAsia="Arial Unicode MS"/>
          <w:color w:val="0D0D0D" w:themeColor="text1" w:themeTint="F2"/>
          <w:sz w:val="22"/>
          <w:szCs w:val="22"/>
        </w:rPr>
        <w:t>S</w:t>
      </w:r>
      <w:r w:rsidRPr="00506990">
        <w:rPr>
          <w:rFonts w:eastAsia="Arial Unicode MS"/>
          <w:color w:val="0D0D0D" w:themeColor="text1" w:themeTint="F2"/>
          <w:sz w:val="22"/>
          <w:szCs w:val="22"/>
        </w:rPr>
        <w:t>A S.A.</w:t>
      </w:r>
    </w:p>
    <w:p w14:paraId="2C54A203" w14:textId="1374F899"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Domicilio Legal:</w:t>
      </w:r>
      <w:r w:rsidRPr="00506990">
        <w:rPr>
          <w:rFonts w:eastAsia="Arial Unicode MS"/>
          <w:color w:val="0D0D0D" w:themeColor="text1" w:themeTint="F2"/>
          <w:sz w:val="22"/>
          <w:szCs w:val="22"/>
        </w:rPr>
        <w:t xml:space="preserve"> </w:t>
      </w:r>
      <w:r w:rsidR="00C55026">
        <w:rPr>
          <w:rFonts w:eastAsia="Arial Unicode MS"/>
          <w:color w:val="0D0D0D" w:themeColor="text1" w:themeTint="F2"/>
          <w:sz w:val="22"/>
          <w:szCs w:val="22"/>
        </w:rPr>
        <w:t xml:space="preserve">Calle </w:t>
      </w:r>
      <w:r w:rsidR="009B5242">
        <w:rPr>
          <w:rFonts w:eastAsia="Arial Unicode MS"/>
          <w:color w:val="0D0D0D" w:themeColor="text1" w:themeTint="F2"/>
          <w:sz w:val="22"/>
          <w:szCs w:val="22"/>
        </w:rPr>
        <w:t>Cayetano Santi</w:t>
      </w:r>
      <w:r w:rsidR="00C55026">
        <w:rPr>
          <w:rFonts w:eastAsia="Arial Unicode MS"/>
          <w:color w:val="0D0D0D" w:themeColor="text1" w:themeTint="F2"/>
          <w:sz w:val="22"/>
          <w:szCs w:val="22"/>
        </w:rPr>
        <w:t xml:space="preserve"> N° 1045</w:t>
      </w:r>
      <w:r w:rsidR="0020399A" w:rsidRPr="00506990">
        <w:rPr>
          <w:rFonts w:eastAsia="Arial Unicode MS"/>
          <w:color w:val="0D0D0D" w:themeColor="text1" w:themeTint="F2"/>
          <w:sz w:val="22"/>
          <w:szCs w:val="22"/>
        </w:rPr>
        <w:t xml:space="preserve"> , Provincia de Santa Fe, (S2300KJA</w:t>
      </w:r>
      <w:r w:rsidR="00BB5F52">
        <w:rPr>
          <w:rFonts w:eastAsia="Arial Unicode MS"/>
          <w:color w:val="0D0D0D" w:themeColor="text1" w:themeTint="F2"/>
          <w:sz w:val="22"/>
          <w:szCs w:val="22"/>
        </w:rPr>
        <w:t>)</w:t>
      </w:r>
    </w:p>
    <w:p w14:paraId="45D8128C" w14:textId="77777777" w:rsidR="00F54623" w:rsidRPr="0098446E" w:rsidRDefault="00372671" w:rsidP="00485551">
      <w:pPr>
        <w:rPr>
          <w:rFonts w:ascii="Times New Roman" w:hAnsi="Times New Roman" w:cs="Times New Roman"/>
          <w:b/>
        </w:rPr>
      </w:pPr>
      <w:r w:rsidRPr="00506990">
        <w:rPr>
          <w:rFonts w:ascii="Times New Roman" w:eastAsia="Arial Unicode MS" w:hAnsi="Times New Roman" w:cs="Times New Roman"/>
          <w:b/>
          <w:color w:val="0D0D0D" w:themeColor="text1" w:themeTint="F2"/>
          <w:sz w:val="22"/>
          <w:szCs w:val="22"/>
          <w:lang w:val="es-ES"/>
        </w:rPr>
        <w:t xml:space="preserve">Nro. </w:t>
      </w:r>
      <w:r w:rsidR="00870A44" w:rsidRPr="00506990">
        <w:rPr>
          <w:rFonts w:ascii="Times New Roman" w:eastAsia="Arial Unicode MS" w:hAnsi="Times New Roman" w:cs="Times New Roman"/>
          <w:b/>
          <w:color w:val="0D0D0D" w:themeColor="text1" w:themeTint="F2"/>
          <w:sz w:val="22"/>
          <w:szCs w:val="22"/>
          <w:lang w:val="es-ES"/>
        </w:rPr>
        <w:t xml:space="preserve">y Fecha </w:t>
      </w:r>
      <w:r w:rsidRPr="00506990">
        <w:rPr>
          <w:rFonts w:ascii="Times New Roman" w:eastAsia="Arial Unicode MS" w:hAnsi="Times New Roman" w:cs="Times New Roman"/>
          <w:b/>
          <w:color w:val="0D0D0D" w:themeColor="text1" w:themeTint="F2"/>
          <w:sz w:val="22"/>
          <w:szCs w:val="22"/>
          <w:lang w:val="es-ES"/>
        </w:rPr>
        <w:t xml:space="preserve">de inscripción en </w:t>
      </w:r>
      <w:r w:rsidR="00870A44" w:rsidRPr="00506990">
        <w:rPr>
          <w:rFonts w:ascii="Times New Roman" w:eastAsia="Arial Unicode MS" w:hAnsi="Times New Roman" w:cs="Times New Roman"/>
          <w:b/>
          <w:color w:val="0D0D0D" w:themeColor="text1" w:themeTint="F2"/>
          <w:sz w:val="22"/>
          <w:szCs w:val="22"/>
          <w:lang w:val="es-ES"/>
        </w:rPr>
        <w:t>el Registro Público de Rafaela</w:t>
      </w:r>
      <w:r w:rsidRPr="00506990">
        <w:rPr>
          <w:rFonts w:ascii="Times New Roman" w:eastAsia="Arial Unicode MS" w:hAnsi="Times New Roman" w:cs="Times New Roman"/>
          <w:b/>
          <w:color w:val="0D0D0D" w:themeColor="text1" w:themeTint="F2"/>
          <w:sz w:val="22"/>
          <w:szCs w:val="22"/>
          <w:lang w:val="es-ES"/>
        </w:rPr>
        <w:t>:</w:t>
      </w:r>
      <w:r w:rsidR="00870A44" w:rsidRPr="00506990">
        <w:rPr>
          <w:rFonts w:ascii="Times New Roman" w:eastAsia="Arial Unicode MS" w:hAnsi="Times New Roman" w:cs="Times New Roman"/>
          <w:color w:val="0D0D0D" w:themeColor="text1" w:themeTint="F2"/>
          <w:sz w:val="22"/>
          <w:szCs w:val="22"/>
          <w:lang w:val="es-ES"/>
        </w:rPr>
        <w:t xml:space="preserve"> </w:t>
      </w:r>
      <w:r w:rsidR="00870A44" w:rsidRPr="00506990">
        <w:rPr>
          <w:rFonts w:ascii="Times New Roman" w:eastAsia="Arial Unicode MS" w:hAnsi="Times New Roman" w:cs="Times New Roman"/>
          <w:color w:val="0D0D0D" w:themeColor="text1" w:themeTint="F2"/>
          <w:sz w:val="22"/>
          <w:szCs w:val="22"/>
        </w:rPr>
        <w:t>Del</w:t>
      </w:r>
      <w:r w:rsidR="0020399A" w:rsidRPr="00506990">
        <w:rPr>
          <w:rFonts w:ascii="Times New Roman" w:eastAsia="Arial Unicode MS" w:hAnsi="Times New Roman" w:cs="Times New Roman"/>
          <w:color w:val="0D0D0D" w:themeColor="text1" w:themeTint="F2"/>
          <w:sz w:val="22"/>
          <w:szCs w:val="22"/>
        </w:rPr>
        <w:t xml:space="preserve"> Estatuto Original: 24 de septiembre de 2001, bajo el Número 403 Folio 119 a 120 del Libro I de Estatutos de Sociedades Anónimas. De las modificaciones al Estatuto: 29 de Julio de 2003, bajo el Número 589 Folio 67 del Libro II de Estatutos de Sociedades Anónimas</w:t>
      </w:r>
      <w:r w:rsidR="00870A44" w:rsidRPr="00506990">
        <w:rPr>
          <w:rFonts w:ascii="Times New Roman" w:eastAsia="Arial Unicode MS" w:hAnsi="Times New Roman" w:cs="Times New Roman"/>
          <w:color w:val="0D0D0D" w:themeColor="text1" w:themeTint="F2"/>
          <w:sz w:val="22"/>
          <w:szCs w:val="22"/>
        </w:rPr>
        <w:t xml:space="preserve"> y</w:t>
      </w:r>
      <w:r w:rsidR="0020399A" w:rsidRPr="00506990">
        <w:rPr>
          <w:rFonts w:ascii="Times New Roman" w:eastAsia="Arial Unicode MS" w:hAnsi="Times New Roman" w:cs="Times New Roman"/>
          <w:color w:val="0D0D0D" w:themeColor="text1" w:themeTint="F2"/>
          <w:sz w:val="22"/>
          <w:szCs w:val="22"/>
        </w:rPr>
        <w:t xml:space="preserve"> 26 de Septiembre de 2012, bajo el Número 2454 Folio 397 del Libro III de Estatutos de Sociedades Anónimas.</w:t>
      </w:r>
    </w:p>
    <w:p w14:paraId="0D4C6D50"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Actividad:</w:t>
      </w:r>
      <w:r w:rsidR="0020399A" w:rsidRPr="00506990">
        <w:rPr>
          <w:rFonts w:eastAsia="Arial Unicode MS"/>
          <w:color w:val="0D0D0D" w:themeColor="text1" w:themeTint="F2"/>
          <w:sz w:val="22"/>
          <w:szCs w:val="22"/>
        </w:rPr>
        <w:t xml:space="preserve"> Servicio electrónico de pagos y/o cobranzas por cuenta y orden de terceros, de facturas de servicios públicos, impuestos y otros servicios.</w:t>
      </w:r>
    </w:p>
    <w:p w14:paraId="480A517B"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CUIT:</w:t>
      </w:r>
      <w:r w:rsidR="0020399A" w:rsidRPr="00506990">
        <w:rPr>
          <w:rFonts w:eastAsia="Arial Unicode MS"/>
          <w:color w:val="0D0D0D" w:themeColor="text1" w:themeTint="F2"/>
          <w:sz w:val="22"/>
          <w:szCs w:val="22"/>
        </w:rPr>
        <w:t xml:space="preserve"> 30-70758637-7</w:t>
      </w:r>
    </w:p>
    <w:p w14:paraId="4EE4B718"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Tel/ Fax:</w:t>
      </w:r>
      <w:r w:rsidRPr="00506990">
        <w:rPr>
          <w:rFonts w:eastAsia="Arial Unicode MS"/>
          <w:color w:val="0D0D0D" w:themeColor="text1" w:themeTint="F2"/>
          <w:sz w:val="22"/>
          <w:szCs w:val="22"/>
        </w:rPr>
        <w:t xml:space="preserve"> </w:t>
      </w:r>
      <w:r w:rsidR="0020399A" w:rsidRPr="00506990">
        <w:rPr>
          <w:rFonts w:eastAsia="Arial Unicode MS"/>
          <w:color w:val="0D0D0D" w:themeColor="text1" w:themeTint="F2"/>
          <w:sz w:val="22"/>
          <w:szCs w:val="22"/>
        </w:rPr>
        <w:t>tel 03492-439000 / fax 03492 439000 interno 8400</w:t>
      </w:r>
    </w:p>
    <w:p w14:paraId="375104A3" w14:textId="77777777" w:rsidR="0020399A" w:rsidRPr="00506990" w:rsidRDefault="00372671" w:rsidP="0020399A">
      <w:pPr>
        <w:shd w:val="clear" w:color="auto" w:fill="FFFFFF"/>
        <w:rPr>
          <w:rFonts w:ascii="Times New Roman" w:eastAsia="Times New Roman" w:hAnsi="Times New Roman" w:cs="Times New Roman"/>
          <w:color w:val="0D0D0D" w:themeColor="text1" w:themeTint="F2"/>
          <w:sz w:val="22"/>
          <w:szCs w:val="22"/>
          <w:lang w:val="es-ES" w:eastAsia="es-AR"/>
        </w:rPr>
      </w:pPr>
      <w:r w:rsidRPr="00506990">
        <w:rPr>
          <w:rFonts w:ascii="Times New Roman" w:hAnsi="Times New Roman" w:cs="Times New Roman"/>
          <w:b/>
          <w:bCs/>
          <w:color w:val="0D0D0D" w:themeColor="text1" w:themeTint="F2"/>
          <w:sz w:val="22"/>
          <w:szCs w:val="22"/>
        </w:rPr>
        <w:t xml:space="preserve">E-mail: </w:t>
      </w:r>
      <w:hyperlink r:id="rId51"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info@cobroexpress.com.ar</w:t>
        </w:r>
      </w:hyperlink>
      <w:r w:rsidR="0020399A" w:rsidRPr="00506990">
        <w:rPr>
          <w:rFonts w:ascii="Times New Roman" w:eastAsia="Times New Roman" w:hAnsi="Times New Roman" w:cs="Times New Roman"/>
          <w:color w:val="0D0D0D" w:themeColor="text1" w:themeTint="F2"/>
          <w:sz w:val="22"/>
          <w:szCs w:val="22"/>
          <w:lang w:val="es-AR" w:eastAsia="es-AR"/>
        </w:rPr>
        <w:t> - Web: </w:t>
      </w:r>
      <w:hyperlink r:id="rId52"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www.cobroexpress.com.ar</w:t>
        </w:r>
      </w:hyperlink>
      <w:r w:rsidR="0020399A" w:rsidRPr="00506990">
        <w:rPr>
          <w:rFonts w:ascii="Times New Roman" w:eastAsia="Times New Roman" w:hAnsi="Times New Roman" w:cs="Times New Roman"/>
          <w:color w:val="0D0D0D" w:themeColor="text1" w:themeTint="F2"/>
          <w:sz w:val="22"/>
          <w:szCs w:val="22"/>
          <w:lang w:val="es-AR" w:eastAsia="es-AR"/>
        </w:rPr>
        <w:t>.</w:t>
      </w:r>
    </w:p>
    <w:p w14:paraId="3A2BB0CA" w14:textId="77777777" w:rsidR="003C6A63" w:rsidRPr="00506990" w:rsidRDefault="003C6A63" w:rsidP="007154AA">
      <w:pPr>
        <w:pStyle w:val="Default0"/>
        <w:rPr>
          <w:color w:val="0D0D0D" w:themeColor="text1" w:themeTint="F2"/>
          <w:sz w:val="22"/>
          <w:szCs w:val="22"/>
        </w:rPr>
      </w:pPr>
    </w:p>
    <w:p w14:paraId="392A0B7A"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Tinsa S.A. es una empresa dedicada al cobro extrabancario de Impuestos y Servicios y recarga virtual de crédito prepago de Telefonía celular y fija, cuyo nombre comercial es Cobro Express.</w:t>
      </w:r>
    </w:p>
    <w:p w14:paraId="1D0715D9"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COBRO EXPRESS “Un servicio seguro”, es una red nacional de cobranza donde todas las personas pueden abonar impuestos, servicios y cualquier otro tipo de facturas de empresas adheridas al sistema. Posee una estructura tecnológica que permite el pago las 24 horas del día, los 365 días del año.</w:t>
      </w:r>
    </w:p>
    <w:p w14:paraId="33DDE718" w14:textId="77777777" w:rsidR="00747260" w:rsidRPr="00506990" w:rsidRDefault="00747260" w:rsidP="009E4ECD">
      <w:pPr>
        <w:pStyle w:val="NormalWeb"/>
        <w:rPr>
          <w:rFonts w:ascii="Times New Roman" w:hAnsi="Times New Roman" w:cs="Times New Roman"/>
          <w:color w:val="0D0D0D" w:themeColor="text1" w:themeTint="F2"/>
          <w:sz w:val="22"/>
          <w:szCs w:val="22"/>
        </w:rPr>
      </w:pPr>
      <w:r w:rsidRPr="00214705">
        <w:rPr>
          <w:rFonts w:ascii="Times New Roman" w:hAnsi="Times New Roman" w:cs="Times New Roman"/>
          <w:color w:val="0D0D0D" w:themeColor="text1" w:themeTint="F2"/>
          <w:sz w:val="22"/>
          <w:szCs w:val="22"/>
        </w:rPr>
        <w:t>Actualmente posee una red de más de 1.200 agentes y 2.650 puntos de cobranza ubicados en más de 700 localidades de las 23 provincias del Territorio Nacional.</w:t>
      </w:r>
    </w:p>
    <w:p w14:paraId="62F76593" w14:textId="77777777" w:rsidR="00586FF2" w:rsidRPr="00506990" w:rsidRDefault="00586FF2" w:rsidP="00892BBE">
      <w:pPr>
        <w:pStyle w:val="Default0"/>
        <w:jc w:val="both"/>
        <w:rPr>
          <w:bCs/>
          <w:color w:val="0D0D0D" w:themeColor="text1" w:themeTint="F2"/>
          <w:sz w:val="22"/>
          <w:szCs w:val="22"/>
        </w:rPr>
      </w:pPr>
    </w:p>
    <w:p w14:paraId="48009AC8" w14:textId="77777777" w:rsidR="00586FF2" w:rsidRPr="00506990" w:rsidRDefault="00CC479E" w:rsidP="00892BBE">
      <w:pPr>
        <w:pStyle w:val="Default0"/>
        <w:jc w:val="both"/>
        <w:rPr>
          <w:bCs/>
          <w:color w:val="0D0D0D" w:themeColor="text1" w:themeTint="F2"/>
          <w:sz w:val="22"/>
          <w:szCs w:val="22"/>
        </w:rPr>
      </w:pPr>
      <w:r w:rsidRPr="00506990">
        <w:rPr>
          <w:bCs/>
          <w:color w:val="0D0D0D" w:themeColor="text1" w:themeTint="F2"/>
          <w:sz w:val="22"/>
          <w:szCs w:val="22"/>
        </w:rPr>
        <w:t>Bazar Avenida S.A.</w:t>
      </w:r>
      <w:r w:rsidR="00586FF2" w:rsidRPr="00506990">
        <w:rPr>
          <w:bCs/>
          <w:color w:val="0D0D0D" w:themeColor="text1" w:themeTint="F2"/>
          <w:sz w:val="22"/>
          <w:szCs w:val="22"/>
        </w:rPr>
        <w:t xml:space="preserve"> y el Agente Recaudador son empresas vinculadas, siendo los accionistas de Tinsa S.A. a su vez accionistas de Bazar Avenida S.A. y ambas compañías comparten tres directores titulares y un director suplente.</w:t>
      </w:r>
    </w:p>
    <w:p w14:paraId="5A3ED773" w14:textId="77777777" w:rsidR="00A52B9F" w:rsidRPr="00506990" w:rsidRDefault="00A52B9F" w:rsidP="00CC479E">
      <w:pPr>
        <w:pStyle w:val="Default0"/>
        <w:jc w:val="both"/>
        <w:rPr>
          <w:bCs/>
          <w:color w:val="0D0D0D" w:themeColor="text1" w:themeTint="F2"/>
          <w:sz w:val="22"/>
          <w:szCs w:val="22"/>
        </w:rPr>
      </w:pPr>
      <w:r w:rsidRPr="00506990">
        <w:rPr>
          <w:bCs/>
          <w:color w:val="0D0D0D" w:themeColor="text1" w:themeTint="F2"/>
          <w:sz w:val="22"/>
          <w:szCs w:val="22"/>
        </w:rPr>
        <w:t>Consumo S.A. y el Agente Recaudador son empresas vinculadas, siendo los accionistas de Tinsa S.A. a su vez accionistas de Consumo S.A. y ambas compañías comparten tres directores titulares y un director suplente</w:t>
      </w:r>
    </w:p>
    <w:p w14:paraId="37DC4D17" w14:textId="77777777" w:rsidR="00CC479E" w:rsidRPr="00506990" w:rsidRDefault="00CC479E" w:rsidP="00892BBE">
      <w:pPr>
        <w:pStyle w:val="Default0"/>
        <w:jc w:val="both"/>
        <w:rPr>
          <w:bCs/>
          <w:color w:val="0D0D0D" w:themeColor="text1" w:themeTint="F2"/>
          <w:sz w:val="22"/>
          <w:szCs w:val="22"/>
        </w:rPr>
      </w:pPr>
    </w:p>
    <w:p w14:paraId="19863DEE"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 xml:space="preserve">TINSA S.A. cuenta con el soporte de </w:t>
      </w:r>
      <w:r w:rsidRPr="00506990">
        <w:rPr>
          <w:b/>
          <w:bCs/>
          <w:color w:val="0D0D0D" w:themeColor="text1" w:themeTint="F2"/>
          <w:sz w:val="22"/>
          <w:szCs w:val="22"/>
        </w:rPr>
        <w:t>Avenida A.C.E.</w:t>
      </w:r>
      <w:r w:rsidRPr="00506990">
        <w:rPr>
          <w:bCs/>
          <w:color w:val="0D0D0D" w:themeColor="text1" w:themeTint="F2"/>
          <w:sz w:val="22"/>
          <w:szCs w:val="22"/>
        </w:rPr>
        <w:t xml:space="preserve"> en diversas áreas de trabajo tales como marketing y comunicación, recursos humanos, administración e impuestos, finanzas y auditoría.</w:t>
      </w:r>
    </w:p>
    <w:p w14:paraId="4E028D61"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relación entre AVENIDA A.C.E. y el Agente Recaudador surge del contrato de colaboración empresaria de fecha 01/12/2001, inscripto en el Registro Público el 29/04/2002 bajo el N° 19, a folios 17, 18, 19 y 20 del Libro I de Agrupación de Colaboración.</w:t>
      </w:r>
    </w:p>
    <w:p w14:paraId="52F6ABBD"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Los participantes que emanan de la última modificación al contrato según acta del 17/07/2015 son: Bazar Avenida SA, Consumo SA, Tinsa SA, Total Support SA y Logme S.A.</w:t>
      </w:r>
    </w:p>
    <w:p w14:paraId="5C2741E8"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69184FB9"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6A459B25" w14:textId="64B6FBFF" w:rsidR="00482F96" w:rsidRPr="004D2DAB" w:rsidRDefault="000F1A22" w:rsidP="00892BBE">
      <w:pPr>
        <w:pStyle w:val="Default0"/>
        <w:jc w:val="both"/>
        <w:rPr>
          <w:color w:val="0D0D0D" w:themeColor="text1" w:themeTint="F2"/>
          <w:sz w:val="22"/>
          <w:highlight w:val="green"/>
        </w:rPr>
      </w:pPr>
      <w:r w:rsidRPr="00506990">
        <w:rPr>
          <w:bCs/>
          <w:color w:val="0D0D0D" w:themeColor="text1" w:themeTint="F2"/>
          <w:sz w:val="22"/>
          <w:szCs w:val="22"/>
        </w:rPr>
        <w:t>Se debe tener presente que TINSA S.A. dispone de capacidad propia suficiente para llevar a cabo las funciones que le corresponden como Agente Recaudador de la presente serie.</w:t>
      </w:r>
    </w:p>
    <w:p w14:paraId="270D667B" w14:textId="77777777" w:rsidR="006B6B5E" w:rsidRPr="00506990" w:rsidRDefault="006B6B5E" w:rsidP="00B228F5">
      <w:pPr>
        <w:pStyle w:val="Ttulo1"/>
        <w:jc w:val="center"/>
        <w:rPr>
          <w:rFonts w:ascii="Times New Roman" w:hAnsi="Times New Roman"/>
          <w:sz w:val="22"/>
          <w:szCs w:val="22"/>
        </w:rPr>
      </w:pPr>
      <w:bookmarkStart w:id="68" w:name="_DV_M263"/>
      <w:bookmarkStart w:id="69" w:name="_DV_M264"/>
      <w:bookmarkStart w:id="70" w:name="_DV_M265"/>
      <w:bookmarkStart w:id="71" w:name="_DV_M262"/>
      <w:bookmarkStart w:id="72" w:name="_DV_M172"/>
      <w:bookmarkStart w:id="73" w:name="_DV_M173"/>
      <w:bookmarkStart w:id="74" w:name="_DV_M174"/>
      <w:bookmarkStart w:id="75" w:name="_DV_M175"/>
      <w:bookmarkStart w:id="76" w:name="OLE_LINK1"/>
      <w:bookmarkStart w:id="77" w:name="_Hlk153012116"/>
      <w:bookmarkStart w:id="78" w:name="_DV_M518"/>
      <w:bookmarkStart w:id="79" w:name="_DV_M519"/>
      <w:bookmarkStart w:id="80" w:name="_DV_M520"/>
      <w:bookmarkStart w:id="81" w:name="_Toc521424872"/>
      <w:bookmarkStart w:id="82" w:name="_Toc20409088"/>
      <w:bookmarkEnd w:id="68"/>
      <w:bookmarkEnd w:id="69"/>
      <w:bookmarkEnd w:id="70"/>
      <w:bookmarkEnd w:id="71"/>
      <w:bookmarkEnd w:id="72"/>
      <w:bookmarkEnd w:id="73"/>
      <w:bookmarkEnd w:id="74"/>
      <w:bookmarkEnd w:id="75"/>
      <w:bookmarkEnd w:id="76"/>
      <w:bookmarkEnd w:id="77"/>
      <w:bookmarkEnd w:id="78"/>
      <w:bookmarkEnd w:id="79"/>
      <w:bookmarkEnd w:id="80"/>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81"/>
      <w:bookmarkEnd w:id="82"/>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132CBFFE" w14:textId="137B44C9" w:rsidR="00553A05" w:rsidRPr="00506990" w:rsidRDefault="00553A05" w:rsidP="00553A05">
      <w:pPr>
        <w:rPr>
          <w:rFonts w:ascii="Times New Roman" w:hAnsi="Times New Roman" w:cs="Times New Roman"/>
          <w:color w:val="0D0D0D" w:themeColor="text1" w:themeTint="F2"/>
          <w:sz w:val="22"/>
          <w:szCs w:val="22"/>
        </w:rPr>
      </w:pPr>
      <w:r w:rsidRPr="00A416D3">
        <w:rPr>
          <w:rFonts w:ascii="Times New Roman" w:hAnsi="Times New Roman" w:cs="Times New Roman"/>
          <w:color w:val="0D0D0D" w:themeColor="text1" w:themeTint="F2"/>
          <w:sz w:val="22"/>
          <w:szCs w:val="22"/>
        </w:rPr>
        <w:t xml:space="preserve">AZ Administración de Archivos S.A. </w:t>
      </w:r>
      <w:r w:rsidRPr="00506990">
        <w:rPr>
          <w:rFonts w:ascii="Times New Roman" w:hAnsi="Times New Roman" w:cs="Times New Roman"/>
          <w:color w:val="0D0D0D" w:themeColor="text1" w:themeTint="F2"/>
          <w:sz w:val="22"/>
          <w:szCs w:val="22"/>
        </w:rPr>
        <w:t xml:space="preserve">(CUIT N° </w:t>
      </w:r>
      <w:r>
        <w:rPr>
          <w:rFonts w:ascii="Times New Roman" w:hAnsi="Times New Roman" w:cs="Times New Roman"/>
          <w:color w:val="0D0D0D" w:themeColor="text1" w:themeTint="F2"/>
          <w:sz w:val="22"/>
          <w:szCs w:val="22"/>
        </w:rPr>
        <w:t>30-70336058-7</w:t>
      </w:r>
      <w:r w:rsidRPr="00506990">
        <w:rPr>
          <w:rFonts w:ascii="Times New Roman" w:hAnsi="Times New Roman" w:cs="Times New Roman"/>
          <w:color w:val="0D0D0D" w:themeColor="text1" w:themeTint="F2"/>
          <w:sz w:val="22"/>
          <w:szCs w:val="22"/>
        </w:rPr>
        <w:t xml:space="preserve">) es una sociedad anónima inscripta en el Registro Público de Comercio de la ciudad de </w:t>
      </w:r>
      <w:r>
        <w:rPr>
          <w:rFonts w:ascii="Times New Roman" w:hAnsi="Times New Roman" w:cs="Times New Roman"/>
          <w:color w:val="0D0D0D" w:themeColor="text1" w:themeTint="F2"/>
          <w:sz w:val="22"/>
          <w:szCs w:val="22"/>
        </w:rPr>
        <w:t xml:space="preserve">Córdoba, </w:t>
      </w:r>
      <w:r w:rsidRPr="00506990">
        <w:rPr>
          <w:rFonts w:ascii="Times New Roman" w:hAnsi="Times New Roman" w:cs="Times New Roman"/>
          <w:color w:val="0D0D0D" w:themeColor="text1" w:themeTint="F2"/>
          <w:sz w:val="22"/>
          <w:szCs w:val="22"/>
        </w:rPr>
        <w:t xml:space="preserve">bajo </w:t>
      </w:r>
      <w:r>
        <w:rPr>
          <w:rFonts w:ascii="Times New Roman" w:hAnsi="Times New Roman" w:cs="Times New Roman"/>
          <w:color w:val="0D0D0D" w:themeColor="text1" w:themeTint="F2"/>
          <w:sz w:val="22"/>
          <w:szCs w:val="22"/>
        </w:rPr>
        <w:t>la Matrícula Nro. 1797-A</w:t>
      </w:r>
      <w:r w:rsidRPr="00506990">
        <w:rPr>
          <w:rFonts w:ascii="Times New Roman" w:hAnsi="Times New Roman" w:cs="Times New Roman"/>
          <w:color w:val="0D0D0D" w:themeColor="text1" w:themeTint="F2"/>
          <w:sz w:val="22"/>
          <w:szCs w:val="22"/>
        </w:rPr>
        <w:t xml:space="preserve">. Su sede social se encuentra sita en </w:t>
      </w:r>
      <w:r>
        <w:rPr>
          <w:rFonts w:ascii="Times New Roman" w:hAnsi="Times New Roman" w:cs="Times New Roman"/>
          <w:color w:val="0D0D0D" w:themeColor="text1" w:themeTint="F2"/>
          <w:sz w:val="22"/>
          <w:szCs w:val="22"/>
        </w:rPr>
        <w:t>Gabriela Mistral 4888</w:t>
      </w:r>
      <w:r w:rsidRPr="00506990">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ciudad de Córdoba</w:t>
      </w:r>
      <w:r w:rsidRPr="00506990">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 xml:space="preserve">Provincia de Córdoba, </w:t>
      </w:r>
      <w:r w:rsidRPr="00506990">
        <w:rPr>
          <w:rFonts w:ascii="Times New Roman" w:hAnsi="Times New Roman" w:cs="Times New Roman"/>
          <w:color w:val="0D0D0D" w:themeColor="text1" w:themeTint="F2"/>
          <w:sz w:val="22"/>
          <w:szCs w:val="22"/>
        </w:rPr>
        <w:t xml:space="preserve">su teléfono/fax es </w:t>
      </w:r>
      <w:r>
        <w:rPr>
          <w:rFonts w:ascii="Times New Roman" w:hAnsi="Times New Roman" w:cs="Times New Roman"/>
          <w:color w:val="0D0D0D" w:themeColor="text1" w:themeTint="F2"/>
          <w:sz w:val="22"/>
          <w:szCs w:val="22"/>
        </w:rPr>
        <w:t>(0351)</w:t>
      </w:r>
      <w:r w:rsidRPr="00506990">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5892306/07</w:t>
      </w:r>
      <w:r w:rsidRPr="00506990">
        <w:rPr>
          <w:rFonts w:ascii="Times New Roman" w:hAnsi="Times New Roman" w:cs="Times New Roman"/>
          <w:color w:val="0D0D0D" w:themeColor="text1" w:themeTint="F2"/>
          <w:sz w:val="22"/>
          <w:szCs w:val="22"/>
        </w:rPr>
        <w:t xml:space="preserve">, su página web es </w:t>
      </w:r>
      <w:r>
        <w:rPr>
          <w:rFonts w:ascii="Times New Roman" w:hAnsi="Times New Roman" w:cs="Times New Roman"/>
          <w:color w:val="0D0D0D" w:themeColor="text1" w:themeTint="F2"/>
          <w:sz w:val="22"/>
          <w:szCs w:val="22"/>
        </w:rPr>
        <w:t>www.azarchivos.com.ar</w:t>
      </w:r>
      <w:r w:rsidRPr="00506990">
        <w:rPr>
          <w:rFonts w:ascii="Times New Roman" w:hAnsi="Times New Roman" w:cs="Times New Roman"/>
          <w:color w:val="0D0D0D" w:themeColor="text1" w:themeTint="F2"/>
          <w:sz w:val="22"/>
          <w:szCs w:val="22"/>
        </w:rPr>
        <w:t xml:space="preserve"> y su correo electrónico </w:t>
      </w:r>
      <w:r w:rsidRPr="00941E12">
        <w:rPr>
          <w:rFonts w:ascii="Times New Roman" w:hAnsi="Times New Roman" w:cs="Times New Roman"/>
          <w:color w:val="0D0D0D" w:themeColor="text1" w:themeTint="F2"/>
          <w:sz w:val="22"/>
          <w:szCs w:val="22"/>
        </w:rPr>
        <w:t>es</w:t>
      </w:r>
      <w:r>
        <w:rPr>
          <w:rFonts w:ascii="Times New Roman" w:hAnsi="Times New Roman" w:cs="Times New Roman"/>
          <w:color w:val="0D0D0D" w:themeColor="text1" w:themeTint="F2"/>
          <w:sz w:val="22"/>
          <w:szCs w:val="22"/>
        </w:rPr>
        <w:t xml:space="preserve">: </w:t>
      </w:r>
      <w:hyperlink r:id="rId53" w:history="1">
        <w:r w:rsidRPr="008713B9">
          <w:rPr>
            <w:rStyle w:val="Hipervnculo"/>
            <w:rFonts w:ascii="Times New Roman" w:hAnsi="Times New Roman"/>
            <w:sz w:val="22"/>
            <w:szCs w:val="22"/>
          </w:rPr>
          <w:t>calarcon@azarchivos.com.ar</w:t>
        </w:r>
      </w:hyperlink>
      <w:r w:rsidRPr="00506990">
        <w:rPr>
          <w:rFonts w:ascii="Times New Roman" w:hAnsi="Times New Roman" w:cs="Times New Roman"/>
          <w:color w:val="0D0D0D" w:themeColor="text1" w:themeTint="F2"/>
          <w:sz w:val="22"/>
          <w:szCs w:val="22"/>
        </w:rPr>
        <w:t>.</w:t>
      </w:r>
    </w:p>
    <w:p w14:paraId="36CE416D" w14:textId="77777777" w:rsidR="00553A05" w:rsidRPr="004F5F7E" w:rsidRDefault="00553A05" w:rsidP="00553A05">
      <w:pPr>
        <w:rPr>
          <w:rFonts w:ascii="Times New Roman" w:hAnsi="Times New Roman"/>
          <w:b/>
          <w:color w:val="0D0D0D" w:themeColor="text1" w:themeTint="F2"/>
          <w:sz w:val="22"/>
          <w:u w:val="single"/>
        </w:rPr>
      </w:pPr>
    </w:p>
    <w:p w14:paraId="21B0B762" w14:textId="77777777" w:rsidR="00553A05" w:rsidRPr="00506990" w:rsidRDefault="00553A05" w:rsidP="00553A05">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Administración:</w:t>
      </w:r>
    </w:p>
    <w:p w14:paraId="1377FAB4" w14:textId="77777777" w:rsidR="00553A05" w:rsidRPr="00506990" w:rsidRDefault="00553A05" w:rsidP="00553A05">
      <w:pPr>
        <w:rPr>
          <w:rFonts w:ascii="Times New Roman" w:hAnsi="Times New Roman" w:cs="Times New Roman"/>
          <w:color w:val="0D0D0D" w:themeColor="text1" w:themeTint="F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0"/>
        <w:gridCol w:w="1985"/>
        <w:gridCol w:w="2300"/>
        <w:gridCol w:w="2041"/>
      </w:tblGrid>
      <w:tr w:rsidR="00C235CA" w:rsidRPr="00506990" w14:paraId="66E17DAB" w14:textId="77777777" w:rsidTr="00EA5C6B">
        <w:tc>
          <w:tcPr>
            <w:tcW w:w="2050" w:type="dxa"/>
            <w:tcMar>
              <w:top w:w="0" w:type="dxa"/>
              <w:left w:w="108" w:type="dxa"/>
              <w:bottom w:w="0" w:type="dxa"/>
              <w:right w:w="108" w:type="dxa"/>
            </w:tcMar>
            <w:vAlign w:val="center"/>
            <w:hideMark/>
          </w:tcPr>
          <w:p w14:paraId="7CD98588" w14:textId="77777777" w:rsidR="00553A05" w:rsidRPr="00506990" w:rsidRDefault="00553A05" w:rsidP="004F5F7E">
            <w:pPr>
              <w:jc w:val="center"/>
              <w:rPr>
                <w:rFonts w:ascii="Times New Roman" w:hAnsi="Times New Roman" w:cs="Times New Roman"/>
                <w:sz w:val="20"/>
                <w:szCs w:val="20"/>
              </w:rPr>
            </w:pPr>
            <w:r w:rsidRPr="00506990">
              <w:rPr>
                <w:rFonts w:ascii="Times New Roman" w:hAnsi="Times New Roman" w:cs="Times New Roman"/>
                <w:sz w:val="20"/>
                <w:szCs w:val="20"/>
              </w:rPr>
              <w:t>Nombre</w:t>
            </w:r>
          </w:p>
        </w:tc>
        <w:tc>
          <w:tcPr>
            <w:tcW w:w="1985" w:type="dxa"/>
            <w:tcMar>
              <w:top w:w="0" w:type="dxa"/>
              <w:left w:w="108" w:type="dxa"/>
              <w:bottom w:w="0" w:type="dxa"/>
              <w:right w:w="108" w:type="dxa"/>
            </w:tcMar>
            <w:vAlign w:val="center"/>
            <w:hideMark/>
          </w:tcPr>
          <w:p w14:paraId="3FE4B0D0" w14:textId="77777777" w:rsidR="00553A05" w:rsidRPr="000579E7" w:rsidRDefault="00553A05" w:rsidP="004F5F7E">
            <w:pPr>
              <w:jc w:val="center"/>
              <w:rPr>
                <w:rFonts w:ascii="Times New Roman" w:hAnsi="Times New Roman" w:cs="Times New Roman"/>
                <w:sz w:val="20"/>
                <w:szCs w:val="20"/>
              </w:rPr>
            </w:pPr>
            <w:r w:rsidRPr="000579E7">
              <w:rPr>
                <w:rFonts w:ascii="Times New Roman" w:hAnsi="Times New Roman" w:cs="Times New Roman"/>
                <w:sz w:val="20"/>
                <w:szCs w:val="20"/>
              </w:rPr>
              <w:t>Cargo</w:t>
            </w:r>
          </w:p>
        </w:tc>
        <w:tc>
          <w:tcPr>
            <w:tcW w:w="2300" w:type="dxa"/>
          </w:tcPr>
          <w:p w14:paraId="435FDF86" w14:textId="77777777" w:rsidR="00553A05" w:rsidRPr="000579E7" w:rsidRDefault="00553A05" w:rsidP="004F5F7E">
            <w:pPr>
              <w:jc w:val="center"/>
              <w:rPr>
                <w:rFonts w:ascii="Times New Roman" w:hAnsi="Times New Roman" w:cs="Times New Roman"/>
                <w:sz w:val="20"/>
                <w:szCs w:val="20"/>
              </w:rPr>
            </w:pPr>
            <w:r>
              <w:rPr>
                <w:rFonts w:ascii="Times New Roman" w:hAnsi="Times New Roman" w:cs="Times New Roman"/>
                <w:sz w:val="20"/>
                <w:szCs w:val="20"/>
              </w:rPr>
              <w:t xml:space="preserve">Fecha de </w:t>
            </w:r>
            <w:r w:rsidRPr="000579E7">
              <w:rPr>
                <w:rFonts w:ascii="Times New Roman" w:hAnsi="Times New Roman" w:cs="Times New Roman"/>
                <w:sz w:val="20"/>
                <w:szCs w:val="20"/>
              </w:rPr>
              <w:t>Nombramiento</w:t>
            </w:r>
          </w:p>
        </w:tc>
        <w:tc>
          <w:tcPr>
            <w:tcW w:w="2041" w:type="dxa"/>
            <w:tcMar>
              <w:top w:w="0" w:type="dxa"/>
              <w:left w:w="108" w:type="dxa"/>
              <w:bottom w:w="0" w:type="dxa"/>
              <w:right w:w="108" w:type="dxa"/>
            </w:tcMar>
            <w:vAlign w:val="center"/>
            <w:hideMark/>
          </w:tcPr>
          <w:p w14:paraId="500EE7DA" w14:textId="77777777" w:rsidR="00553A05" w:rsidRPr="000579E7" w:rsidRDefault="00553A05" w:rsidP="004F5F7E">
            <w:pPr>
              <w:jc w:val="center"/>
              <w:rPr>
                <w:rFonts w:ascii="Times New Roman" w:hAnsi="Times New Roman" w:cs="Times New Roman"/>
                <w:sz w:val="20"/>
                <w:szCs w:val="20"/>
              </w:rPr>
            </w:pPr>
            <w:r>
              <w:rPr>
                <w:rFonts w:ascii="Times New Roman" w:hAnsi="Times New Roman" w:cs="Times New Roman"/>
                <w:sz w:val="20"/>
                <w:szCs w:val="20"/>
              </w:rPr>
              <w:t xml:space="preserve">Fecha de </w:t>
            </w:r>
            <w:r w:rsidRPr="000579E7">
              <w:rPr>
                <w:rFonts w:ascii="Times New Roman" w:hAnsi="Times New Roman" w:cs="Times New Roman"/>
                <w:sz w:val="20"/>
                <w:szCs w:val="20"/>
              </w:rPr>
              <w:t>Vencimiento</w:t>
            </w:r>
          </w:p>
        </w:tc>
      </w:tr>
      <w:tr w:rsidR="00C235CA" w:rsidRPr="00506990" w14:paraId="006F4434" w14:textId="77777777" w:rsidTr="00EA5C6B">
        <w:tc>
          <w:tcPr>
            <w:tcW w:w="2050" w:type="dxa"/>
            <w:tcMar>
              <w:top w:w="0" w:type="dxa"/>
              <w:left w:w="108" w:type="dxa"/>
              <w:bottom w:w="0" w:type="dxa"/>
              <w:right w:w="108" w:type="dxa"/>
            </w:tcMar>
            <w:vAlign w:val="center"/>
          </w:tcPr>
          <w:p w14:paraId="739F0367" w14:textId="1F9213C3" w:rsidR="00553A05" w:rsidRPr="00506990" w:rsidRDefault="00553A05" w:rsidP="004F5F7E">
            <w:pPr>
              <w:jc w:val="center"/>
              <w:rPr>
                <w:rFonts w:ascii="Times New Roman" w:hAnsi="Times New Roman" w:cs="Times New Roman"/>
                <w:sz w:val="20"/>
                <w:szCs w:val="20"/>
              </w:rPr>
            </w:pPr>
            <w:r>
              <w:rPr>
                <w:rFonts w:ascii="Times New Roman" w:hAnsi="Times New Roman" w:cs="Times New Roman"/>
                <w:sz w:val="20"/>
                <w:szCs w:val="20"/>
              </w:rPr>
              <w:t>Carlos Solano Alarcón</w:t>
            </w:r>
          </w:p>
        </w:tc>
        <w:tc>
          <w:tcPr>
            <w:tcW w:w="1985" w:type="dxa"/>
            <w:tcMar>
              <w:top w:w="0" w:type="dxa"/>
              <w:left w:w="108" w:type="dxa"/>
              <w:bottom w:w="0" w:type="dxa"/>
              <w:right w:w="108" w:type="dxa"/>
            </w:tcMar>
            <w:vAlign w:val="center"/>
          </w:tcPr>
          <w:p w14:paraId="3652710B" w14:textId="77777777" w:rsidR="00553A05" w:rsidRPr="000579E7" w:rsidRDefault="00553A05" w:rsidP="004F5F7E">
            <w:pPr>
              <w:jc w:val="center"/>
              <w:rPr>
                <w:rFonts w:ascii="Times New Roman" w:hAnsi="Times New Roman" w:cs="Times New Roman"/>
                <w:sz w:val="20"/>
                <w:szCs w:val="20"/>
              </w:rPr>
            </w:pPr>
            <w:r>
              <w:rPr>
                <w:rFonts w:ascii="Times New Roman" w:hAnsi="Times New Roman" w:cs="Times New Roman"/>
                <w:sz w:val="20"/>
                <w:szCs w:val="20"/>
              </w:rPr>
              <w:t>Presidente</w:t>
            </w:r>
          </w:p>
        </w:tc>
        <w:tc>
          <w:tcPr>
            <w:tcW w:w="2300" w:type="dxa"/>
          </w:tcPr>
          <w:p w14:paraId="13C778C2" w14:textId="4BDF4CE1" w:rsidR="00553A05" w:rsidRPr="000579E7" w:rsidRDefault="009B4EA5" w:rsidP="004F5F7E">
            <w:pPr>
              <w:jc w:val="center"/>
              <w:rPr>
                <w:rFonts w:ascii="Times New Roman" w:hAnsi="Times New Roman" w:cs="Times New Roman"/>
                <w:sz w:val="20"/>
                <w:szCs w:val="20"/>
              </w:rPr>
            </w:pPr>
            <w:r>
              <w:rPr>
                <w:rFonts w:ascii="Times New Roman" w:hAnsi="Times New Roman" w:cs="Times New Roman"/>
                <w:sz w:val="20"/>
                <w:szCs w:val="20"/>
              </w:rPr>
              <w:t>18</w:t>
            </w:r>
            <w:r w:rsidR="00553A05">
              <w:rPr>
                <w:rFonts w:ascii="Times New Roman" w:hAnsi="Times New Roman" w:cs="Times New Roman"/>
                <w:sz w:val="20"/>
                <w:szCs w:val="20"/>
              </w:rPr>
              <w:t>/04/202</w:t>
            </w:r>
            <w:r>
              <w:rPr>
                <w:rFonts w:ascii="Times New Roman" w:hAnsi="Times New Roman" w:cs="Times New Roman"/>
                <w:sz w:val="20"/>
                <w:szCs w:val="20"/>
              </w:rPr>
              <w:t>3</w:t>
            </w:r>
          </w:p>
        </w:tc>
        <w:tc>
          <w:tcPr>
            <w:tcW w:w="2041" w:type="dxa"/>
            <w:vMerge w:val="restart"/>
            <w:tcMar>
              <w:top w:w="0" w:type="dxa"/>
              <w:left w:w="108" w:type="dxa"/>
              <w:bottom w:w="0" w:type="dxa"/>
              <w:right w:w="108" w:type="dxa"/>
            </w:tcMar>
          </w:tcPr>
          <w:p w14:paraId="66706212" w14:textId="50953525" w:rsidR="00553A05" w:rsidRPr="000579E7" w:rsidRDefault="00553A05" w:rsidP="004F5F7E">
            <w:pPr>
              <w:jc w:val="center"/>
              <w:rPr>
                <w:rFonts w:ascii="Times New Roman" w:hAnsi="Times New Roman" w:cs="Times New Roman"/>
                <w:sz w:val="20"/>
                <w:szCs w:val="20"/>
              </w:rPr>
            </w:pPr>
            <w:r>
              <w:rPr>
                <w:rFonts w:ascii="Times New Roman" w:hAnsi="Times New Roman" w:cs="Times New Roman"/>
                <w:sz w:val="20"/>
                <w:szCs w:val="20"/>
              </w:rPr>
              <w:t>Los mandatos se mantendrán en vigencia hasta la asamblea que trate los Estados Contables al 31/12/202</w:t>
            </w:r>
            <w:r w:rsidR="009B4EA5">
              <w:rPr>
                <w:rFonts w:ascii="Times New Roman" w:hAnsi="Times New Roman" w:cs="Times New Roman"/>
                <w:sz w:val="20"/>
                <w:szCs w:val="20"/>
              </w:rPr>
              <w:t>4</w:t>
            </w:r>
            <w:r>
              <w:rPr>
                <w:rFonts w:ascii="Times New Roman" w:hAnsi="Times New Roman" w:cs="Times New Roman"/>
                <w:sz w:val="20"/>
                <w:szCs w:val="20"/>
              </w:rPr>
              <w:t>.</w:t>
            </w:r>
          </w:p>
        </w:tc>
      </w:tr>
      <w:tr w:rsidR="00C235CA" w:rsidRPr="00506990" w14:paraId="127106FE" w14:textId="77777777" w:rsidTr="00EA5C6B">
        <w:tc>
          <w:tcPr>
            <w:tcW w:w="2050" w:type="dxa"/>
            <w:tcMar>
              <w:top w:w="0" w:type="dxa"/>
              <w:left w:w="108" w:type="dxa"/>
              <w:bottom w:w="0" w:type="dxa"/>
              <w:right w:w="108" w:type="dxa"/>
            </w:tcMar>
            <w:vAlign w:val="center"/>
          </w:tcPr>
          <w:p w14:paraId="47983570" w14:textId="7DDFA2B5" w:rsidR="009B4EA5" w:rsidRPr="00506990" w:rsidRDefault="009B4EA5" w:rsidP="009B4EA5">
            <w:pPr>
              <w:jc w:val="center"/>
              <w:rPr>
                <w:rFonts w:ascii="Times New Roman" w:hAnsi="Times New Roman" w:cs="Times New Roman"/>
                <w:sz w:val="20"/>
                <w:szCs w:val="20"/>
              </w:rPr>
            </w:pPr>
            <w:r>
              <w:rPr>
                <w:rFonts w:ascii="Times New Roman" w:hAnsi="Times New Roman" w:cs="Times New Roman"/>
                <w:sz w:val="20"/>
                <w:szCs w:val="20"/>
              </w:rPr>
              <w:t>Roberto Juan Cravero</w:t>
            </w:r>
          </w:p>
        </w:tc>
        <w:tc>
          <w:tcPr>
            <w:tcW w:w="1985" w:type="dxa"/>
            <w:tcMar>
              <w:top w:w="0" w:type="dxa"/>
              <w:left w:w="108" w:type="dxa"/>
              <w:bottom w:w="0" w:type="dxa"/>
              <w:right w:w="108" w:type="dxa"/>
            </w:tcMar>
            <w:vAlign w:val="center"/>
          </w:tcPr>
          <w:p w14:paraId="3546EC85" w14:textId="0771E296" w:rsidR="009B4EA5" w:rsidRPr="000579E7" w:rsidRDefault="009B4EA5" w:rsidP="009B4EA5">
            <w:pPr>
              <w:jc w:val="center"/>
              <w:rPr>
                <w:rFonts w:ascii="Times New Roman" w:hAnsi="Times New Roman" w:cs="Times New Roman"/>
                <w:sz w:val="20"/>
                <w:szCs w:val="20"/>
              </w:rPr>
            </w:pPr>
            <w:r>
              <w:rPr>
                <w:rFonts w:ascii="Times New Roman" w:hAnsi="Times New Roman" w:cs="Times New Roman"/>
                <w:sz w:val="20"/>
                <w:szCs w:val="20"/>
              </w:rPr>
              <w:t>Director</w:t>
            </w:r>
          </w:p>
        </w:tc>
        <w:tc>
          <w:tcPr>
            <w:tcW w:w="2300" w:type="dxa"/>
          </w:tcPr>
          <w:p w14:paraId="7CEC7FA8" w14:textId="24CF6109" w:rsidR="009B4EA5" w:rsidRPr="000579E7" w:rsidRDefault="009B4EA5" w:rsidP="009B4EA5">
            <w:pPr>
              <w:jc w:val="center"/>
              <w:rPr>
                <w:rFonts w:ascii="Times New Roman" w:hAnsi="Times New Roman" w:cs="Times New Roman"/>
                <w:sz w:val="20"/>
                <w:szCs w:val="20"/>
              </w:rPr>
            </w:pPr>
            <w:r>
              <w:rPr>
                <w:rFonts w:ascii="Times New Roman" w:hAnsi="Times New Roman" w:cs="Times New Roman"/>
                <w:sz w:val="20"/>
                <w:szCs w:val="20"/>
              </w:rPr>
              <w:t>18/04/2023</w:t>
            </w:r>
          </w:p>
        </w:tc>
        <w:tc>
          <w:tcPr>
            <w:tcW w:w="2041" w:type="dxa"/>
            <w:vMerge/>
            <w:tcMar>
              <w:top w:w="0" w:type="dxa"/>
              <w:left w:w="108" w:type="dxa"/>
              <w:bottom w:w="0" w:type="dxa"/>
              <w:right w:w="108" w:type="dxa"/>
            </w:tcMar>
          </w:tcPr>
          <w:p w14:paraId="17EA4BF7" w14:textId="384819A6" w:rsidR="009B4EA5" w:rsidRPr="000579E7" w:rsidRDefault="009B4EA5" w:rsidP="009B4EA5">
            <w:pPr>
              <w:rPr>
                <w:rFonts w:ascii="Times New Roman" w:hAnsi="Times New Roman" w:cs="Times New Roman"/>
                <w:sz w:val="20"/>
                <w:szCs w:val="20"/>
              </w:rPr>
            </w:pPr>
          </w:p>
        </w:tc>
      </w:tr>
      <w:tr w:rsidR="00C235CA" w:rsidRPr="00506990" w14:paraId="0B3F5B1E" w14:textId="77777777" w:rsidTr="00EA5C6B">
        <w:tc>
          <w:tcPr>
            <w:tcW w:w="2050" w:type="dxa"/>
            <w:tcMar>
              <w:top w:w="0" w:type="dxa"/>
              <w:left w:w="108" w:type="dxa"/>
              <w:bottom w:w="0" w:type="dxa"/>
              <w:right w:w="108" w:type="dxa"/>
            </w:tcMar>
            <w:vAlign w:val="center"/>
          </w:tcPr>
          <w:p w14:paraId="152603F6" w14:textId="2190A5D8" w:rsidR="009B4EA5" w:rsidRPr="00506990" w:rsidRDefault="009B4EA5" w:rsidP="009B4EA5">
            <w:pPr>
              <w:jc w:val="center"/>
              <w:rPr>
                <w:rFonts w:ascii="Times New Roman" w:hAnsi="Times New Roman" w:cs="Times New Roman"/>
                <w:sz w:val="20"/>
                <w:szCs w:val="20"/>
              </w:rPr>
            </w:pPr>
            <w:r>
              <w:rPr>
                <w:rFonts w:ascii="Times New Roman" w:hAnsi="Times New Roman" w:cs="Times New Roman"/>
                <w:sz w:val="20"/>
                <w:szCs w:val="20"/>
              </w:rPr>
              <w:t>Martín Roberto Schnidrig</w:t>
            </w:r>
          </w:p>
        </w:tc>
        <w:tc>
          <w:tcPr>
            <w:tcW w:w="1985" w:type="dxa"/>
            <w:tcMar>
              <w:top w:w="0" w:type="dxa"/>
              <w:left w:w="108" w:type="dxa"/>
              <w:bottom w:w="0" w:type="dxa"/>
              <w:right w:w="108" w:type="dxa"/>
            </w:tcMar>
          </w:tcPr>
          <w:p w14:paraId="6E72A4FE" w14:textId="4537044B" w:rsidR="009B4EA5" w:rsidRPr="004F5F7E" w:rsidRDefault="009B4EA5" w:rsidP="009B4EA5">
            <w:pPr>
              <w:jc w:val="center"/>
            </w:pPr>
            <w:r w:rsidRPr="0059028B">
              <w:rPr>
                <w:rFonts w:ascii="Times New Roman" w:hAnsi="Times New Roman" w:cs="Times New Roman"/>
                <w:sz w:val="20"/>
                <w:szCs w:val="20"/>
              </w:rPr>
              <w:t>Director</w:t>
            </w:r>
          </w:p>
        </w:tc>
        <w:tc>
          <w:tcPr>
            <w:tcW w:w="2300" w:type="dxa"/>
          </w:tcPr>
          <w:p w14:paraId="3F30A00E" w14:textId="696A08CB" w:rsidR="009B4EA5" w:rsidRPr="000579E7" w:rsidRDefault="009B4EA5" w:rsidP="009B4EA5">
            <w:pPr>
              <w:jc w:val="center"/>
              <w:rPr>
                <w:rFonts w:ascii="Times New Roman" w:hAnsi="Times New Roman" w:cs="Times New Roman"/>
                <w:sz w:val="20"/>
                <w:szCs w:val="20"/>
              </w:rPr>
            </w:pPr>
            <w:r>
              <w:rPr>
                <w:rFonts w:ascii="Times New Roman" w:hAnsi="Times New Roman" w:cs="Times New Roman"/>
                <w:sz w:val="20"/>
                <w:szCs w:val="20"/>
              </w:rPr>
              <w:t>18/04/2023</w:t>
            </w:r>
          </w:p>
        </w:tc>
        <w:tc>
          <w:tcPr>
            <w:tcW w:w="2041" w:type="dxa"/>
            <w:vMerge/>
            <w:tcMar>
              <w:top w:w="0" w:type="dxa"/>
              <w:left w:w="108" w:type="dxa"/>
              <w:bottom w:w="0" w:type="dxa"/>
              <w:right w:w="108" w:type="dxa"/>
            </w:tcMar>
          </w:tcPr>
          <w:p w14:paraId="4779159F" w14:textId="78B3F8E9" w:rsidR="009B4EA5" w:rsidRPr="000579E7" w:rsidRDefault="009B4EA5" w:rsidP="009B4EA5">
            <w:pPr>
              <w:rPr>
                <w:rFonts w:ascii="Times New Roman" w:hAnsi="Times New Roman" w:cs="Times New Roman"/>
                <w:sz w:val="20"/>
                <w:szCs w:val="20"/>
              </w:rPr>
            </w:pPr>
          </w:p>
        </w:tc>
      </w:tr>
      <w:tr w:rsidR="00C235CA" w:rsidRPr="00506990" w14:paraId="061556D3" w14:textId="77777777" w:rsidTr="00EA5C6B">
        <w:tc>
          <w:tcPr>
            <w:tcW w:w="2050" w:type="dxa"/>
            <w:tcMar>
              <w:top w:w="0" w:type="dxa"/>
              <w:left w:w="108" w:type="dxa"/>
              <w:bottom w:w="0" w:type="dxa"/>
              <w:right w:w="108" w:type="dxa"/>
            </w:tcMar>
            <w:vAlign w:val="center"/>
          </w:tcPr>
          <w:p w14:paraId="18974606" w14:textId="77777777" w:rsidR="009B4EA5" w:rsidRPr="00506990" w:rsidRDefault="009B4EA5" w:rsidP="009B4EA5">
            <w:pPr>
              <w:jc w:val="center"/>
              <w:rPr>
                <w:rFonts w:ascii="Times New Roman" w:hAnsi="Times New Roman" w:cs="Times New Roman"/>
                <w:sz w:val="20"/>
                <w:szCs w:val="20"/>
              </w:rPr>
            </w:pPr>
            <w:r>
              <w:rPr>
                <w:rFonts w:ascii="Times New Roman" w:hAnsi="Times New Roman" w:cs="Times New Roman"/>
                <w:sz w:val="20"/>
                <w:szCs w:val="20"/>
              </w:rPr>
              <w:t>Mónica Rodriguez</w:t>
            </w:r>
          </w:p>
        </w:tc>
        <w:tc>
          <w:tcPr>
            <w:tcW w:w="1985" w:type="dxa"/>
            <w:tcMar>
              <w:top w:w="0" w:type="dxa"/>
              <w:left w:w="108" w:type="dxa"/>
              <w:bottom w:w="0" w:type="dxa"/>
              <w:right w:w="108" w:type="dxa"/>
            </w:tcMar>
          </w:tcPr>
          <w:p w14:paraId="7E660986" w14:textId="77777777" w:rsidR="009B4EA5" w:rsidRDefault="009B4EA5" w:rsidP="009B4EA5">
            <w:pPr>
              <w:jc w:val="center"/>
            </w:pPr>
            <w:r w:rsidRPr="0059028B">
              <w:rPr>
                <w:rFonts w:ascii="Times New Roman" w:hAnsi="Times New Roman" w:cs="Times New Roman"/>
                <w:sz w:val="20"/>
                <w:szCs w:val="20"/>
              </w:rPr>
              <w:t>Director</w:t>
            </w:r>
          </w:p>
        </w:tc>
        <w:tc>
          <w:tcPr>
            <w:tcW w:w="2300" w:type="dxa"/>
          </w:tcPr>
          <w:p w14:paraId="2B886679" w14:textId="6C808B4C" w:rsidR="009B4EA5" w:rsidRDefault="009B4EA5" w:rsidP="009B4EA5">
            <w:pPr>
              <w:jc w:val="center"/>
              <w:rPr>
                <w:rFonts w:ascii="Times New Roman" w:hAnsi="Times New Roman" w:cs="Times New Roman"/>
                <w:sz w:val="20"/>
                <w:szCs w:val="20"/>
              </w:rPr>
            </w:pPr>
            <w:r>
              <w:rPr>
                <w:rFonts w:ascii="Times New Roman" w:hAnsi="Times New Roman" w:cs="Times New Roman"/>
                <w:sz w:val="20"/>
                <w:szCs w:val="20"/>
              </w:rPr>
              <w:t>18/04/2023</w:t>
            </w:r>
          </w:p>
        </w:tc>
        <w:tc>
          <w:tcPr>
            <w:tcW w:w="2041" w:type="dxa"/>
            <w:vMerge/>
            <w:tcMar>
              <w:top w:w="0" w:type="dxa"/>
              <w:left w:w="108" w:type="dxa"/>
              <w:bottom w:w="0" w:type="dxa"/>
              <w:right w:w="108" w:type="dxa"/>
            </w:tcMar>
          </w:tcPr>
          <w:p w14:paraId="2ACFEF20" w14:textId="77777777" w:rsidR="009B4EA5" w:rsidRPr="000579E7" w:rsidRDefault="009B4EA5" w:rsidP="009B4EA5">
            <w:pPr>
              <w:rPr>
                <w:rFonts w:ascii="Times New Roman" w:hAnsi="Times New Roman" w:cs="Times New Roman"/>
                <w:sz w:val="20"/>
                <w:szCs w:val="20"/>
              </w:rPr>
            </w:pPr>
          </w:p>
        </w:tc>
      </w:tr>
    </w:tbl>
    <w:p w14:paraId="7BB098F7" w14:textId="77777777" w:rsidR="00553A05" w:rsidRPr="00506990" w:rsidRDefault="00553A05" w:rsidP="00553A05">
      <w:pPr>
        <w:rPr>
          <w:rFonts w:ascii="Times New Roman" w:hAnsi="Times New Roman" w:cs="Times New Roman"/>
          <w:color w:val="0D0D0D" w:themeColor="text1" w:themeTint="F2"/>
          <w:sz w:val="22"/>
          <w:szCs w:val="22"/>
        </w:rPr>
      </w:pPr>
    </w:p>
    <w:p w14:paraId="40E94466" w14:textId="77777777" w:rsidR="00553A05" w:rsidRPr="00506990" w:rsidRDefault="00553A05" w:rsidP="00553A05">
      <w:pPr>
        <w:rPr>
          <w:rFonts w:ascii="Times New Roman" w:hAnsi="Times New Roman" w:cs="Times New Roman"/>
          <w:color w:val="0D0D0D" w:themeColor="text1" w:themeTint="F2"/>
          <w:sz w:val="22"/>
          <w:szCs w:val="22"/>
        </w:rPr>
      </w:pPr>
    </w:p>
    <w:p w14:paraId="4FF1E2E2" w14:textId="77777777" w:rsidR="00553A05" w:rsidRPr="00506990" w:rsidRDefault="00553A05" w:rsidP="00553A05">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fiscalización:</w:t>
      </w:r>
    </w:p>
    <w:p w14:paraId="0D99CC2D" w14:textId="77777777" w:rsidR="00553A05" w:rsidRPr="00506990" w:rsidRDefault="00553A05" w:rsidP="00553A05">
      <w:pPr>
        <w:rPr>
          <w:rFonts w:ascii="Times New Roman" w:hAnsi="Times New Roman" w:cs="Times New Roman"/>
          <w:color w:val="0D0D0D" w:themeColor="text1" w:themeTint="F2"/>
          <w:sz w:val="22"/>
          <w:szCs w:val="22"/>
        </w:rPr>
      </w:pPr>
    </w:p>
    <w:p w14:paraId="603A862E" w14:textId="780BA5B7" w:rsidR="00553A05" w:rsidRPr="00506990" w:rsidRDefault="00553A05" w:rsidP="00553A05">
      <w:pPr>
        <w:rPr>
          <w:rFonts w:ascii="Times New Roman" w:hAnsi="Times New Roman" w:cs="Times New Roman"/>
          <w:color w:val="0D0D0D" w:themeColor="text1" w:themeTint="F2"/>
          <w:sz w:val="22"/>
          <w:szCs w:val="22"/>
        </w:rPr>
      </w:pPr>
      <w:r w:rsidRPr="00A416D3">
        <w:rPr>
          <w:rFonts w:ascii="Times New Roman" w:hAnsi="Times New Roman" w:cs="Times New Roman"/>
          <w:color w:val="0D0D0D" w:themeColor="text1" w:themeTint="F2"/>
          <w:sz w:val="22"/>
          <w:szCs w:val="22"/>
        </w:rPr>
        <w:t xml:space="preserve">AZ Administración de Archivos </w:t>
      </w:r>
      <w:r w:rsidRPr="00506990">
        <w:rPr>
          <w:rFonts w:ascii="Times New Roman" w:hAnsi="Times New Roman" w:cs="Times New Roman"/>
          <w:color w:val="0D0D0D" w:themeColor="text1" w:themeTint="F2"/>
          <w:sz w:val="22"/>
          <w:szCs w:val="22"/>
        </w:rPr>
        <w:t>S.A. prescinde de Sindicatura conforme lo dispuesto por el art. 284 de la Ley General de Sociedades.</w:t>
      </w:r>
      <w:r>
        <w:rPr>
          <w:rFonts w:ascii="Times New Roman" w:hAnsi="Times New Roman" w:cs="Times New Roman"/>
          <w:color w:val="0D0D0D" w:themeColor="text1" w:themeTint="F2"/>
          <w:sz w:val="22"/>
          <w:szCs w:val="22"/>
        </w:rPr>
        <w:t xml:space="preserve"> </w:t>
      </w:r>
    </w:p>
    <w:p w14:paraId="403A7684" w14:textId="77777777" w:rsidR="00553A05" w:rsidRPr="004F5F7E" w:rsidRDefault="00553A05" w:rsidP="00553A05">
      <w:pPr>
        <w:rPr>
          <w:rFonts w:ascii="Times New Roman" w:hAnsi="Times New Roman"/>
          <w:color w:val="0D0D0D" w:themeColor="text1" w:themeTint="F2"/>
          <w:sz w:val="22"/>
          <w:highlight w:val="yellow"/>
        </w:rPr>
      </w:pPr>
    </w:p>
    <w:p w14:paraId="1DE17DB2" w14:textId="77777777" w:rsidR="00553A05" w:rsidRDefault="00553A05" w:rsidP="00553A05">
      <w:pPr>
        <w:rPr>
          <w:rFonts w:ascii="Times New Roman" w:hAnsi="Times New Roman" w:cs="Times New Roman"/>
          <w:color w:val="0D0D0D" w:themeColor="text1" w:themeTint="F2"/>
          <w:sz w:val="22"/>
          <w:szCs w:val="22"/>
          <w:highlight w:val="yellow"/>
        </w:rPr>
      </w:pPr>
    </w:p>
    <w:p w14:paraId="6E9FE409" w14:textId="77777777" w:rsidR="00553A05" w:rsidRDefault="00553A05" w:rsidP="00553A05">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AZ </w:t>
      </w:r>
      <w:r w:rsidRPr="00A416D3">
        <w:rPr>
          <w:rFonts w:ascii="Times New Roman" w:hAnsi="Times New Roman" w:cs="Times New Roman"/>
          <w:color w:val="0D0D0D" w:themeColor="text1" w:themeTint="F2"/>
          <w:sz w:val="22"/>
          <w:szCs w:val="22"/>
        </w:rPr>
        <w:t xml:space="preserve">Administración de Archivos </w:t>
      </w:r>
      <w:r w:rsidRPr="00506990">
        <w:rPr>
          <w:rFonts w:ascii="Times New Roman" w:hAnsi="Times New Roman" w:cs="Times New Roman"/>
          <w:color w:val="0D0D0D" w:themeColor="text1" w:themeTint="F2"/>
          <w:sz w:val="22"/>
          <w:szCs w:val="22"/>
        </w:rPr>
        <w:t>S.A.</w:t>
      </w:r>
      <w:r>
        <w:rPr>
          <w:rFonts w:ascii="Times New Roman" w:hAnsi="Times New Roman" w:cs="Times New Roman"/>
          <w:color w:val="0D0D0D" w:themeColor="text1" w:themeTint="F2"/>
          <w:sz w:val="22"/>
          <w:szCs w:val="22"/>
        </w:rPr>
        <w:t xml:space="preserve"> es una empresa cordobesa que inició su trayectoria en 1999 prestando los servicios de administración y guarda de archivos y copiado directo a libros contables.</w:t>
      </w:r>
    </w:p>
    <w:p w14:paraId="06FC2D53" w14:textId="77777777" w:rsidR="00553A05" w:rsidRDefault="00553A05" w:rsidP="00553A05">
      <w:pPr>
        <w:rPr>
          <w:rFonts w:ascii="Times New Roman" w:hAnsi="Times New Roman" w:cs="Times New Roman"/>
          <w:color w:val="0D0D0D" w:themeColor="text1" w:themeTint="F2"/>
          <w:sz w:val="22"/>
          <w:szCs w:val="22"/>
        </w:rPr>
      </w:pPr>
    </w:p>
    <w:p w14:paraId="13638CF7" w14:textId="77777777" w:rsidR="00553A05" w:rsidRDefault="00553A05" w:rsidP="00553A05">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Con el foco siempre en la búsqueda de soluciones para sus clientes, fue incorporando nuevas prestaciones y expandiendo su alcance, contando actualmente con seis sucursales y más de veinte años de experiencia en el mercado. </w:t>
      </w:r>
    </w:p>
    <w:p w14:paraId="6D23A1F7" w14:textId="77777777" w:rsidR="00553A05" w:rsidRDefault="00553A05" w:rsidP="00553A05">
      <w:pPr>
        <w:rPr>
          <w:rFonts w:ascii="Times New Roman" w:hAnsi="Times New Roman" w:cs="Times New Roman"/>
          <w:color w:val="0D0D0D" w:themeColor="text1" w:themeTint="F2"/>
          <w:sz w:val="22"/>
          <w:szCs w:val="22"/>
        </w:rPr>
      </w:pPr>
    </w:p>
    <w:p w14:paraId="0B097074" w14:textId="77777777" w:rsidR="00553A05" w:rsidRDefault="00553A05" w:rsidP="00553A05">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En pos de garantizar la calidad de los servicios, en el 2017 AZ certificó normas ISO 9001:2015 para el servicio de administración y guarda de archivos. Actualmente se encuentra en proceso de certificar normas ISO 27001. </w:t>
      </w:r>
    </w:p>
    <w:p w14:paraId="042BBF07" w14:textId="77777777" w:rsidR="00553A05" w:rsidRDefault="00553A05" w:rsidP="00553A05">
      <w:pPr>
        <w:rPr>
          <w:rFonts w:ascii="Times New Roman" w:hAnsi="Times New Roman" w:cs="Times New Roman"/>
          <w:color w:val="0D0D0D" w:themeColor="text1" w:themeTint="F2"/>
          <w:sz w:val="22"/>
          <w:szCs w:val="22"/>
        </w:rPr>
      </w:pPr>
    </w:p>
    <w:p w14:paraId="1D4C1B74" w14:textId="77777777" w:rsidR="00553A05" w:rsidRPr="00506990" w:rsidRDefault="00553A05" w:rsidP="00553A0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Entre los servicios ofrecidos por la compañía se encuentran los siguientes:</w:t>
      </w:r>
    </w:p>
    <w:p w14:paraId="0BC5F58E" w14:textId="43F1065D" w:rsidR="00553A05" w:rsidRPr="00AF1709" w:rsidRDefault="00553A05" w:rsidP="004F5F7E">
      <w:pPr>
        <w:pStyle w:val="Prrafodelista"/>
        <w:numPr>
          <w:ilvl w:val="0"/>
          <w:numId w:val="53"/>
        </w:numPr>
        <w:jc w:val="both"/>
        <w:rPr>
          <w:color w:val="0D0D0D" w:themeColor="text1" w:themeTint="F2"/>
          <w:sz w:val="22"/>
        </w:rPr>
      </w:pPr>
      <w:r w:rsidRPr="00AF1709">
        <w:rPr>
          <w:color w:val="0D0D0D" w:themeColor="text1" w:themeTint="F2"/>
          <w:sz w:val="22"/>
        </w:rPr>
        <w:t xml:space="preserve">Administración y </w:t>
      </w:r>
      <w:r>
        <w:rPr>
          <w:color w:val="0D0D0D" w:themeColor="text1" w:themeTint="F2"/>
          <w:sz w:val="22"/>
          <w:szCs w:val="22"/>
        </w:rPr>
        <w:t>Guarda integral</w:t>
      </w:r>
      <w:r w:rsidRPr="00AF1709">
        <w:rPr>
          <w:color w:val="0D0D0D" w:themeColor="text1" w:themeTint="F2"/>
          <w:sz w:val="22"/>
        </w:rPr>
        <w:t xml:space="preserve"> de </w:t>
      </w:r>
      <w:r>
        <w:rPr>
          <w:color w:val="0D0D0D" w:themeColor="text1" w:themeTint="F2"/>
          <w:sz w:val="22"/>
          <w:szCs w:val="22"/>
        </w:rPr>
        <w:t>Archivos.</w:t>
      </w:r>
    </w:p>
    <w:p w14:paraId="4469F5D8" w14:textId="32E2B578" w:rsidR="00553A05" w:rsidRDefault="00553A05" w:rsidP="00553A05">
      <w:pPr>
        <w:pStyle w:val="Prrafodelista"/>
        <w:numPr>
          <w:ilvl w:val="0"/>
          <w:numId w:val="53"/>
        </w:numPr>
        <w:jc w:val="both"/>
        <w:rPr>
          <w:color w:val="0D0D0D" w:themeColor="text1" w:themeTint="F2"/>
          <w:sz w:val="22"/>
          <w:szCs w:val="22"/>
        </w:rPr>
      </w:pPr>
      <w:r>
        <w:rPr>
          <w:color w:val="0D0D0D" w:themeColor="text1" w:themeTint="F2"/>
          <w:sz w:val="22"/>
          <w:szCs w:val="22"/>
        </w:rPr>
        <w:t>Gestión Electrónica</w:t>
      </w:r>
      <w:r w:rsidRPr="00AF1709">
        <w:rPr>
          <w:color w:val="0D0D0D" w:themeColor="text1" w:themeTint="F2"/>
          <w:sz w:val="22"/>
        </w:rPr>
        <w:t xml:space="preserve"> de </w:t>
      </w:r>
      <w:r>
        <w:rPr>
          <w:color w:val="0D0D0D" w:themeColor="text1" w:themeTint="F2"/>
          <w:sz w:val="22"/>
          <w:szCs w:val="22"/>
        </w:rPr>
        <w:t xml:space="preserve">Documentos. </w:t>
      </w:r>
    </w:p>
    <w:p w14:paraId="30092E38" w14:textId="3E5886D9" w:rsidR="00553A05" w:rsidRPr="00AF1709" w:rsidRDefault="00553A05" w:rsidP="004F5F7E">
      <w:pPr>
        <w:pStyle w:val="Prrafodelista"/>
        <w:numPr>
          <w:ilvl w:val="0"/>
          <w:numId w:val="53"/>
        </w:numPr>
        <w:jc w:val="both"/>
        <w:rPr>
          <w:color w:val="0D0D0D" w:themeColor="text1" w:themeTint="F2"/>
          <w:sz w:val="22"/>
        </w:rPr>
      </w:pPr>
      <w:r>
        <w:rPr>
          <w:color w:val="0D0D0D" w:themeColor="text1" w:themeTint="F2"/>
          <w:sz w:val="22"/>
          <w:szCs w:val="22"/>
        </w:rPr>
        <w:t>Administración y Guarda</w:t>
      </w:r>
      <w:r w:rsidRPr="00AF1709">
        <w:rPr>
          <w:color w:val="0D0D0D" w:themeColor="text1" w:themeTint="F2"/>
          <w:sz w:val="22"/>
        </w:rPr>
        <w:t xml:space="preserve"> de </w:t>
      </w:r>
      <w:r>
        <w:rPr>
          <w:color w:val="0D0D0D" w:themeColor="text1" w:themeTint="F2"/>
          <w:sz w:val="22"/>
          <w:szCs w:val="22"/>
        </w:rPr>
        <w:t xml:space="preserve">Bienes e Insumos. </w:t>
      </w:r>
    </w:p>
    <w:p w14:paraId="6B3EF082" w14:textId="4E7CA2B1" w:rsidR="00553A05" w:rsidRDefault="00553A05" w:rsidP="004F5F7E">
      <w:pPr>
        <w:pStyle w:val="Prrafodelista"/>
        <w:numPr>
          <w:ilvl w:val="0"/>
          <w:numId w:val="53"/>
        </w:numPr>
        <w:jc w:val="both"/>
        <w:rPr>
          <w:color w:val="0D0D0D" w:themeColor="text1" w:themeTint="F2"/>
          <w:sz w:val="22"/>
        </w:rPr>
      </w:pPr>
      <w:r>
        <w:rPr>
          <w:color w:val="0D0D0D" w:themeColor="text1" w:themeTint="F2"/>
          <w:sz w:val="22"/>
          <w:szCs w:val="22"/>
        </w:rPr>
        <w:t>Control e Inventario</w:t>
      </w:r>
      <w:r w:rsidRPr="004F5F7E">
        <w:rPr>
          <w:rFonts w:ascii="Arial" w:hAnsi="Arial"/>
          <w:color w:val="0D0D0D" w:themeColor="text1" w:themeTint="F2"/>
          <w:sz w:val="22"/>
        </w:rPr>
        <w:t xml:space="preserve"> de </w:t>
      </w:r>
      <w:r>
        <w:rPr>
          <w:color w:val="0D0D0D" w:themeColor="text1" w:themeTint="F2"/>
          <w:sz w:val="22"/>
          <w:szCs w:val="22"/>
        </w:rPr>
        <w:t>Activos Fijos</w:t>
      </w:r>
      <w:r w:rsidRPr="00AF1709">
        <w:rPr>
          <w:color w:val="0D0D0D" w:themeColor="text1" w:themeTint="F2"/>
          <w:sz w:val="22"/>
        </w:rPr>
        <w:t xml:space="preserve">. </w:t>
      </w:r>
    </w:p>
    <w:p w14:paraId="7921BD6A" w14:textId="77777777" w:rsidR="00BC36C5" w:rsidRDefault="00BC36C5" w:rsidP="00374541">
      <w:pPr>
        <w:rPr>
          <w:color w:val="0D0D0D" w:themeColor="text1" w:themeTint="F2"/>
          <w:sz w:val="22"/>
        </w:rPr>
      </w:pPr>
    </w:p>
    <w:p w14:paraId="5A44782D" w14:textId="77777777" w:rsidR="000D2637" w:rsidRPr="00506990" w:rsidRDefault="00F74B80" w:rsidP="00B228F5">
      <w:pPr>
        <w:pStyle w:val="Ttulo1"/>
        <w:jc w:val="center"/>
        <w:rPr>
          <w:rFonts w:ascii="Times New Roman" w:hAnsi="Times New Roman"/>
          <w:sz w:val="22"/>
          <w:szCs w:val="22"/>
        </w:rPr>
      </w:pPr>
      <w:bookmarkStart w:id="83" w:name="_Toc521424873"/>
      <w:bookmarkStart w:id="84" w:name="_Toc2040908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83"/>
      <w:bookmarkEnd w:id="84"/>
    </w:p>
    <w:p w14:paraId="0FC33AAE" w14:textId="77777777" w:rsidR="004A22EF" w:rsidRPr="00506990" w:rsidRDefault="004A22EF" w:rsidP="00B228F5">
      <w:pPr>
        <w:pStyle w:val="Ttulo1"/>
        <w:jc w:val="center"/>
        <w:rPr>
          <w:rFonts w:ascii="Times New Roman" w:hAnsi="Times New Roman"/>
          <w:noProof/>
          <w:sz w:val="22"/>
          <w:szCs w:val="22"/>
        </w:rPr>
      </w:pPr>
    </w:p>
    <w:p w14:paraId="275C8687" w14:textId="77777777" w:rsidR="00564A16" w:rsidRPr="00C00C15" w:rsidRDefault="00564A16" w:rsidP="00564A16">
      <w:pPr>
        <w:tabs>
          <w:tab w:val="left" w:pos="3709"/>
        </w:tabs>
        <w:rPr>
          <w:rFonts w:ascii="Times New Roman" w:hAnsi="Times New Roman" w:cs="Times New Roman"/>
          <w:color w:val="0D0D0D"/>
          <w:sz w:val="22"/>
          <w:lang w:val="es-ES"/>
        </w:rPr>
      </w:pPr>
      <w:r w:rsidRPr="00C00C15">
        <w:rPr>
          <w:rFonts w:ascii="Times New Roman" w:hAnsi="Times New Roman" w:cs="Times New Roman"/>
          <w:color w:val="0D0D0D"/>
          <w:sz w:val="22"/>
          <w:lang w:val="es-ES"/>
        </w:rPr>
        <w:t>Daniel H. Zubillaga, en carácter de Agente de Control y Revisión titular, Contador Público (UBA), C.P.C.E.C.A.B.A. T° 127 F° 154, Fecha de inscripción 19/01/1983 – C.P.C.E. Prov. Santa Fe M.N. 10727, Fecha de inscripción 05/07/1993, CUIL 23-13404269-9.</w:t>
      </w:r>
    </w:p>
    <w:p w14:paraId="23A1A3A4" w14:textId="77777777" w:rsidR="00564A16" w:rsidRPr="00C00C15" w:rsidRDefault="00564A16" w:rsidP="00564A16">
      <w:pPr>
        <w:tabs>
          <w:tab w:val="left" w:pos="3709"/>
        </w:tabs>
        <w:rPr>
          <w:rFonts w:ascii="Times New Roman" w:hAnsi="Times New Roman" w:cs="Times New Roman"/>
          <w:bCs/>
          <w:color w:val="0D0D0D"/>
          <w:sz w:val="22"/>
        </w:rPr>
      </w:pPr>
    </w:p>
    <w:p w14:paraId="0B0F7FB5" w14:textId="4476A59F" w:rsidR="00564A16" w:rsidRPr="00C00C15" w:rsidRDefault="00564A16" w:rsidP="00564A16">
      <w:pPr>
        <w:tabs>
          <w:tab w:val="left" w:pos="3709"/>
        </w:tabs>
        <w:rPr>
          <w:rFonts w:ascii="Times New Roman" w:hAnsi="Times New Roman" w:cs="Times New Roman"/>
          <w:bCs/>
          <w:color w:val="0D0D0D"/>
          <w:sz w:val="22"/>
        </w:rPr>
      </w:pPr>
      <w:r w:rsidRPr="00C00C15">
        <w:rPr>
          <w:rFonts w:ascii="Times New Roman" w:hAnsi="Times New Roman" w:cs="Times New Roman"/>
          <w:color w:val="0D0D0D"/>
          <w:sz w:val="22"/>
        </w:rPr>
        <w:t xml:space="preserve">En caso de ausencia y/o vacancia por cualquier motivo firmará supletoriamente e indistintamente </w:t>
      </w:r>
      <w:r w:rsidRPr="00C00C15">
        <w:rPr>
          <w:rFonts w:ascii="Times New Roman" w:hAnsi="Times New Roman" w:cs="Times New Roman"/>
          <w:bCs/>
          <w:color w:val="0D0D0D"/>
          <w:sz w:val="22"/>
        </w:rPr>
        <w:t xml:space="preserve">Víctor Lamberti, Contador Público (UBA), C.P.C.E.C.A.B.A. T° 176 F° 188, Fecha de inscripción: 21/12/1988 </w:t>
      </w:r>
      <w:r w:rsidRPr="00C00C15">
        <w:rPr>
          <w:rFonts w:ascii="Times New Roman" w:hAnsi="Times New Roman" w:cs="Times New Roman"/>
          <w:color w:val="0D0D0D"/>
          <w:sz w:val="22"/>
          <w:lang w:val="es-ES"/>
        </w:rPr>
        <w:t>–</w:t>
      </w:r>
      <w:r w:rsidRPr="00C00C15">
        <w:rPr>
          <w:rFonts w:ascii="Times New Roman" w:hAnsi="Times New Roman" w:cs="Times New Roman"/>
          <w:bCs/>
          <w:color w:val="0D0D0D"/>
          <w:sz w:val="22"/>
        </w:rPr>
        <w:t xml:space="preserve"> </w:t>
      </w:r>
      <w:r w:rsidRPr="00C00C15">
        <w:rPr>
          <w:rFonts w:ascii="Times New Roman" w:hAnsi="Times New Roman" w:cs="Times New Roman"/>
          <w:color w:val="0D0D0D"/>
          <w:sz w:val="22"/>
          <w:lang w:val="es-ES"/>
        </w:rPr>
        <w:t>C.P.C.E. Prov. Santa Fe M.N. 18859, Fecha de inscripción 24/02/2014</w:t>
      </w:r>
      <w:r w:rsidRPr="00C00C15">
        <w:rPr>
          <w:rFonts w:ascii="Times New Roman" w:hAnsi="Times New Roman" w:cs="Times New Roman"/>
          <w:bCs/>
          <w:color w:val="0D0D0D"/>
          <w:sz w:val="22"/>
        </w:rPr>
        <w:t>, CUIL 20-14563149-2</w:t>
      </w:r>
      <w:r w:rsidR="005034D2">
        <w:rPr>
          <w:rFonts w:ascii="Times New Roman" w:hAnsi="Times New Roman" w:cs="Times New Roman"/>
          <w:bCs/>
          <w:color w:val="0D0D0D"/>
          <w:sz w:val="22"/>
        </w:rPr>
        <w:t xml:space="preserve">, o Guillermo A. Barbero, </w:t>
      </w:r>
      <w:r w:rsidR="005034D2" w:rsidRPr="00C00C15">
        <w:rPr>
          <w:rFonts w:ascii="Times New Roman" w:hAnsi="Times New Roman" w:cs="Times New Roman"/>
          <w:bCs/>
          <w:color w:val="0D0D0D"/>
          <w:sz w:val="22"/>
        </w:rPr>
        <w:t xml:space="preserve">Contador Público (UBA), C.P.C.E.C.A.B.A. </w:t>
      </w:r>
      <w:r w:rsidR="005034D2" w:rsidRPr="00D758B1">
        <w:rPr>
          <w:rFonts w:ascii="Times New Roman" w:hAnsi="Times New Roman" w:cs="Times New Roman"/>
          <w:bCs/>
          <w:color w:val="0D0D0D"/>
          <w:sz w:val="22"/>
        </w:rPr>
        <w:t>T° 139 F° 145, Fecha de inscripción: 11/09/1984</w:t>
      </w:r>
      <w:r w:rsidR="005034D2" w:rsidRPr="00C00C15">
        <w:rPr>
          <w:rFonts w:ascii="Times New Roman" w:hAnsi="Times New Roman" w:cs="Times New Roman"/>
          <w:bCs/>
          <w:color w:val="0D0D0D"/>
          <w:sz w:val="22"/>
        </w:rPr>
        <w:t xml:space="preserve"> </w:t>
      </w:r>
      <w:r w:rsidR="005034D2" w:rsidRPr="00C00C15">
        <w:rPr>
          <w:rFonts w:ascii="Times New Roman" w:hAnsi="Times New Roman" w:cs="Times New Roman"/>
          <w:color w:val="0D0D0D"/>
          <w:sz w:val="22"/>
          <w:lang w:val="es-ES"/>
        </w:rPr>
        <w:t>–</w:t>
      </w:r>
      <w:r w:rsidR="005034D2" w:rsidRPr="00C00C15">
        <w:rPr>
          <w:rFonts w:ascii="Times New Roman" w:hAnsi="Times New Roman" w:cs="Times New Roman"/>
          <w:bCs/>
          <w:color w:val="0D0D0D"/>
          <w:sz w:val="22"/>
        </w:rPr>
        <w:t xml:space="preserve"> </w:t>
      </w:r>
      <w:r w:rsidR="005034D2" w:rsidRPr="00C00C15">
        <w:rPr>
          <w:rFonts w:ascii="Times New Roman" w:hAnsi="Times New Roman" w:cs="Times New Roman"/>
          <w:color w:val="0D0D0D"/>
          <w:sz w:val="22"/>
          <w:lang w:val="es-ES"/>
        </w:rPr>
        <w:t xml:space="preserve">C.P.C.E. Prov. Santa Fe M.N. </w:t>
      </w:r>
      <w:r w:rsidR="005034D2" w:rsidRPr="00D758B1">
        <w:rPr>
          <w:rFonts w:ascii="Times New Roman" w:hAnsi="Times New Roman" w:cs="Times New Roman"/>
          <w:color w:val="0D0D0D"/>
          <w:sz w:val="22"/>
          <w:lang w:val="es-ES"/>
        </w:rPr>
        <w:t>22108</w:t>
      </w:r>
      <w:r w:rsidR="005034D2">
        <w:rPr>
          <w:rFonts w:ascii="Times New Roman" w:hAnsi="Times New Roman" w:cs="Times New Roman"/>
          <w:color w:val="0D0D0D"/>
          <w:sz w:val="22"/>
          <w:lang w:val="es-ES"/>
        </w:rPr>
        <w:t xml:space="preserve">, Fecha de inscripción: </w:t>
      </w:r>
      <w:r w:rsidR="005034D2" w:rsidRPr="00D758B1">
        <w:rPr>
          <w:rFonts w:ascii="Times New Roman" w:hAnsi="Times New Roman" w:cs="Times New Roman"/>
          <w:color w:val="0D0D0D"/>
          <w:sz w:val="22"/>
          <w:lang w:val="es-ES"/>
        </w:rPr>
        <w:t>27/03/2023</w:t>
      </w:r>
      <w:r w:rsidR="005034D2" w:rsidRPr="00C00C15">
        <w:rPr>
          <w:rFonts w:ascii="Times New Roman" w:hAnsi="Times New Roman" w:cs="Times New Roman"/>
          <w:bCs/>
          <w:color w:val="0D0D0D"/>
          <w:sz w:val="22"/>
        </w:rPr>
        <w:t xml:space="preserve">, CUIL </w:t>
      </w:r>
      <w:r w:rsidR="005034D2">
        <w:rPr>
          <w:rFonts w:ascii="Times New Roman" w:hAnsi="Times New Roman" w:cs="Times New Roman"/>
          <w:bCs/>
          <w:color w:val="0D0D0D"/>
          <w:sz w:val="22"/>
        </w:rPr>
        <w:t>20-13071381-6.</w:t>
      </w:r>
    </w:p>
    <w:p w14:paraId="6CA2EDE9" w14:textId="77777777" w:rsidR="00564A16" w:rsidRPr="00C00C15" w:rsidRDefault="00564A16" w:rsidP="00564A16">
      <w:pPr>
        <w:tabs>
          <w:tab w:val="left" w:pos="3709"/>
        </w:tabs>
        <w:rPr>
          <w:rFonts w:ascii="Times New Roman" w:hAnsi="Times New Roman" w:cs="Times New Roman"/>
          <w:color w:val="0D0D0D"/>
          <w:sz w:val="22"/>
          <w:lang w:val="es-ES"/>
        </w:rPr>
      </w:pPr>
    </w:p>
    <w:p w14:paraId="0E473C1F" w14:textId="217A019A" w:rsidR="00564A16" w:rsidRPr="00C00C15" w:rsidRDefault="00564A16">
      <w:pPr>
        <w:tabs>
          <w:tab w:val="left" w:pos="3709"/>
        </w:tabs>
        <w:rPr>
          <w:rFonts w:ascii="Times New Roman" w:hAnsi="Times New Roman" w:cs="Times New Roman"/>
          <w:color w:val="0D0D0D"/>
          <w:sz w:val="22"/>
          <w:lang w:val="es-ES"/>
        </w:rPr>
      </w:pPr>
      <w:r w:rsidRPr="00C00C15">
        <w:rPr>
          <w:rFonts w:ascii="Times New Roman" w:hAnsi="Times New Roman" w:cs="Times New Roman"/>
          <w:color w:val="0D0D0D"/>
          <w:sz w:val="22"/>
          <w:lang w:val="es-ES"/>
        </w:rPr>
        <w:t>Todos los mencionados son miembros de Zubillaga &amp; Asociados S.A</w:t>
      </w:r>
    </w:p>
    <w:p w14:paraId="5DDA19F2" w14:textId="77777777" w:rsidR="00564A16" w:rsidRPr="00C00C15" w:rsidRDefault="00564A16" w:rsidP="00564A16">
      <w:pPr>
        <w:tabs>
          <w:tab w:val="left" w:pos="3709"/>
        </w:tabs>
        <w:rPr>
          <w:rFonts w:ascii="Times New Roman" w:hAnsi="Times New Roman" w:cs="Times New Roman"/>
          <w:color w:val="0D0D0D"/>
          <w:sz w:val="22"/>
          <w:lang w:val="es-ES"/>
        </w:rPr>
      </w:pPr>
    </w:p>
    <w:p w14:paraId="13224AF5" w14:textId="102E9153" w:rsidR="00564A16" w:rsidRPr="00C00C15" w:rsidRDefault="00564A16" w:rsidP="00564A16">
      <w:pPr>
        <w:tabs>
          <w:tab w:val="left" w:pos="3709"/>
        </w:tabs>
        <w:rPr>
          <w:rFonts w:ascii="Times New Roman" w:hAnsi="Times New Roman" w:cs="Times New Roman"/>
          <w:color w:val="0D0D0D"/>
          <w:sz w:val="22"/>
        </w:rPr>
      </w:pPr>
      <w:r w:rsidRPr="00C00C15">
        <w:rPr>
          <w:rFonts w:ascii="Times New Roman" w:hAnsi="Times New Roman" w:cs="Times New Roman"/>
          <w:color w:val="0D0D0D"/>
          <w:sz w:val="22"/>
          <w:lang w:val="es-ES"/>
        </w:rPr>
        <w:t>Tiene</w:t>
      </w:r>
      <w:r w:rsidR="004213B3">
        <w:rPr>
          <w:rFonts w:ascii="Times New Roman" w:hAnsi="Times New Roman" w:cs="Times New Roman"/>
          <w:color w:val="0D0D0D"/>
          <w:sz w:val="22"/>
          <w:lang w:val="es-ES"/>
        </w:rPr>
        <w:t>n</w:t>
      </w:r>
      <w:r w:rsidRPr="00C00C15">
        <w:rPr>
          <w:rFonts w:ascii="Times New Roman" w:hAnsi="Times New Roman" w:cs="Times New Roman"/>
          <w:color w:val="0D0D0D"/>
          <w:sz w:val="22"/>
          <w:lang w:val="es-ES"/>
        </w:rPr>
        <w:t xml:space="preserve"> su sede social en la calle 25 de mayo 596, piso 19, de la Ciudad de Buenos Aires. Tel/Fax 011-5258-7593. Correo electrónico: </w:t>
      </w:r>
      <w:hyperlink r:id="rId54" w:history="1">
        <w:r w:rsidRPr="00C00C15">
          <w:rPr>
            <w:rStyle w:val="Hipervnculo"/>
            <w:rFonts w:ascii="Times New Roman" w:hAnsi="Times New Roman"/>
            <w:sz w:val="22"/>
            <w:lang w:val="es-ES"/>
          </w:rPr>
          <w:t>info@zubillagayasoc.com</w:t>
        </w:r>
      </w:hyperlink>
      <w:r w:rsidRPr="00C00C15">
        <w:rPr>
          <w:rFonts w:ascii="Times New Roman" w:hAnsi="Times New Roman" w:cs="Times New Roman"/>
          <w:color w:val="0D0D0D"/>
          <w:sz w:val="22"/>
          <w:lang w:val="es-ES"/>
        </w:rPr>
        <w:t xml:space="preserve"> </w:t>
      </w:r>
    </w:p>
    <w:p w14:paraId="25A25E04" w14:textId="77777777" w:rsidR="00564A16" w:rsidRPr="00C00C15" w:rsidRDefault="00564A16" w:rsidP="00564A16">
      <w:pPr>
        <w:tabs>
          <w:tab w:val="left" w:pos="3709"/>
        </w:tabs>
        <w:rPr>
          <w:rFonts w:ascii="Times New Roman" w:hAnsi="Times New Roman" w:cs="Times New Roman"/>
          <w:color w:val="0D0D0D"/>
          <w:sz w:val="22"/>
        </w:rPr>
      </w:pPr>
      <w:r w:rsidRPr="00C00C15">
        <w:rPr>
          <w:rFonts w:ascii="Times New Roman" w:hAnsi="Times New Roman" w:cs="Times New Roman"/>
          <w:color w:val="0D0D0D"/>
          <w:sz w:val="22"/>
        </w:rPr>
        <w:tab/>
      </w:r>
    </w:p>
    <w:p w14:paraId="73D57F02" w14:textId="77777777" w:rsidR="00D253B0" w:rsidRPr="00506990" w:rsidRDefault="00D253B0" w:rsidP="00E52538">
      <w:pPr>
        <w:rPr>
          <w:rFonts w:ascii="Times New Roman" w:eastAsia="Arial Unicode MS" w:hAnsi="Times New Roman" w:cs="Times New Roman"/>
          <w:b/>
          <w:noProof/>
          <w:color w:val="0D0D0D" w:themeColor="text1" w:themeTint="F2"/>
          <w:sz w:val="22"/>
          <w:szCs w:val="22"/>
        </w:rPr>
      </w:pPr>
    </w:p>
    <w:p w14:paraId="60766C8E" w14:textId="77777777" w:rsidR="00482F96" w:rsidRPr="00506990" w:rsidRDefault="00577C2C" w:rsidP="00B228F5">
      <w:pPr>
        <w:pStyle w:val="Ttulo1"/>
        <w:jc w:val="center"/>
        <w:rPr>
          <w:rFonts w:ascii="Times New Roman" w:hAnsi="Times New Roman"/>
          <w:sz w:val="22"/>
          <w:szCs w:val="22"/>
        </w:rPr>
      </w:pPr>
      <w:bookmarkStart w:id="85" w:name="_Toc521424874"/>
      <w:bookmarkStart w:id="86"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85"/>
      <w:bookmarkEnd w:id="86"/>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4C733D59" w:rsidR="00F74B8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listado de los créditos </w:t>
      </w:r>
      <w:r w:rsidRPr="000657B8">
        <w:rPr>
          <w:rFonts w:ascii="Times New Roman" w:hAnsi="Times New Roman" w:cs="Times New Roman"/>
          <w:iCs/>
          <w:color w:val="0D0D0D" w:themeColor="text1" w:themeTint="F2"/>
          <w:sz w:val="22"/>
          <w:szCs w:val="22"/>
        </w:rPr>
        <w:t xml:space="preserve">que integran el haber fideicomitido se adjunta en un </w:t>
      </w:r>
      <w:r w:rsidR="001A74F2" w:rsidRPr="000657B8">
        <w:rPr>
          <w:rFonts w:ascii="Times New Roman" w:hAnsi="Times New Roman" w:cs="Times New Roman"/>
          <w:iCs/>
          <w:color w:val="0D0D0D" w:themeColor="text1" w:themeTint="F2"/>
          <w:sz w:val="22"/>
          <w:szCs w:val="22"/>
        </w:rPr>
        <w:t>CD</w:t>
      </w:r>
      <w:r w:rsidR="00482D87" w:rsidRPr="000657B8">
        <w:rPr>
          <w:rFonts w:ascii="Times New Roman" w:hAnsi="Times New Roman" w:cs="Times New Roman"/>
          <w:iCs/>
          <w:color w:val="0D0D0D" w:themeColor="text1" w:themeTint="F2"/>
          <w:sz w:val="22"/>
          <w:szCs w:val="22"/>
        </w:rPr>
        <w:t xml:space="preserve"> </w:t>
      </w:r>
      <w:r w:rsidRPr="000657B8">
        <w:rPr>
          <w:rFonts w:ascii="Times New Roman" w:hAnsi="Times New Roman" w:cs="Times New Roman"/>
          <w:iCs/>
          <w:color w:val="0D0D0D" w:themeColor="text1" w:themeTint="F2"/>
          <w:sz w:val="22"/>
          <w:szCs w:val="22"/>
        </w:rPr>
        <w:t>Marca</w:t>
      </w:r>
      <w:r w:rsidRPr="000657B8" w:rsidDel="009E3E04">
        <w:rPr>
          <w:rFonts w:ascii="Times New Roman" w:hAnsi="Times New Roman" w:cs="Times New Roman"/>
          <w:color w:val="0D0D0D" w:themeColor="text1" w:themeTint="F2"/>
          <w:sz w:val="22"/>
          <w:szCs w:val="22"/>
          <w:lang w:val="es-MX"/>
        </w:rPr>
        <w:t xml:space="preserve"> </w:t>
      </w:r>
      <w:r w:rsidR="007669B9" w:rsidRPr="000657B8">
        <w:rPr>
          <w:rFonts w:ascii="Times New Roman" w:hAnsi="Times New Roman"/>
          <w:color w:val="0D0D0D" w:themeColor="text1" w:themeTint="F2"/>
          <w:sz w:val="22"/>
          <w:szCs w:val="22"/>
        </w:rPr>
        <w:t>Verbatim</w:t>
      </w:r>
      <w:r w:rsidR="007669B9" w:rsidRPr="000657B8">
        <w:rPr>
          <w:rFonts w:ascii="Times New Roman" w:hAnsi="Times New Roman" w:cs="Times New Roman"/>
          <w:color w:val="0D0D0D" w:themeColor="text1" w:themeTint="F2"/>
          <w:sz w:val="22"/>
          <w:szCs w:val="22"/>
          <w:lang w:val="es-MX"/>
        </w:rPr>
        <w:t xml:space="preserve"> </w:t>
      </w:r>
      <w:r w:rsidR="00223FD4" w:rsidRPr="00761C25">
        <w:rPr>
          <w:rFonts w:ascii="Times New Roman" w:hAnsi="Times New Roman" w:cs="Times New Roman"/>
          <w:color w:val="0D0D0D" w:themeColor="text1" w:themeTint="F2"/>
          <w:sz w:val="22"/>
          <w:szCs w:val="22"/>
          <w:lang w:val="es-MX"/>
        </w:rPr>
        <w:t>N</w:t>
      </w:r>
      <w:r w:rsidR="002D7508" w:rsidRPr="004066FC">
        <w:rPr>
          <w:rFonts w:ascii="Times New Roman" w:hAnsi="Times New Roman" w:cs="Times New Roman"/>
          <w:color w:val="0D0D0D" w:themeColor="text1" w:themeTint="F2"/>
          <w:sz w:val="22"/>
          <w:szCs w:val="22"/>
          <w:lang w:val="es-MX"/>
        </w:rPr>
        <w:t>°</w:t>
      </w:r>
      <w:r w:rsidR="000B6805" w:rsidRPr="004066FC">
        <w:rPr>
          <w:rFonts w:ascii="Times New Roman" w:hAnsi="Times New Roman" w:cs="Times New Roman"/>
          <w:color w:val="0D0D0D" w:themeColor="text1" w:themeTint="F2"/>
          <w:sz w:val="22"/>
          <w:szCs w:val="22"/>
          <w:lang w:val="es-MX"/>
        </w:rPr>
        <w:t xml:space="preserve"> </w:t>
      </w:r>
      <w:r w:rsidR="005B32E0" w:rsidRPr="005B32E0">
        <w:rPr>
          <w:rFonts w:ascii="Times New Roman" w:hAnsi="Times New Roman" w:cs="Times New Roman"/>
          <w:color w:val="0D0D0D" w:themeColor="text1" w:themeTint="F2"/>
          <w:sz w:val="22"/>
          <w:szCs w:val="22"/>
          <w:lang w:val="es-MX"/>
        </w:rPr>
        <w:t>LH3152YI11060507D1</w:t>
      </w:r>
      <w:r w:rsidR="005B32E0" w:rsidRPr="007D10B1" w:rsidDel="005B32E0">
        <w:rPr>
          <w:rFonts w:ascii="Times New Roman" w:hAnsi="Times New Roman" w:cs="Times New Roman"/>
          <w:color w:val="0D0D0D" w:themeColor="text1" w:themeTint="F2"/>
          <w:sz w:val="22"/>
          <w:szCs w:val="22"/>
          <w:lang w:val="es-MX"/>
        </w:rPr>
        <w:t xml:space="preserve"> </w:t>
      </w:r>
      <w:r w:rsidRPr="005B32E0">
        <w:rPr>
          <w:rFonts w:ascii="Times New Roman" w:hAnsi="Times New Roman" w:cs="Times New Roman"/>
          <w:color w:val="0D0D0D" w:themeColor="text1" w:themeTint="F2"/>
          <w:sz w:val="22"/>
          <w:szCs w:val="22"/>
        </w:rPr>
        <w:t>que</w:t>
      </w:r>
      <w:r w:rsidRPr="004066FC">
        <w:rPr>
          <w:rFonts w:ascii="Times New Roman" w:hAnsi="Times New Roman" w:cs="Times New Roman"/>
          <w:iCs/>
          <w:color w:val="0D0D0D" w:themeColor="text1" w:themeTint="F2"/>
          <w:sz w:val="22"/>
          <w:szCs w:val="22"/>
        </w:rPr>
        <w:t xml:space="preserve"> forma parte integrante del Suplemento de Prospecto y se encuentra a</w:t>
      </w:r>
      <w:r w:rsidRPr="007669B9">
        <w:rPr>
          <w:rFonts w:ascii="Times New Roman" w:hAnsi="Times New Roman" w:cs="Times New Roman"/>
          <w:iCs/>
          <w:color w:val="0D0D0D" w:themeColor="text1" w:themeTint="F2"/>
          <w:sz w:val="22"/>
          <w:szCs w:val="22"/>
        </w:rPr>
        <w:t xml:space="preserve"> disposición de los inversores</w:t>
      </w:r>
      <w:r w:rsidRPr="00506990">
        <w:rPr>
          <w:rFonts w:ascii="Times New Roman" w:hAnsi="Times New Roman" w:cs="Times New Roman"/>
          <w:iCs/>
          <w:color w:val="0D0D0D" w:themeColor="text1" w:themeTint="F2"/>
          <w:sz w:val="22"/>
          <w:szCs w:val="22"/>
        </w:rPr>
        <w:t xml:space="preserve"> en las oficinas del Fiduciario.</w:t>
      </w:r>
    </w:p>
    <w:p w14:paraId="2EA8426F" w14:textId="77777777" w:rsidR="00E70787" w:rsidRPr="00EC58B0" w:rsidRDefault="00E70787" w:rsidP="00F74B80">
      <w:pPr>
        <w:rPr>
          <w:rFonts w:ascii="Times New Roman" w:hAnsi="Times New Roman" w:cs="Times New Roman"/>
          <w:bCs/>
          <w:iCs/>
          <w:color w:val="0D0D0D" w:themeColor="text1" w:themeTint="F2"/>
          <w:sz w:val="22"/>
          <w:szCs w:val="22"/>
          <w:lang w:val="es-AR"/>
        </w:rPr>
      </w:pPr>
    </w:p>
    <w:p w14:paraId="7A404849" w14:textId="7C055FE9" w:rsidR="00F74B80" w:rsidRDefault="005F21C2" w:rsidP="00F74B80">
      <w:pPr>
        <w:rPr>
          <w:rFonts w:ascii="Times New Roman" w:hAnsi="Times New Roman" w:cs="Times New Roman"/>
          <w:iCs/>
          <w:color w:val="0D0D0D" w:themeColor="text1" w:themeTint="F2"/>
          <w:sz w:val="22"/>
          <w:szCs w:val="22"/>
          <w:lang w:val="es-AR"/>
        </w:rPr>
      </w:pPr>
      <w:r w:rsidRPr="005F21C2" w:rsidDel="00E05EDF">
        <w:t xml:space="preserve"> </w:t>
      </w:r>
      <w:r w:rsidR="00630293" w:rsidRPr="00630293">
        <w:rPr>
          <w:noProof/>
          <w:lang w:val="es-AR" w:eastAsia="es-AR"/>
        </w:rPr>
        <w:drawing>
          <wp:inline distT="0" distB="0" distL="0" distR="0" wp14:anchorId="4B2328F0" wp14:editId="6ACCA933">
            <wp:extent cx="5613400" cy="915661"/>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13400" cy="915661"/>
                    </a:xfrm>
                    <a:prstGeom prst="rect">
                      <a:avLst/>
                    </a:prstGeom>
                    <a:noFill/>
                    <a:ln>
                      <a:noFill/>
                    </a:ln>
                  </pic:spPr>
                </pic:pic>
              </a:graphicData>
            </a:graphic>
          </wp:inline>
        </w:drawing>
      </w:r>
    </w:p>
    <w:p w14:paraId="7424AC7A" w14:textId="71AE91DA" w:rsidR="002063D1" w:rsidRPr="004E3394" w:rsidRDefault="002063D1" w:rsidP="00F74B80">
      <w:pPr>
        <w:rPr>
          <w:rFonts w:ascii="Times New Roman" w:hAnsi="Times New Roman" w:cs="Times New Roman"/>
          <w:iCs/>
          <w:color w:val="0D0D0D" w:themeColor="text1" w:themeTint="F2"/>
          <w:sz w:val="22"/>
          <w:szCs w:val="22"/>
          <w:lang w:val="es-AR"/>
        </w:rPr>
      </w:pPr>
    </w:p>
    <w:p w14:paraId="0BD475E8" w14:textId="1E0005CF" w:rsidR="00EC3A6B" w:rsidRDefault="008650DB" w:rsidP="008650DB">
      <w:pPr>
        <w:spacing w:after="12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w:t>
      </w:r>
      <w:r w:rsidRPr="00201BC5">
        <w:rPr>
          <w:rFonts w:ascii="Times New Roman" w:hAnsi="Times New Roman" w:cs="Times New Roman"/>
          <w:color w:val="0D0D0D" w:themeColor="text1" w:themeTint="F2"/>
          <w:sz w:val="22"/>
          <w:szCs w:val="22"/>
        </w:rPr>
        <w:t xml:space="preserve">corresponde a créditos que a la Fecha de Selección no observan atrasos </w:t>
      </w:r>
      <w:r w:rsidRPr="004049CC">
        <w:rPr>
          <w:rFonts w:ascii="Times New Roman" w:hAnsi="Times New Roman" w:cs="Times New Roman"/>
          <w:color w:val="0D0D0D" w:themeColor="text1" w:themeTint="F2"/>
          <w:sz w:val="22"/>
          <w:szCs w:val="22"/>
        </w:rPr>
        <w:t xml:space="preserve">mayores a 30 días y </w:t>
      </w:r>
      <w:r w:rsidR="00EC3A6B">
        <w:rPr>
          <w:rFonts w:ascii="Times New Roman" w:hAnsi="Times New Roman" w:cs="Times New Roman"/>
          <w:color w:val="0D0D0D" w:themeColor="text1" w:themeTint="F2"/>
          <w:sz w:val="22"/>
          <w:szCs w:val="22"/>
        </w:rPr>
        <w:t>l</w:t>
      </w:r>
      <w:r w:rsidR="00EC3A6B">
        <w:rPr>
          <w:rFonts w:ascii="Times New Roman" w:hAnsi="Times New Roman" w:cs="Times New Roman"/>
          <w:iCs/>
          <w:color w:val="0D0D0D" w:themeColor="text1" w:themeTint="F2"/>
          <w:sz w:val="22"/>
          <w:szCs w:val="22"/>
        </w:rPr>
        <w:t xml:space="preserve">os Créditos producto de refinanciación no superan </w:t>
      </w:r>
      <w:r w:rsidR="00EC3A6B" w:rsidRPr="007B6576">
        <w:rPr>
          <w:rFonts w:ascii="Times New Roman" w:hAnsi="Times New Roman" w:cs="Times New Roman"/>
          <w:iCs/>
          <w:color w:val="0D0D0D" w:themeColor="text1" w:themeTint="F2"/>
          <w:sz w:val="22"/>
          <w:szCs w:val="22"/>
        </w:rPr>
        <w:t xml:space="preserve">el </w:t>
      </w:r>
      <w:r w:rsidR="00584E04" w:rsidRPr="007B6576">
        <w:rPr>
          <w:rFonts w:ascii="Times New Roman" w:hAnsi="Times New Roman" w:cs="Times New Roman"/>
          <w:bCs/>
          <w:iCs/>
          <w:color w:val="0D0D0D" w:themeColor="text1" w:themeTint="F2"/>
          <w:sz w:val="22"/>
          <w:szCs w:val="22"/>
        </w:rPr>
        <w:t>0</w:t>
      </w:r>
      <w:r w:rsidR="00584E04">
        <w:rPr>
          <w:rFonts w:ascii="Times New Roman" w:hAnsi="Times New Roman" w:cs="Times New Roman"/>
          <w:bCs/>
          <w:iCs/>
          <w:color w:val="0D0D0D" w:themeColor="text1" w:themeTint="F2"/>
          <w:sz w:val="22"/>
          <w:szCs w:val="22"/>
        </w:rPr>
        <w:t>,</w:t>
      </w:r>
      <w:r w:rsidR="00840115">
        <w:rPr>
          <w:rFonts w:ascii="Times New Roman" w:hAnsi="Times New Roman" w:cs="Times New Roman"/>
          <w:bCs/>
          <w:iCs/>
          <w:color w:val="0D0D0D" w:themeColor="text1" w:themeTint="F2"/>
          <w:sz w:val="22"/>
          <w:szCs w:val="22"/>
        </w:rPr>
        <w:t>4</w:t>
      </w:r>
      <w:r w:rsidR="00D55458">
        <w:rPr>
          <w:rFonts w:ascii="Times New Roman" w:hAnsi="Times New Roman" w:cs="Times New Roman"/>
          <w:bCs/>
          <w:iCs/>
          <w:color w:val="0D0D0D" w:themeColor="text1" w:themeTint="F2"/>
          <w:sz w:val="22"/>
          <w:szCs w:val="22"/>
        </w:rPr>
        <w:t>%</w:t>
      </w:r>
      <w:r w:rsidR="00EC3A6B">
        <w:rPr>
          <w:rFonts w:ascii="Times New Roman" w:hAnsi="Times New Roman" w:cs="Times New Roman"/>
          <w:iCs/>
          <w:color w:val="0D0D0D" w:themeColor="text1" w:themeTint="F2"/>
          <w:sz w:val="22"/>
          <w:szCs w:val="22"/>
        </w:rPr>
        <w:t xml:space="preserve"> de participación sobre el total de la cartera</w:t>
      </w:r>
      <w:r w:rsidRPr="004049CC">
        <w:rPr>
          <w:rFonts w:ascii="Times New Roman" w:hAnsi="Times New Roman" w:cs="Times New Roman"/>
          <w:color w:val="0D0D0D" w:themeColor="text1" w:themeTint="F2"/>
          <w:sz w:val="22"/>
          <w:szCs w:val="22"/>
        </w:rPr>
        <w:t xml:space="preserve">. </w:t>
      </w:r>
    </w:p>
    <w:p w14:paraId="1E6A2767" w14:textId="78B339B8" w:rsidR="009561CE" w:rsidRDefault="009561CE" w:rsidP="00B978D9">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69765563" w14:textId="77777777" w:rsidR="009561CE" w:rsidRDefault="009561CE"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5B0FB188" w14:textId="77777777" w:rsidR="00CC479E" w:rsidRPr="0066328F" w:rsidRDefault="00F74B80" w:rsidP="00F74B80">
      <w:pPr>
        <w:shd w:val="clear" w:color="auto" w:fill="D9D9D9"/>
        <w:rPr>
          <w:rFonts w:ascii="Times New Roman" w:hAnsi="Times New Roman" w:cs="Times New Roman"/>
          <w:b/>
          <w:color w:val="0D0D0D" w:themeColor="text1" w:themeTint="F2"/>
          <w:sz w:val="22"/>
          <w:szCs w:val="22"/>
        </w:rPr>
      </w:pPr>
      <w:r w:rsidRPr="0066328F">
        <w:rPr>
          <w:rFonts w:ascii="Times New Roman" w:hAnsi="Times New Roman" w:cs="Times New Roman"/>
          <w:b/>
          <w:color w:val="0D0D0D" w:themeColor="text1" w:themeTint="F2"/>
          <w:sz w:val="22"/>
          <w:szCs w:val="22"/>
        </w:rPr>
        <w:t xml:space="preserve">BAZAR AVENIDA S.A. </w:t>
      </w:r>
      <w:r w:rsidR="00CC479E" w:rsidRPr="0066328F">
        <w:rPr>
          <w:rFonts w:ascii="Times New Roman" w:hAnsi="Times New Roman" w:cs="Times New Roman"/>
          <w:b/>
          <w:color w:val="0D0D0D" w:themeColor="text1" w:themeTint="F2"/>
          <w:sz w:val="22"/>
          <w:szCs w:val="22"/>
        </w:rPr>
        <w:t>–</w:t>
      </w:r>
      <w:r w:rsidRPr="0066328F">
        <w:rPr>
          <w:rFonts w:ascii="Times New Roman" w:hAnsi="Times New Roman" w:cs="Times New Roman"/>
          <w:b/>
          <w:color w:val="0D0D0D" w:themeColor="text1" w:themeTint="F2"/>
          <w:sz w:val="22"/>
          <w:szCs w:val="22"/>
        </w:rPr>
        <w:t xml:space="preserve"> </w:t>
      </w:r>
    </w:p>
    <w:p w14:paraId="041AA03A" w14:textId="77777777" w:rsidR="00CC479E" w:rsidRPr="0066328F" w:rsidRDefault="00CC479E" w:rsidP="0098446E">
      <w:pPr>
        <w:spacing w:after="200"/>
        <w:rPr>
          <w:rFonts w:ascii="Times New Roman" w:hAnsi="Times New Roman" w:cs="Times New Roman"/>
          <w:color w:val="0D0D0D" w:themeColor="text1" w:themeTint="F2"/>
          <w:sz w:val="22"/>
          <w:szCs w:val="22"/>
        </w:rPr>
      </w:pPr>
    </w:p>
    <w:p w14:paraId="4BAD9563" w14:textId="77777777" w:rsidR="00FA4633" w:rsidRPr="0066328F" w:rsidRDefault="00FA4633" w:rsidP="00FA4633">
      <w:pPr>
        <w:pStyle w:val="Default0"/>
        <w:shd w:val="clear" w:color="auto" w:fill="D9D9D9" w:themeFill="background1" w:themeFillShade="D9"/>
        <w:jc w:val="both"/>
        <w:rPr>
          <w:sz w:val="22"/>
          <w:szCs w:val="22"/>
        </w:rPr>
      </w:pPr>
      <w:r w:rsidRPr="0066328F">
        <w:rPr>
          <w:b/>
          <w:bCs/>
          <w:sz w:val="22"/>
          <w:szCs w:val="22"/>
        </w:rPr>
        <w:t>BAZAR AVENIDA S.A. - NORMAS DE ORIGINACIÓN – financiación de electrodomésticos</w:t>
      </w:r>
    </w:p>
    <w:p w14:paraId="5D48D84C" w14:textId="77777777" w:rsidR="00FA4633" w:rsidRPr="0066328F" w:rsidRDefault="00FA4633" w:rsidP="00FA4633">
      <w:pPr>
        <w:pStyle w:val="Default0"/>
        <w:jc w:val="both"/>
        <w:rPr>
          <w:b/>
          <w:bCs/>
          <w:sz w:val="22"/>
          <w:szCs w:val="22"/>
        </w:rPr>
      </w:pPr>
    </w:p>
    <w:p w14:paraId="4B439AB0" w14:textId="77777777" w:rsidR="004E584F" w:rsidRPr="0066328F" w:rsidRDefault="004E584F" w:rsidP="004E584F">
      <w:pPr>
        <w:pStyle w:val="Default0"/>
        <w:jc w:val="both"/>
        <w:rPr>
          <w:b/>
          <w:bCs/>
          <w:sz w:val="22"/>
          <w:szCs w:val="22"/>
        </w:rPr>
      </w:pPr>
      <w:r w:rsidRPr="0066328F">
        <w:rPr>
          <w:b/>
          <w:bCs/>
          <w:sz w:val="22"/>
          <w:szCs w:val="22"/>
        </w:rPr>
        <w:t>Requisitos de otorgamiento de los créditos</w:t>
      </w:r>
    </w:p>
    <w:p w14:paraId="7B924027" w14:textId="77777777" w:rsidR="004E584F" w:rsidRPr="0066328F" w:rsidRDefault="004E584F" w:rsidP="004E584F">
      <w:pPr>
        <w:pStyle w:val="Default0"/>
        <w:jc w:val="both"/>
        <w:rPr>
          <w:sz w:val="22"/>
          <w:szCs w:val="22"/>
        </w:rPr>
      </w:pPr>
    </w:p>
    <w:p w14:paraId="34B41FCA" w14:textId="77777777" w:rsidR="004E584F" w:rsidRPr="0066328F" w:rsidRDefault="004E584F" w:rsidP="004E584F">
      <w:pPr>
        <w:pStyle w:val="Default0"/>
        <w:jc w:val="both"/>
        <w:rPr>
          <w:sz w:val="22"/>
          <w:szCs w:val="22"/>
        </w:rPr>
      </w:pPr>
      <w:r w:rsidRPr="0066328F">
        <w:rPr>
          <w:b/>
          <w:sz w:val="22"/>
          <w:szCs w:val="22"/>
        </w:rPr>
        <w:t>Capacidad</w:t>
      </w:r>
      <w:r w:rsidRPr="0066328F">
        <w:rPr>
          <w:sz w:val="22"/>
          <w:szCs w:val="22"/>
        </w:rPr>
        <w:t>:</w:t>
      </w:r>
    </w:p>
    <w:p w14:paraId="7D345987" w14:textId="77777777" w:rsidR="004E584F" w:rsidRPr="0066328F" w:rsidRDefault="004E584F" w:rsidP="004E584F">
      <w:pPr>
        <w:pStyle w:val="Default0"/>
        <w:ind w:left="142"/>
        <w:jc w:val="both"/>
        <w:rPr>
          <w:sz w:val="22"/>
          <w:szCs w:val="22"/>
        </w:rPr>
      </w:pPr>
      <w:r w:rsidRPr="0066328F">
        <w:rPr>
          <w:sz w:val="22"/>
          <w:szCs w:val="22"/>
        </w:rPr>
        <w:t>1. Personas Físicas:</w:t>
      </w:r>
    </w:p>
    <w:p w14:paraId="5C5B8561" w14:textId="77777777" w:rsidR="004E584F" w:rsidRPr="0066328F" w:rsidRDefault="004E584F" w:rsidP="004E584F">
      <w:pPr>
        <w:pStyle w:val="Default0"/>
        <w:numPr>
          <w:ilvl w:val="0"/>
          <w:numId w:val="31"/>
        </w:numPr>
        <w:jc w:val="both"/>
        <w:rPr>
          <w:sz w:val="22"/>
          <w:szCs w:val="22"/>
        </w:rPr>
      </w:pPr>
      <w:r w:rsidRPr="0066328F">
        <w:rPr>
          <w:sz w:val="22"/>
          <w:szCs w:val="22"/>
        </w:rPr>
        <w:t>Mayores de 18 años y hasta 79 años</w:t>
      </w:r>
    </w:p>
    <w:p w14:paraId="3E18C576" w14:textId="77777777" w:rsidR="004E584F" w:rsidRPr="0066328F" w:rsidRDefault="004E584F" w:rsidP="004E584F">
      <w:pPr>
        <w:pStyle w:val="Default0"/>
        <w:ind w:left="142"/>
        <w:jc w:val="both"/>
        <w:rPr>
          <w:sz w:val="22"/>
          <w:szCs w:val="22"/>
        </w:rPr>
      </w:pPr>
      <w:r w:rsidRPr="0066328F">
        <w:rPr>
          <w:sz w:val="22"/>
          <w:szCs w:val="22"/>
        </w:rPr>
        <w:t>2. Personas Jurídicas:</w:t>
      </w:r>
    </w:p>
    <w:p w14:paraId="575C16EF" w14:textId="77777777" w:rsidR="004E584F" w:rsidRPr="0066328F" w:rsidRDefault="004E584F" w:rsidP="004E584F">
      <w:pPr>
        <w:pStyle w:val="Default0"/>
        <w:numPr>
          <w:ilvl w:val="0"/>
          <w:numId w:val="31"/>
        </w:numPr>
        <w:jc w:val="both"/>
        <w:rPr>
          <w:sz w:val="22"/>
          <w:szCs w:val="22"/>
        </w:rPr>
      </w:pPr>
      <w:r w:rsidRPr="0066328F">
        <w:rPr>
          <w:sz w:val="22"/>
          <w:szCs w:val="22"/>
        </w:rPr>
        <w:t>Representatividad: la persona jurídica se obliga por medio de un representante.</w:t>
      </w:r>
    </w:p>
    <w:p w14:paraId="02E8AB37" w14:textId="77777777" w:rsidR="004E584F" w:rsidRPr="00C00C15" w:rsidRDefault="004E584F" w:rsidP="004E584F">
      <w:pPr>
        <w:pStyle w:val="Prrafodelista"/>
        <w:numPr>
          <w:ilvl w:val="0"/>
          <w:numId w:val="31"/>
        </w:numPr>
        <w:autoSpaceDE w:val="0"/>
        <w:autoSpaceDN w:val="0"/>
        <w:adjustRightInd w:val="0"/>
        <w:spacing w:after="120"/>
        <w:ind w:left="714" w:hanging="357"/>
        <w:jc w:val="both"/>
        <w:rPr>
          <w:color w:val="000000"/>
          <w:sz w:val="22"/>
          <w:szCs w:val="22"/>
        </w:rPr>
      </w:pPr>
      <w:r w:rsidRPr="00C00C15">
        <w:rPr>
          <w:color w:val="000000"/>
          <w:sz w:val="22"/>
          <w:szCs w:val="22"/>
        </w:rPr>
        <w:t>Limitaciones: las personas Jurídicas no podrán ser garantes.</w:t>
      </w:r>
    </w:p>
    <w:p w14:paraId="32FD0F09" w14:textId="5D438742" w:rsidR="004E584F" w:rsidRPr="0066328F" w:rsidRDefault="004E584F" w:rsidP="004E584F">
      <w:pPr>
        <w:pStyle w:val="Default0"/>
        <w:spacing w:after="143"/>
        <w:jc w:val="both"/>
        <w:rPr>
          <w:color w:val="auto"/>
          <w:sz w:val="22"/>
          <w:szCs w:val="22"/>
        </w:rPr>
      </w:pPr>
      <w:r w:rsidRPr="0066328F">
        <w:rPr>
          <w:b/>
          <w:sz w:val="22"/>
          <w:szCs w:val="22"/>
        </w:rPr>
        <w:t>Capital a prestar</w:t>
      </w:r>
      <w:r w:rsidRPr="0066328F">
        <w:rPr>
          <w:sz w:val="22"/>
          <w:szCs w:val="22"/>
        </w:rPr>
        <w:t xml:space="preserve">: </w:t>
      </w:r>
      <w:r w:rsidRPr="0066328F">
        <w:rPr>
          <w:color w:val="auto"/>
          <w:sz w:val="22"/>
          <w:szCs w:val="22"/>
        </w:rPr>
        <w:t>hasta $</w:t>
      </w:r>
      <w:r w:rsidR="009E0508">
        <w:rPr>
          <w:color w:val="auto"/>
          <w:sz w:val="22"/>
          <w:szCs w:val="22"/>
        </w:rPr>
        <w:t>532</w:t>
      </w:r>
      <w:r w:rsidRPr="0066328F">
        <w:rPr>
          <w:color w:val="auto"/>
          <w:sz w:val="22"/>
          <w:szCs w:val="22"/>
        </w:rPr>
        <w:t>.000 según nivel de riesgo.</w:t>
      </w:r>
    </w:p>
    <w:p w14:paraId="31368CA3" w14:textId="77777777" w:rsidR="004E584F" w:rsidRPr="0066328F" w:rsidRDefault="004E584F" w:rsidP="004E584F">
      <w:pPr>
        <w:pStyle w:val="Default0"/>
        <w:spacing w:after="143"/>
        <w:jc w:val="both"/>
        <w:rPr>
          <w:color w:val="auto"/>
          <w:sz w:val="22"/>
          <w:szCs w:val="22"/>
        </w:rPr>
      </w:pPr>
      <w:r w:rsidRPr="0066328F">
        <w:rPr>
          <w:b/>
          <w:color w:val="auto"/>
          <w:sz w:val="22"/>
          <w:szCs w:val="22"/>
        </w:rPr>
        <w:t>Plazo</w:t>
      </w:r>
      <w:r w:rsidRPr="0066328F">
        <w:rPr>
          <w:color w:val="auto"/>
          <w:sz w:val="22"/>
          <w:szCs w:val="22"/>
        </w:rPr>
        <w:t>: hasta 24 cuotas.</w:t>
      </w:r>
    </w:p>
    <w:p w14:paraId="14BE14D2" w14:textId="77777777" w:rsidR="004E584F" w:rsidRPr="0066328F" w:rsidRDefault="004E584F" w:rsidP="004E584F">
      <w:pPr>
        <w:pStyle w:val="Default0"/>
        <w:spacing w:after="143"/>
        <w:jc w:val="both"/>
        <w:rPr>
          <w:color w:val="auto"/>
          <w:sz w:val="22"/>
          <w:szCs w:val="22"/>
        </w:rPr>
      </w:pPr>
      <w:r w:rsidRPr="0066328F">
        <w:rPr>
          <w:b/>
          <w:color w:val="auto"/>
          <w:sz w:val="22"/>
          <w:szCs w:val="22"/>
        </w:rPr>
        <w:t>Documentación que se emite</w:t>
      </w:r>
      <w:r w:rsidRPr="0066328F">
        <w:rPr>
          <w:color w:val="auto"/>
          <w:sz w:val="22"/>
          <w:szCs w:val="22"/>
        </w:rPr>
        <w:t>: factura en donde se enuncian las condiciones del crédito y Pagaré, ambos firmados por el solicitante.</w:t>
      </w:r>
    </w:p>
    <w:p w14:paraId="5B317A54" w14:textId="77777777" w:rsidR="004E584F" w:rsidRPr="00C00C15" w:rsidRDefault="004E584F" w:rsidP="004E584F">
      <w:pPr>
        <w:autoSpaceDE w:val="0"/>
        <w:autoSpaceDN w:val="0"/>
        <w:adjustRightInd w:val="0"/>
        <w:rPr>
          <w:rFonts w:ascii="Times New Roman" w:hAnsi="Times New Roman" w:cs="Times New Roman"/>
          <w:sz w:val="22"/>
          <w:szCs w:val="22"/>
        </w:rPr>
      </w:pPr>
      <w:r w:rsidRPr="00C00C15">
        <w:rPr>
          <w:rFonts w:ascii="Times New Roman" w:hAnsi="Times New Roman" w:cs="Times New Roman"/>
          <w:b/>
          <w:sz w:val="22"/>
          <w:szCs w:val="22"/>
        </w:rPr>
        <w:t>Ingresos</w:t>
      </w:r>
      <w:r w:rsidRPr="00C00C15">
        <w:rPr>
          <w:rFonts w:ascii="Times New Roman" w:hAnsi="Times New Roman" w:cs="Times New Roman"/>
          <w:sz w:val="22"/>
          <w:szCs w:val="22"/>
        </w:rPr>
        <w:t>:</w:t>
      </w:r>
    </w:p>
    <w:p w14:paraId="142ED1A5" w14:textId="77777777" w:rsidR="004E584F" w:rsidRPr="00C00C15" w:rsidRDefault="004E584F" w:rsidP="004E584F">
      <w:pPr>
        <w:pStyle w:val="Prrafodelista"/>
        <w:numPr>
          <w:ilvl w:val="0"/>
          <w:numId w:val="31"/>
        </w:numPr>
        <w:autoSpaceDE w:val="0"/>
        <w:autoSpaceDN w:val="0"/>
        <w:adjustRightInd w:val="0"/>
        <w:spacing w:after="60"/>
        <w:jc w:val="both"/>
        <w:rPr>
          <w:sz w:val="22"/>
          <w:szCs w:val="22"/>
        </w:rPr>
      </w:pPr>
      <w:r w:rsidRPr="00C00C15">
        <w:rPr>
          <w:sz w:val="22"/>
          <w:szCs w:val="22"/>
        </w:rPr>
        <w:t>Mínimos requeridos: ingresos netos $10.000</w:t>
      </w:r>
    </w:p>
    <w:p w14:paraId="632D5459" w14:textId="77777777" w:rsidR="004E584F" w:rsidRPr="00C00C15" w:rsidRDefault="004E584F" w:rsidP="004E584F">
      <w:pPr>
        <w:pStyle w:val="Prrafodelista"/>
        <w:numPr>
          <w:ilvl w:val="0"/>
          <w:numId w:val="31"/>
        </w:numPr>
        <w:autoSpaceDE w:val="0"/>
        <w:autoSpaceDN w:val="0"/>
        <w:adjustRightInd w:val="0"/>
        <w:spacing w:after="60"/>
        <w:jc w:val="both"/>
        <w:rPr>
          <w:color w:val="000000"/>
          <w:sz w:val="22"/>
          <w:szCs w:val="22"/>
        </w:rPr>
      </w:pPr>
      <w:r w:rsidRPr="00C00C15">
        <w:rPr>
          <w:sz w:val="22"/>
          <w:szCs w:val="22"/>
        </w:rPr>
        <w:t>Límites relación “cuota/ingreso”: desde 20%, hasta 40</w:t>
      </w:r>
      <w:r w:rsidRPr="00C00C15">
        <w:rPr>
          <w:color w:val="000000"/>
          <w:sz w:val="22"/>
          <w:szCs w:val="22"/>
        </w:rPr>
        <w:t>%; según nivel de riesgo, en este último caso para clientes con historia crediticia en la empresa y excelente comportamiento de pago en el mercado.</w:t>
      </w:r>
    </w:p>
    <w:p w14:paraId="5D09B704" w14:textId="77777777" w:rsidR="004E584F" w:rsidRPr="00C00C15" w:rsidRDefault="004E584F" w:rsidP="004E584F">
      <w:pPr>
        <w:pStyle w:val="Prrafodelista"/>
        <w:numPr>
          <w:ilvl w:val="0"/>
          <w:numId w:val="31"/>
        </w:numPr>
        <w:autoSpaceDE w:val="0"/>
        <w:autoSpaceDN w:val="0"/>
        <w:adjustRightInd w:val="0"/>
        <w:jc w:val="both"/>
        <w:rPr>
          <w:color w:val="000000"/>
          <w:sz w:val="22"/>
          <w:szCs w:val="22"/>
        </w:rPr>
      </w:pPr>
      <w:r w:rsidRPr="00C00C15">
        <w:rPr>
          <w:color w:val="000000"/>
          <w:sz w:val="22"/>
          <w:szCs w:val="22"/>
        </w:rPr>
        <w:t>Límites cantidad de ingresos: desde 1 hasta 6 ingresos (máximo capital otorgado acumulado); según nivel de riesgo; en este último caso para clientes con historia crediticia en la empresa y excelente comportamiento de pago en el mercado.</w:t>
      </w:r>
    </w:p>
    <w:p w14:paraId="58BF08BE"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p>
    <w:p w14:paraId="33BF3744"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color w:val="000000"/>
          <w:sz w:val="22"/>
          <w:szCs w:val="22"/>
        </w:rPr>
        <w:t>Antigüedad</w:t>
      </w:r>
      <w:r w:rsidRPr="00C00C15">
        <w:rPr>
          <w:rFonts w:ascii="Times New Roman" w:hAnsi="Times New Roman" w:cs="Times New Roman"/>
          <w:color w:val="000000"/>
          <w:sz w:val="22"/>
          <w:szCs w:val="22"/>
        </w:rPr>
        <w:t>:</w:t>
      </w:r>
    </w:p>
    <w:p w14:paraId="49B8082A" w14:textId="77777777" w:rsidR="004E584F" w:rsidRPr="00C00C15" w:rsidRDefault="004E584F" w:rsidP="004E584F">
      <w:pPr>
        <w:pStyle w:val="Prrafodelista"/>
        <w:numPr>
          <w:ilvl w:val="0"/>
          <w:numId w:val="31"/>
        </w:numPr>
        <w:autoSpaceDE w:val="0"/>
        <w:autoSpaceDN w:val="0"/>
        <w:adjustRightInd w:val="0"/>
        <w:spacing w:after="59"/>
        <w:jc w:val="both"/>
        <w:rPr>
          <w:sz w:val="22"/>
          <w:szCs w:val="22"/>
        </w:rPr>
      </w:pPr>
      <w:r w:rsidRPr="00C00C15">
        <w:rPr>
          <w:color w:val="000000"/>
          <w:sz w:val="22"/>
          <w:szCs w:val="22"/>
        </w:rPr>
        <w:t xml:space="preserve">Empleados en relación de dependencia: </w:t>
      </w:r>
      <w:r w:rsidRPr="00C00C15">
        <w:rPr>
          <w:sz w:val="22"/>
          <w:szCs w:val="22"/>
        </w:rPr>
        <w:t>se requiere mínima de 6 meses.</w:t>
      </w:r>
    </w:p>
    <w:p w14:paraId="341E12A5" w14:textId="77777777" w:rsidR="004E584F" w:rsidRPr="00C00C15" w:rsidRDefault="004E584F" w:rsidP="004E584F">
      <w:pPr>
        <w:pStyle w:val="Prrafodelista"/>
        <w:numPr>
          <w:ilvl w:val="0"/>
          <w:numId w:val="31"/>
        </w:numPr>
        <w:autoSpaceDE w:val="0"/>
        <w:autoSpaceDN w:val="0"/>
        <w:adjustRightInd w:val="0"/>
        <w:jc w:val="both"/>
        <w:rPr>
          <w:color w:val="000000"/>
          <w:sz w:val="22"/>
          <w:szCs w:val="22"/>
        </w:rPr>
      </w:pPr>
      <w:r w:rsidRPr="00C00C15">
        <w:rPr>
          <w:color w:val="000000"/>
          <w:sz w:val="22"/>
          <w:szCs w:val="22"/>
        </w:rPr>
        <w:t>Trabajadores Autónomos: se requiere antigüedad mínima de 12 meses.</w:t>
      </w:r>
    </w:p>
    <w:p w14:paraId="00BE0030" w14:textId="77777777" w:rsidR="004E584F" w:rsidRPr="00C00C15" w:rsidRDefault="004E584F" w:rsidP="004E584F">
      <w:pPr>
        <w:autoSpaceDE w:val="0"/>
        <w:autoSpaceDN w:val="0"/>
        <w:adjustRightInd w:val="0"/>
        <w:spacing w:after="143"/>
        <w:rPr>
          <w:rFonts w:ascii="Times New Roman" w:hAnsi="Times New Roman" w:cs="Times New Roman"/>
          <w:color w:val="000000"/>
          <w:sz w:val="22"/>
          <w:szCs w:val="22"/>
        </w:rPr>
      </w:pPr>
    </w:p>
    <w:p w14:paraId="1419E66A" w14:textId="77777777" w:rsidR="004E584F" w:rsidRPr="00C00C15" w:rsidRDefault="004E584F" w:rsidP="004E584F">
      <w:pPr>
        <w:autoSpaceDE w:val="0"/>
        <w:autoSpaceDN w:val="0"/>
        <w:adjustRightInd w:val="0"/>
        <w:rPr>
          <w:rFonts w:ascii="Times New Roman" w:hAnsi="Times New Roman" w:cs="Times New Roman"/>
          <w:b/>
          <w:color w:val="000000"/>
          <w:sz w:val="22"/>
          <w:szCs w:val="22"/>
        </w:rPr>
      </w:pPr>
      <w:r w:rsidRPr="00C00C15">
        <w:rPr>
          <w:rFonts w:ascii="Times New Roman" w:hAnsi="Times New Roman" w:cs="Times New Roman"/>
          <w:b/>
          <w:color w:val="000000"/>
          <w:sz w:val="22"/>
          <w:szCs w:val="22"/>
        </w:rPr>
        <w:t>Teléfonos:</w:t>
      </w:r>
    </w:p>
    <w:p w14:paraId="40A93418" w14:textId="77777777" w:rsidR="004E584F" w:rsidRPr="00C00C15" w:rsidRDefault="004E584F" w:rsidP="004E584F">
      <w:pPr>
        <w:pStyle w:val="Prrafodelista"/>
        <w:numPr>
          <w:ilvl w:val="0"/>
          <w:numId w:val="31"/>
        </w:numPr>
        <w:autoSpaceDE w:val="0"/>
        <w:autoSpaceDN w:val="0"/>
        <w:adjustRightInd w:val="0"/>
        <w:spacing w:after="143"/>
        <w:jc w:val="both"/>
        <w:rPr>
          <w:color w:val="000000"/>
          <w:sz w:val="22"/>
          <w:szCs w:val="22"/>
        </w:rPr>
      </w:pPr>
      <w:r w:rsidRPr="00C00C15">
        <w:rPr>
          <w:color w:val="000000"/>
          <w:sz w:val="22"/>
          <w:szCs w:val="22"/>
        </w:rPr>
        <w:t>Dos teléfonos celulares.</w:t>
      </w:r>
    </w:p>
    <w:p w14:paraId="36405BEB" w14:textId="77777777" w:rsidR="004E584F" w:rsidRPr="00C00C15" w:rsidRDefault="004E584F" w:rsidP="004E584F">
      <w:pPr>
        <w:autoSpaceDE w:val="0"/>
        <w:autoSpaceDN w:val="0"/>
        <w:adjustRightInd w:val="0"/>
        <w:rPr>
          <w:rFonts w:ascii="Times New Roman" w:hAnsi="Times New Roman" w:cs="Times New Roman"/>
          <w:b/>
          <w:bCs/>
          <w:color w:val="000000"/>
          <w:sz w:val="22"/>
          <w:szCs w:val="22"/>
        </w:rPr>
      </w:pPr>
    </w:p>
    <w:p w14:paraId="5E130469"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Otros Requisitos / Evaluaciones</w:t>
      </w:r>
      <w:r w:rsidRPr="00C00C15">
        <w:rPr>
          <w:rFonts w:ascii="Times New Roman" w:hAnsi="Times New Roman" w:cs="Times New Roman"/>
          <w:color w:val="000000"/>
          <w:sz w:val="22"/>
          <w:szCs w:val="22"/>
        </w:rPr>
        <w:t>:</w:t>
      </w:r>
    </w:p>
    <w:p w14:paraId="1A9D1946" w14:textId="77777777" w:rsidR="004E584F" w:rsidRPr="00C00C15" w:rsidRDefault="004E584F" w:rsidP="004E584F">
      <w:pPr>
        <w:pStyle w:val="Prrafodelista"/>
        <w:numPr>
          <w:ilvl w:val="0"/>
          <w:numId w:val="31"/>
        </w:numPr>
        <w:autoSpaceDE w:val="0"/>
        <w:autoSpaceDN w:val="0"/>
        <w:adjustRightInd w:val="0"/>
        <w:spacing w:after="384"/>
        <w:jc w:val="both"/>
        <w:rPr>
          <w:color w:val="000000"/>
          <w:sz w:val="22"/>
          <w:szCs w:val="22"/>
        </w:rPr>
      </w:pPr>
      <w:r w:rsidRPr="00C00C15">
        <w:rPr>
          <w:b/>
          <w:bCs/>
          <w:color w:val="000000"/>
          <w:sz w:val="22"/>
          <w:szCs w:val="22"/>
        </w:rPr>
        <w:t>Antecedentes crediticios</w:t>
      </w:r>
      <w:r w:rsidRPr="00C00C15">
        <w:rPr>
          <w:color w:val="000000"/>
          <w:sz w:val="22"/>
          <w:szCs w:val="22"/>
        </w:rPr>
        <w:t>: a través de referencias de base propia de datos y herramientas del centro de informes nacionales y regionales.</w:t>
      </w:r>
    </w:p>
    <w:p w14:paraId="17DF3FD7" w14:textId="77777777" w:rsidR="004E584F" w:rsidRPr="00C00C15" w:rsidRDefault="004E584F" w:rsidP="004E584F">
      <w:pPr>
        <w:pStyle w:val="Prrafodelista"/>
        <w:numPr>
          <w:ilvl w:val="0"/>
          <w:numId w:val="31"/>
        </w:numPr>
        <w:autoSpaceDE w:val="0"/>
        <w:autoSpaceDN w:val="0"/>
        <w:adjustRightInd w:val="0"/>
        <w:spacing w:after="384"/>
        <w:jc w:val="both"/>
        <w:rPr>
          <w:color w:val="000000"/>
          <w:sz w:val="22"/>
          <w:szCs w:val="22"/>
        </w:rPr>
      </w:pPr>
      <w:r w:rsidRPr="00C00C15">
        <w:rPr>
          <w:b/>
          <w:bCs/>
          <w:color w:val="000000"/>
          <w:sz w:val="22"/>
          <w:szCs w:val="22"/>
        </w:rPr>
        <w:t>Calificación crediticia</w:t>
      </w:r>
      <w:r w:rsidRPr="00C00C15">
        <w:rPr>
          <w:color w:val="000000"/>
          <w:sz w:val="22"/>
          <w:szCs w:val="22"/>
        </w:rPr>
        <w:t>: la solicitud de crédito se procesa en sistema de scoring, que evalúa comportamiento de pago del cliente en la empresa (en caso de que exista), factores demográficos y comportamiento crediticio en el mercado; definiendo así el perfil de riesgo del cliente; perfil que define la posibilidad de otorgar el crédito, y en su caso el monto máximo y relación cuota/ingreso.</w:t>
      </w:r>
    </w:p>
    <w:p w14:paraId="6AA0D16D" w14:textId="77777777" w:rsidR="004E584F" w:rsidRPr="00C00C15" w:rsidRDefault="004E584F" w:rsidP="004E584F">
      <w:pPr>
        <w:pStyle w:val="Prrafodelista"/>
        <w:numPr>
          <w:ilvl w:val="0"/>
          <w:numId w:val="31"/>
        </w:numPr>
        <w:autoSpaceDE w:val="0"/>
        <w:autoSpaceDN w:val="0"/>
        <w:adjustRightInd w:val="0"/>
        <w:jc w:val="both"/>
        <w:rPr>
          <w:color w:val="000000"/>
          <w:sz w:val="22"/>
          <w:szCs w:val="22"/>
        </w:rPr>
      </w:pPr>
      <w:r w:rsidRPr="00C00C15">
        <w:rPr>
          <w:b/>
          <w:bCs/>
          <w:color w:val="000000"/>
          <w:sz w:val="22"/>
          <w:szCs w:val="22"/>
        </w:rPr>
        <w:t>Excepciones</w:t>
      </w:r>
      <w:r w:rsidRPr="00C00C15">
        <w:rPr>
          <w:color w:val="000000"/>
          <w:sz w:val="22"/>
          <w:szCs w:val="22"/>
        </w:rPr>
        <w:t>: a consideración por instancia superior.</w:t>
      </w:r>
    </w:p>
    <w:p w14:paraId="368F36E3" w14:textId="77777777" w:rsidR="004E584F" w:rsidRPr="00C00C15" w:rsidRDefault="004E584F" w:rsidP="004E584F">
      <w:pPr>
        <w:autoSpaceDE w:val="0"/>
        <w:autoSpaceDN w:val="0"/>
        <w:adjustRightInd w:val="0"/>
        <w:rPr>
          <w:rFonts w:ascii="Times New Roman" w:hAnsi="Times New Roman" w:cs="Times New Roman"/>
          <w:b/>
          <w:bCs/>
          <w:color w:val="000000"/>
          <w:sz w:val="22"/>
          <w:szCs w:val="22"/>
        </w:rPr>
      </w:pPr>
    </w:p>
    <w:p w14:paraId="2F3978B5" w14:textId="77777777" w:rsidR="004E584F" w:rsidRPr="00C00C15" w:rsidRDefault="004E584F" w:rsidP="004E584F">
      <w:pPr>
        <w:autoSpaceDE w:val="0"/>
        <w:autoSpaceDN w:val="0"/>
        <w:adjustRightInd w:val="0"/>
        <w:rPr>
          <w:rFonts w:ascii="Times New Roman" w:hAnsi="Times New Roman" w:cs="Times New Roman"/>
          <w:b/>
          <w:bCs/>
          <w:color w:val="000000"/>
          <w:sz w:val="22"/>
          <w:szCs w:val="22"/>
        </w:rPr>
      </w:pPr>
    </w:p>
    <w:p w14:paraId="4AD89437"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 xml:space="preserve">Documentación a presentar: </w:t>
      </w:r>
      <w:r w:rsidRPr="00C00C15">
        <w:rPr>
          <w:rFonts w:ascii="Times New Roman" w:hAnsi="Times New Roman" w:cs="Times New Roman"/>
          <w:color w:val="000000"/>
          <w:sz w:val="22"/>
          <w:szCs w:val="22"/>
        </w:rPr>
        <w:t xml:space="preserve">de acuerdo a la modalidad seleccionada. </w:t>
      </w:r>
    </w:p>
    <w:p w14:paraId="71BAE15D"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Clásica</w:t>
      </w:r>
      <w:r w:rsidRPr="00C00C15">
        <w:rPr>
          <w:rFonts w:ascii="Times New Roman" w:hAnsi="Times New Roman" w:cs="Times New Roman"/>
          <w:color w:val="000000"/>
          <w:sz w:val="22"/>
          <w:szCs w:val="22"/>
        </w:rPr>
        <w:t xml:space="preserve">: </w:t>
      </w:r>
    </w:p>
    <w:p w14:paraId="29648F64" w14:textId="77777777" w:rsidR="004E584F" w:rsidRPr="00C00C15" w:rsidRDefault="004E584F" w:rsidP="004E584F">
      <w:pPr>
        <w:pStyle w:val="Prrafodelista"/>
        <w:numPr>
          <w:ilvl w:val="0"/>
          <w:numId w:val="34"/>
        </w:numPr>
        <w:autoSpaceDE w:val="0"/>
        <w:autoSpaceDN w:val="0"/>
        <w:adjustRightInd w:val="0"/>
        <w:jc w:val="both"/>
        <w:rPr>
          <w:color w:val="000000"/>
          <w:sz w:val="22"/>
          <w:szCs w:val="22"/>
        </w:rPr>
      </w:pPr>
      <w:r w:rsidRPr="00C00C15">
        <w:rPr>
          <w:color w:val="000000"/>
          <w:sz w:val="22"/>
          <w:szCs w:val="22"/>
        </w:rPr>
        <w:t>Identificación</w:t>
      </w:r>
    </w:p>
    <w:p w14:paraId="11DDCAAB" w14:textId="77777777" w:rsidR="004E584F" w:rsidRPr="00C00C15" w:rsidRDefault="004E584F" w:rsidP="004E584F">
      <w:pPr>
        <w:pStyle w:val="Prrafodelista"/>
        <w:numPr>
          <w:ilvl w:val="0"/>
          <w:numId w:val="32"/>
        </w:numPr>
        <w:autoSpaceDE w:val="0"/>
        <w:autoSpaceDN w:val="0"/>
        <w:adjustRightInd w:val="0"/>
        <w:spacing w:after="42"/>
        <w:jc w:val="both"/>
        <w:rPr>
          <w:color w:val="000000"/>
          <w:sz w:val="22"/>
          <w:szCs w:val="22"/>
        </w:rPr>
      </w:pPr>
      <w:r w:rsidRPr="00C00C15">
        <w:rPr>
          <w:color w:val="000000"/>
          <w:sz w:val="22"/>
          <w:szCs w:val="22"/>
        </w:rPr>
        <w:t>DNI</w:t>
      </w:r>
    </w:p>
    <w:p w14:paraId="04B4C5B6" w14:textId="77777777" w:rsidR="004E584F" w:rsidRPr="00C00C15" w:rsidRDefault="004E584F" w:rsidP="004E584F">
      <w:pPr>
        <w:pStyle w:val="Prrafodelista"/>
        <w:autoSpaceDE w:val="0"/>
        <w:autoSpaceDN w:val="0"/>
        <w:adjustRightInd w:val="0"/>
        <w:rPr>
          <w:color w:val="000000"/>
          <w:sz w:val="22"/>
          <w:szCs w:val="22"/>
        </w:rPr>
      </w:pPr>
    </w:p>
    <w:p w14:paraId="26118473" w14:textId="77777777" w:rsidR="004E584F" w:rsidRPr="00C00C15" w:rsidRDefault="004E584F" w:rsidP="004E584F">
      <w:pPr>
        <w:pStyle w:val="Prrafodelista"/>
        <w:numPr>
          <w:ilvl w:val="0"/>
          <w:numId w:val="34"/>
        </w:numPr>
        <w:autoSpaceDE w:val="0"/>
        <w:autoSpaceDN w:val="0"/>
        <w:adjustRightInd w:val="0"/>
        <w:jc w:val="both"/>
        <w:rPr>
          <w:color w:val="000000"/>
          <w:sz w:val="22"/>
          <w:szCs w:val="22"/>
        </w:rPr>
      </w:pPr>
      <w:r w:rsidRPr="00C00C15">
        <w:rPr>
          <w:color w:val="000000"/>
          <w:sz w:val="22"/>
          <w:szCs w:val="22"/>
        </w:rPr>
        <w:t>Constancia de domicilio: a través de copia de pago de servicios, impuestos o un resumen de una tarjeta de crédito; en todos los casos del último mes. De corresponder completar la planilla de verificación de domicilio realizando la entrega del producto en el domicilio del cliente.</w:t>
      </w:r>
    </w:p>
    <w:p w14:paraId="09130580" w14:textId="77777777" w:rsidR="004E584F" w:rsidRPr="00C00C15" w:rsidRDefault="004E584F" w:rsidP="004E584F">
      <w:pPr>
        <w:pStyle w:val="Prrafodelista"/>
        <w:autoSpaceDE w:val="0"/>
        <w:autoSpaceDN w:val="0"/>
        <w:adjustRightInd w:val="0"/>
        <w:spacing w:after="59"/>
        <w:rPr>
          <w:color w:val="000000"/>
          <w:sz w:val="22"/>
          <w:szCs w:val="22"/>
        </w:rPr>
      </w:pPr>
    </w:p>
    <w:p w14:paraId="39C6AB2F" w14:textId="77777777" w:rsidR="004E584F" w:rsidRPr="00C00C15" w:rsidRDefault="004E584F" w:rsidP="004E584F">
      <w:pPr>
        <w:pStyle w:val="Prrafodelista"/>
        <w:numPr>
          <w:ilvl w:val="0"/>
          <w:numId w:val="34"/>
        </w:numPr>
        <w:autoSpaceDE w:val="0"/>
        <w:autoSpaceDN w:val="0"/>
        <w:adjustRightInd w:val="0"/>
        <w:jc w:val="both"/>
        <w:rPr>
          <w:color w:val="000000"/>
          <w:sz w:val="22"/>
          <w:szCs w:val="22"/>
        </w:rPr>
      </w:pPr>
      <w:r w:rsidRPr="00C00C15">
        <w:rPr>
          <w:color w:val="000000"/>
          <w:sz w:val="22"/>
          <w:szCs w:val="22"/>
        </w:rPr>
        <w:t>Justificación de Ingresos:</w:t>
      </w:r>
    </w:p>
    <w:p w14:paraId="15A1FFF2" w14:textId="77777777" w:rsidR="004E584F" w:rsidRPr="00C00C15" w:rsidRDefault="004E584F" w:rsidP="004E584F">
      <w:pPr>
        <w:pStyle w:val="Prrafodelista"/>
        <w:numPr>
          <w:ilvl w:val="0"/>
          <w:numId w:val="33"/>
        </w:numPr>
        <w:autoSpaceDE w:val="0"/>
        <w:autoSpaceDN w:val="0"/>
        <w:adjustRightInd w:val="0"/>
        <w:spacing w:after="44"/>
        <w:jc w:val="both"/>
        <w:rPr>
          <w:color w:val="000000"/>
          <w:sz w:val="22"/>
          <w:szCs w:val="22"/>
        </w:rPr>
      </w:pPr>
      <w:r w:rsidRPr="00C00C15">
        <w:rPr>
          <w:color w:val="000000"/>
          <w:sz w:val="22"/>
          <w:szCs w:val="22"/>
        </w:rPr>
        <w:t>En relación de Dependencia: último recibo de sueldo.</w:t>
      </w:r>
    </w:p>
    <w:p w14:paraId="02E4A08A" w14:textId="77777777" w:rsidR="004E584F" w:rsidRPr="00C00C15" w:rsidRDefault="004E584F" w:rsidP="004E584F">
      <w:pPr>
        <w:pStyle w:val="Prrafodelista"/>
        <w:numPr>
          <w:ilvl w:val="0"/>
          <w:numId w:val="33"/>
        </w:numPr>
        <w:autoSpaceDE w:val="0"/>
        <w:autoSpaceDN w:val="0"/>
        <w:adjustRightInd w:val="0"/>
        <w:spacing w:after="44"/>
        <w:jc w:val="both"/>
        <w:rPr>
          <w:color w:val="000000"/>
          <w:sz w:val="22"/>
          <w:szCs w:val="22"/>
        </w:rPr>
      </w:pPr>
      <w:r w:rsidRPr="00C00C15">
        <w:rPr>
          <w:color w:val="000000"/>
          <w:sz w:val="22"/>
          <w:szCs w:val="22"/>
        </w:rPr>
        <w:t>Jubilados y Pensionados: último recibo de haberes.</w:t>
      </w:r>
    </w:p>
    <w:p w14:paraId="17EF7566" w14:textId="77777777" w:rsidR="004E584F" w:rsidRPr="00C00C15" w:rsidRDefault="004E584F" w:rsidP="004E584F">
      <w:pPr>
        <w:pStyle w:val="Prrafodelista"/>
        <w:numPr>
          <w:ilvl w:val="0"/>
          <w:numId w:val="33"/>
        </w:numPr>
        <w:autoSpaceDE w:val="0"/>
        <w:autoSpaceDN w:val="0"/>
        <w:adjustRightInd w:val="0"/>
        <w:spacing w:after="44"/>
        <w:jc w:val="both"/>
        <w:rPr>
          <w:color w:val="000000"/>
          <w:sz w:val="22"/>
          <w:szCs w:val="22"/>
        </w:rPr>
      </w:pPr>
      <w:r w:rsidRPr="00C00C15">
        <w:rPr>
          <w:color w:val="000000"/>
          <w:sz w:val="22"/>
          <w:szCs w:val="22"/>
        </w:rPr>
        <w:t>Trabajadores autónomos: últimos 3 meses de IIBB, monotributo, última DDJJ de Ganancias.</w:t>
      </w:r>
    </w:p>
    <w:p w14:paraId="5877846D" w14:textId="77777777" w:rsidR="004E584F" w:rsidRPr="00C00C15" w:rsidRDefault="004E584F" w:rsidP="004E584F">
      <w:pPr>
        <w:pStyle w:val="Prrafodelista"/>
        <w:numPr>
          <w:ilvl w:val="0"/>
          <w:numId w:val="33"/>
        </w:numPr>
        <w:autoSpaceDE w:val="0"/>
        <w:autoSpaceDN w:val="0"/>
        <w:adjustRightInd w:val="0"/>
        <w:jc w:val="both"/>
        <w:rPr>
          <w:color w:val="000000"/>
          <w:sz w:val="22"/>
          <w:szCs w:val="22"/>
        </w:rPr>
      </w:pPr>
      <w:r w:rsidRPr="00C00C15">
        <w:rPr>
          <w:color w:val="000000"/>
          <w:sz w:val="22"/>
          <w:szCs w:val="22"/>
        </w:rPr>
        <w:t>Personas Jurídicas: DDJJ de Ganancias.</w:t>
      </w:r>
    </w:p>
    <w:p w14:paraId="7C20272E"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p>
    <w:p w14:paraId="788C0AE4"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p>
    <w:p w14:paraId="2F8ABE59"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Simplificada</w:t>
      </w:r>
      <w:r w:rsidRPr="00C00C15">
        <w:rPr>
          <w:rFonts w:ascii="Times New Roman" w:hAnsi="Times New Roman" w:cs="Times New Roman"/>
          <w:color w:val="000000"/>
          <w:sz w:val="22"/>
          <w:szCs w:val="22"/>
        </w:rPr>
        <w:t>:</w:t>
      </w:r>
    </w:p>
    <w:p w14:paraId="78B516FF" w14:textId="77777777" w:rsidR="004E584F" w:rsidRPr="00C00C15" w:rsidRDefault="004E584F" w:rsidP="004E584F">
      <w:pPr>
        <w:pStyle w:val="Prrafodelista"/>
        <w:numPr>
          <w:ilvl w:val="0"/>
          <w:numId w:val="35"/>
        </w:numPr>
        <w:autoSpaceDE w:val="0"/>
        <w:autoSpaceDN w:val="0"/>
        <w:adjustRightInd w:val="0"/>
        <w:jc w:val="both"/>
        <w:rPr>
          <w:color w:val="000000"/>
          <w:sz w:val="22"/>
          <w:szCs w:val="22"/>
        </w:rPr>
      </w:pPr>
      <w:r w:rsidRPr="00C00C15">
        <w:rPr>
          <w:color w:val="000000"/>
          <w:sz w:val="22"/>
          <w:szCs w:val="22"/>
        </w:rPr>
        <w:t>Identificación</w:t>
      </w:r>
    </w:p>
    <w:p w14:paraId="56403D74" w14:textId="77777777" w:rsidR="004E584F" w:rsidRPr="00C00C15" w:rsidRDefault="004E584F" w:rsidP="004E584F">
      <w:pPr>
        <w:pStyle w:val="Prrafodelista"/>
        <w:numPr>
          <w:ilvl w:val="0"/>
          <w:numId w:val="30"/>
        </w:numPr>
        <w:autoSpaceDE w:val="0"/>
        <w:autoSpaceDN w:val="0"/>
        <w:adjustRightInd w:val="0"/>
        <w:spacing w:after="42"/>
        <w:jc w:val="both"/>
        <w:rPr>
          <w:color w:val="000000"/>
          <w:sz w:val="22"/>
          <w:szCs w:val="22"/>
        </w:rPr>
      </w:pPr>
      <w:r w:rsidRPr="00C00C15">
        <w:rPr>
          <w:color w:val="000000"/>
          <w:sz w:val="22"/>
          <w:szCs w:val="22"/>
        </w:rPr>
        <w:t>DNI.</w:t>
      </w:r>
    </w:p>
    <w:p w14:paraId="79827F0D" w14:textId="77777777" w:rsidR="004E584F" w:rsidRPr="00C00C15" w:rsidRDefault="004E584F" w:rsidP="004E584F">
      <w:pPr>
        <w:pStyle w:val="Prrafodelista"/>
        <w:numPr>
          <w:ilvl w:val="0"/>
          <w:numId w:val="35"/>
        </w:numPr>
        <w:autoSpaceDE w:val="0"/>
        <w:autoSpaceDN w:val="0"/>
        <w:adjustRightInd w:val="0"/>
        <w:jc w:val="both"/>
        <w:rPr>
          <w:color w:val="000000"/>
          <w:sz w:val="22"/>
          <w:szCs w:val="22"/>
        </w:rPr>
      </w:pPr>
      <w:r w:rsidRPr="00C00C15">
        <w:rPr>
          <w:color w:val="000000"/>
          <w:sz w:val="22"/>
          <w:szCs w:val="22"/>
        </w:rPr>
        <w:t>Constancia de domicilio: de corresponder, copia de pago de servicios, impuestos o un resumen de una tarjeta de crédito; en todos los casos del último mes; y/o completar la planilla de verificación de domicilio realizando la entrega del producto en el domicilio del cliente.</w:t>
      </w:r>
    </w:p>
    <w:p w14:paraId="2C67C5B6" w14:textId="77777777" w:rsidR="00FA4633" w:rsidRPr="0066328F" w:rsidRDefault="00FA4633" w:rsidP="00FA4633">
      <w:pPr>
        <w:autoSpaceDE w:val="0"/>
        <w:autoSpaceDN w:val="0"/>
        <w:adjustRightInd w:val="0"/>
        <w:rPr>
          <w:rFonts w:ascii="Times New Roman" w:hAnsi="Times New Roman" w:cs="Times New Roman"/>
          <w:color w:val="000000"/>
          <w:sz w:val="22"/>
          <w:szCs w:val="22"/>
        </w:rPr>
      </w:pPr>
    </w:p>
    <w:p w14:paraId="5E7544C6" w14:textId="77777777" w:rsidR="00FA4633" w:rsidRPr="0066328F" w:rsidRDefault="00FA4633" w:rsidP="00FA4633">
      <w:pPr>
        <w:shd w:val="clear" w:color="auto" w:fill="D9D9D9" w:themeFill="background1" w:themeFillShade="D9"/>
        <w:autoSpaceDE w:val="0"/>
        <w:autoSpaceDN w:val="0"/>
        <w:adjustRightInd w:val="0"/>
        <w:rPr>
          <w:rFonts w:ascii="Times New Roman" w:hAnsi="Times New Roman" w:cs="Times New Roman"/>
          <w:color w:val="000000"/>
          <w:sz w:val="22"/>
          <w:szCs w:val="22"/>
        </w:rPr>
      </w:pPr>
      <w:r w:rsidRPr="0066328F">
        <w:rPr>
          <w:rFonts w:ascii="Times New Roman" w:hAnsi="Times New Roman" w:cs="Times New Roman"/>
          <w:b/>
          <w:bCs/>
          <w:color w:val="000000"/>
          <w:sz w:val="22"/>
          <w:szCs w:val="22"/>
        </w:rPr>
        <w:t>BAZAR AVENIDA S.A. / CONSUMO S.A. - NORMAS DE ORIGINACIÓN – préstamos personales</w:t>
      </w:r>
    </w:p>
    <w:p w14:paraId="53DC5185" w14:textId="77777777" w:rsidR="00FA4633" w:rsidRPr="0066328F" w:rsidRDefault="00FA4633" w:rsidP="00FA4633">
      <w:pPr>
        <w:autoSpaceDE w:val="0"/>
        <w:autoSpaceDN w:val="0"/>
        <w:adjustRightInd w:val="0"/>
        <w:rPr>
          <w:rFonts w:ascii="Times New Roman" w:hAnsi="Times New Roman" w:cs="Times New Roman"/>
          <w:color w:val="000000"/>
          <w:sz w:val="22"/>
          <w:szCs w:val="22"/>
        </w:rPr>
      </w:pPr>
    </w:p>
    <w:p w14:paraId="4630433E" w14:textId="77777777" w:rsidR="00FA4633" w:rsidRPr="0066328F" w:rsidRDefault="00FA4633" w:rsidP="00FA4633">
      <w:pPr>
        <w:autoSpaceDE w:val="0"/>
        <w:autoSpaceDN w:val="0"/>
        <w:adjustRightInd w:val="0"/>
        <w:rPr>
          <w:rFonts w:ascii="Times New Roman" w:hAnsi="Times New Roman" w:cs="Times New Roman"/>
          <w:color w:val="000000"/>
          <w:sz w:val="22"/>
          <w:szCs w:val="22"/>
        </w:rPr>
      </w:pPr>
      <w:r w:rsidRPr="0066328F">
        <w:rPr>
          <w:rFonts w:ascii="Times New Roman" w:hAnsi="Times New Roman" w:cs="Times New Roman"/>
          <w:color w:val="000000"/>
          <w:sz w:val="22"/>
          <w:szCs w:val="22"/>
        </w:rPr>
        <w:t>Rigen las mismas consideraciones que las descriptas para financiación de electrodomésticos, con las siguientes diferencias:</w:t>
      </w:r>
    </w:p>
    <w:p w14:paraId="449078E4" w14:textId="77777777" w:rsidR="00FA4633" w:rsidRPr="0066328F" w:rsidRDefault="00FA4633" w:rsidP="00FA4633">
      <w:pPr>
        <w:autoSpaceDE w:val="0"/>
        <w:autoSpaceDN w:val="0"/>
        <w:adjustRightInd w:val="0"/>
        <w:rPr>
          <w:rFonts w:ascii="Times New Roman" w:hAnsi="Times New Roman" w:cs="Times New Roman"/>
          <w:b/>
          <w:bCs/>
          <w:color w:val="000000"/>
          <w:sz w:val="22"/>
          <w:szCs w:val="22"/>
        </w:rPr>
      </w:pPr>
    </w:p>
    <w:p w14:paraId="757A94B9" w14:textId="77777777" w:rsidR="00FA4633" w:rsidRPr="0066328F" w:rsidRDefault="00FA4633" w:rsidP="00FA4633">
      <w:pPr>
        <w:autoSpaceDE w:val="0"/>
        <w:autoSpaceDN w:val="0"/>
        <w:adjustRightInd w:val="0"/>
        <w:rPr>
          <w:rFonts w:ascii="Times New Roman" w:hAnsi="Times New Roman" w:cs="Times New Roman"/>
          <w:b/>
          <w:bCs/>
          <w:color w:val="000000"/>
          <w:sz w:val="22"/>
          <w:szCs w:val="22"/>
        </w:rPr>
      </w:pPr>
      <w:r w:rsidRPr="0066328F">
        <w:rPr>
          <w:rFonts w:ascii="Times New Roman" w:hAnsi="Times New Roman" w:cs="Times New Roman"/>
          <w:b/>
          <w:bCs/>
          <w:color w:val="000000"/>
          <w:sz w:val="22"/>
          <w:szCs w:val="22"/>
        </w:rPr>
        <w:t>Requisitos de otorgamiento de los préstamos:</w:t>
      </w:r>
    </w:p>
    <w:p w14:paraId="7AA86B80" w14:textId="77777777" w:rsidR="00FA4633" w:rsidRPr="0066328F" w:rsidRDefault="00FA4633" w:rsidP="00FA4633">
      <w:pPr>
        <w:autoSpaceDE w:val="0"/>
        <w:autoSpaceDN w:val="0"/>
        <w:adjustRightInd w:val="0"/>
        <w:rPr>
          <w:rFonts w:ascii="Times New Roman" w:hAnsi="Times New Roman" w:cs="Times New Roman"/>
          <w:color w:val="000000"/>
          <w:sz w:val="22"/>
          <w:szCs w:val="22"/>
        </w:rPr>
      </w:pPr>
    </w:p>
    <w:p w14:paraId="2A30F5BA" w14:textId="77777777" w:rsidR="00FA4633" w:rsidRPr="0066328F" w:rsidRDefault="00FA4633" w:rsidP="00FA4633">
      <w:pPr>
        <w:pStyle w:val="Default0"/>
        <w:spacing w:after="143"/>
        <w:jc w:val="both"/>
        <w:rPr>
          <w:b/>
          <w:sz w:val="22"/>
          <w:szCs w:val="22"/>
        </w:rPr>
      </w:pPr>
      <w:r w:rsidRPr="0066328F">
        <w:rPr>
          <w:b/>
          <w:sz w:val="22"/>
          <w:szCs w:val="22"/>
        </w:rPr>
        <w:t>Capacidad</w:t>
      </w:r>
    </w:p>
    <w:p w14:paraId="334FAD86" w14:textId="77777777" w:rsidR="00FA4633" w:rsidRPr="0066328F" w:rsidRDefault="00FA4633" w:rsidP="00FA4633">
      <w:pPr>
        <w:autoSpaceDE w:val="0"/>
        <w:autoSpaceDN w:val="0"/>
        <w:adjustRightInd w:val="0"/>
        <w:ind w:left="349"/>
        <w:rPr>
          <w:rFonts w:ascii="Times New Roman" w:hAnsi="Times New Roman" w:cs="Times New Roman"/>
          <w:color w:val="000000"/>
          <w:sz w:val="22"/>
          <w:szCs w:val="22"/>
        </w:rPr>
      </w:pPr>
      <w:r w:rsidRPr="0066328F">
        <w:rPr>
          <w:rFonts w:ascii="Times New Roman" w:hAnsi="Times New Roman" w:cs="Times New Roman"/>
          <w:color w:val="000000"/>
          <w:sz w:val="22"/>
          <w:szCs w:val="22"/>
        </w:rPr>
        <w:t>1. Personas Físicas:</w:t>
      </w:r>
    </w:p>
    <w:p w14:paraId="12C0B610" w14:textId="77777777" w:rsidR="00FA4633" w:rsidRPr="0066328F" w:rsidRDefault="00FA4633" w:rsidP="00FA4633">
      <w:pPr>
        <w:pStyle w:val="Prrafodelista"/>
        <w:numPr>
          <w:ilvl w:val="0"/>
          <w:numId w:val="30"/>
        </w:numPr>
        <w:autoSpaceDE w:val="0"/>
        <w:autoSpaceDN w:val="0"/>
        <w:adjustRightInd w:val="0"/>
        <w:spacing w:after="120"/>
        <w:ind w:left="709" w:hanging="357"/>
        <w:jc w:val="both"/>
        <w:rPr>
          <w:color w:val="000000"/>
          <w:sz w:val="22"/>
          <w:szCs w:val="22"/>
        </w:rPr>
      </w:pPr>
      <w:r w:rsidRPr="0066328F">
        <w:rPr>
          <w:color w:val="000000"/>
          <w:sz w:val="22"/>
          <w:szCs w:val="22"/>
        </w:rPr>
        <w:t>Mayores de 21 años y hasta 79 años.</w:t>
      </w:r>
    </w:p>
    <w:p w14:paraId="06154920" w14:textId="77777777" w:rsidR="00FA4633" w:rsidRPr="0066328F" w:rsidRDefault="00FA4633" w:rsidP="00FA4633">
      <w:pPr>
        <w:autoSpaceDE w:val="0"/>
        <w:autoSpaceDN w:val="0"/>
        <w:adjustRightInd w:val="0"/>
        <w:spacing w:after="114"/>
        <w:ind w:left="349"/>
        <w:rPr>
          <w:rFonts w:ascii="Times New Roman" w:hAnsi="Times New Roman" w:cs="Times New Roman"/>
          <w:color w:val="000000"/>
          <w:sz w:val="22"/>
          <w:szCs w:val="22"/>
        </w:rPr>
      </w:pPr>
      <w:r w:rsidRPr="0066328F">
        <w:rPr>
          <w:rFonts w:ascii="Times New Roman" w:hAnsi="Times New Roman" w:cs="Times New Roman"/>
          <w:color w:val="000000"/>
          <w:sz w:val="22"/>
          <w:szCs w:val="22"/>
        </w:rPr>
        <w:t>2. Personas Jurídicas: no se vende.</w:t>
      </w:r>
    </w:p>
    <w:p w14:paraId="79A304C6" w14:textId="6AFD0E08" w:rsidR="00FA4633" w:rsidRPr="0066328F" w:rsidRDefault="00FA4633" w:rsidP="00FA4633">
      <w:pPr>
        <w:autoSpaceDE w:val="0"/>
        <w:autoSpaceDN w:val="0"/>
        <w:adjustRightInd w:val="0"/>
        <w:spacing w:after="114"/>
        <w:rPr>
          <w:rFonts w:ascii="Times New Roman" w:hAnsi="Times New Roman" w:cs="Times New Roman"/>
          <w:color w:val="000000"/>
          <w:sz w:val="22"/>
          <w:szCs w:val="22"/>
        </w:rPr>
      </w:pPr>
      <w:r w:rsidRPr="0066328F">
        <w:rPr>
          <w:rFonts w:ascii="Times New Roman" w:hAnsi="Times New Roman" w:cs="Times New Roman"/>
          <w:b/>
          <w:color w:val="000000"/>
          <w:sz w:val="22"/>
          <w:szCs w:val="22"/>
        </w:rPr>
        <w:t>Capital a prestar</w:t>
      </w:r>
      <w:r w:rsidRPr="0066328F">
        <w:rPr>
          <w:rFonts w:ascii="Times New Roman" w:hAnsi="Times New Roman" w:cs="Times New Roman"/>
          <w:color w:val="000000"/>
          <w:sz w:val="22"/>
          <w:szCs w:val="22"/>
        </w:rPr>
        <w:t xml:space="preserve">: </w:t>
      </w:r>
      <w:r w:rsidRPr="0066328F">
        <w:rPr>
          <w:rFonts w:ascii="Times New Roman" w:hAnsi="Times New Roman" w:cs="Times New Roman"/>
          <w:sz w:val="22"/>
          <w:szCs w:val="22"/>
        </w:rPr>
        <w:t xml:space="preserve">hasta </w:t>
      </w:r>
      <w:r w:rsidRPr="00CD415E">
        <w:rPr>
          <w:rFonts w:ascii="Times New Roman" w:hAnsi="Times New Roman"/>
          <w:sz w:val="22"/>
          <w:szCs w:val="22"/>
          <w:lang w:val="es-AR"/>
        </w:rPr>
        <w:t>$</w:t>
      </w:r>
      <w:r w:rsidR="00664B99">
        <w:rPr>
          <w:rFonts w:ascii="Times New Roman" w:hAnsi="Times New Roman"/>
          <w:sz w:val="22"/>
          <w:szCs w:val="22"/>
          <w:lang w:val="es-AR"/>
        </w:rPr>
        <w:t>3</w:t>
      </w:r>
      <w:r w:rsidR="009E0508">
        <w:rPr>
          <w:rFonts w:ascii="Times New Roman" w:hAnsi="Times New Roman" w:cs="Times New Roman"/>
          <w:sz w:val="22"/>
          <w:szCs w:val="22"/>
          <w:lang w:val="es-AR"/>
        </w:rPr>
        <w:t>7</w:t>
      </w:r>
      <w:r w:rsidR="004E584F" w:rsidRPr="0066328F">
        <w:rPr>
          <w:rFonts w:ascii="Times New Roman" w:hAnsi="Times New Roman" w:cs="Times New Roman"/>
          <w:sz w:val="22"/>
          <w:szCs w:val="22"/>
          <w:lang w:val="es-AR"/>
        </w:rPr>
        <w:t>5</w:t>
      </w:r>
      <w:r w:rsidRPr="00CD415E">
        <w:rPr>
          <w:rFonts w:ascii="Times New Roman" w:hAnsi="Times New Roman"/>
          <w:sz w:val="22"/>
          <w:szCs w:val="22"/>
          <w:lang w:val="es-AR"/>
        </w:rPr>
        <w:t xml:space="preserve">.000 </w:t>
      </w:r>
      <w:r w:rsidRPr="0066328F">
        <w:rPr>
          <w:rFonts w:ascii="Times New Roman" w:hAnsi="Times New Roman" w:cs="Times New Roman"/>
          <w:color w:val="000000"/>
          <w:sz w:val="22"/>
          <w:szCs w:val="22"/>
        </w:rPr>
        <w:t>según nivel de riesgo.</w:t>
      </w:r>
    </w:p>
    <w:p w14:paraId="7DFB09F3" w14:textId="77777777" w:rsidR="00FA4633" w:rsidRPr="0066328F" w:rsidRDefault="00FA4633" w:rsidP="00FA4633">
      <w:pPr>
        <w:autoSpaceDE w:val="0"/>
        <w:autoSpaceDN w:val="0"/>
        <w:adjustRightInd w:val="0"/>
        <w:spacing w:after="114"/>
        <w:rPr>
          <w:rFonts w:ascii="Times New Roman" w:hAnsi="Times New Roman" w:cs="Times New Roman"/>
          <w:color w:val="000000"/>
          <w:sz w:val="22"/>
          <w:szCs w:val="22"/>
        </w:rPr>
      </w:pPr>
      <w:r w:rsidRPr="0066328F">
        <w:rPr>
          <w:rFonts w:ascii="Times New Roman" w:hAnsi="Times New Roman" w:cs="Times New Roman"/>
          <w:b/>
          <w:color w:val="000000"/>
          <w:sz w:val="22"/>
          <w:szCs w:val="22"/>
        </w:rPr>
        <w:t>Ingresos Límites</w:t>
      </w:r>
      <w:r w:rsidRPr="0066328F">
        <w:rPr>
          <w:rFonts w:ascii="Times New Roman" w:hAnsi="Times New Roman" w:cs="Times New Roman"/>
          <w:color w:val="000000"/>
          <w:sz w:val="22"/>
          <w:szCs w:val="22"/>
        </w:rPr>
        <w:t>: hasta 5 ingresos; máximo capital otorgado acumulado.</w:t>
      </w:r>
    </w:p>
    <w:p w14:paraId="22B9B062" w14:textId="77777777" w:rsidR="00FA4633" w:rsidRPr="0066328F" w:rsidRDefault="00FA4633" w:rsidP="00FA4633">
      <w:pPr>
        <w:autoSpaceDE w:val="0"/>
        <w:autoSpaceDN w:val="0"/>
        <w:adjustRightInd w:val="0"/>
        <w:spacing w:after="114"/>
        <w:rPr>
          <w:rFonts w:ascii="Times New Roman" w:hAnsi="Times New Roman" w:cs="Times New Roman"/>
          <w:color w:val="000000"/>
          <w:sz w:val="22"/>
          <w:szCs w:val="22"/>
        </w:rPr>
      </w:pPr>
      <w:r w:rsidRPr="0066328F">
        <w:rPr>
          <w:rFonts w:ascii="Times New Roman" w:hAnsi="Times New Roman" w:cs="Times New Roman"/>
          <w:b/>
          <w:color w:val="000000"/>
          <w:sz w:val="22"/>
          <w:szCs w:val="22"/>
        </w:rPr>
        <w:t>Plazo</w:t>
      </w:r>
      <w:r w:rsidRPr="0066328F">
        <w:rPr>
          <w:rFonts w:ascii="Times New Roman" w:hAnsi="Times New Roman" w:cs="Times New Roman"/>
          <w:color w:val="000000"/>
          <w:sz w:val="22"/>
          <w:szCs w:val="22"/>
        </w:rPr>
        <w:t>: hasta 24 cuotas.</w:t>
      </w:r>
    </w:p>
    <w:p w14:paraId="48B051E1" w14:textId="77777777" w:rsidR="00FA4633" w:rsidRPr="0066328F" w:rsidRDefault="00FA4633" w:rsidP="00FA4633">
      <w:pPr>
        <w:autoSpaceDE w:val="0"/>
        <w:autoSpaceDN w:val="0"/>
        <w:adjustRightInd w:val="0"/>
        <w:rPr>
          <w:rFonts w:ascii="Times New Roman" w:hAnsi="Times New Roman" w:cs="Times New Roman"/>
          <w:color w:val="000000"/>
          <w:sz w:val="22"/>
          <w:szCs w:val="22"/>
        </w:rPr>
      </w:pPr>
      <w:r w:rsidRPr="0066328F">
        <w:rPr>
          <w:rFonts w:ascii="Times New Roman" w:hAnsi="Times New Roman" w:cs="Times New Roman"/>
          <w:b/>
          <w:color w:val="000000"/>
          <w:sz w:val="22"/>
          <w:szCs w:val="22"/>
        </w:rPr>
        <w:t>Antigüedad</w:t>
      </w:r>
      <w:r w:rsidRPr="0066328F">
        <w:rPr>
          <w:rFonts w:ascii="Times New Roman" w:hAnsi="Times New Roman" w:cs="Times New Roman"/>
          <w:color w:val="000000"/>
          <w:sz w:val="22"/>
          <w:szCs w:val="22"/>
        </w:rPr>
        <w:t>:</w:t>
      </w:r>
    </w:p>
    <w:p w14:paraId="2F41FA02" w14:textId="1496041A" w:rsidR="00FA4633" w:rsidRPr="0066328F" w:rsidRDefault="009F2827" w:rsidP="00FA4633">
      <w:pPr>
        <w:pStyle w:val="Prrafodelista"/>
        <w:numPr>
          <w:ilvl w:val="0"/>
          <w:numId w:val="30"/>
        </w:numPr>
        <w:autoSpaceDE w:val="0"/>
        <w:autoSpaceDN w:val="0"/>
        <w:adjustRightInd w:val="0"/>
        <w:spacing w:after="261"/>
        <w:ind w:left="709"/>
        <w:jc w:val="both"/>
        <w:rPr>
          <w:color w:val="000000"/>
          <w:sz w:val="22"/>
          <w:szCs w:val="22"/>
        </w:rPr>
      </w:pPr>
      <w:r w:rsidRPr="00C00C15">
        <w:rPr>
          <w:color w:val="000000"/>
          <w:sz w:val="22"/>
          <w:szCs w:val="22"/>
        </w:rPr>
        <w:t xml:space="preserve">Empleados en relación de dependencia: </w:t>
      </w:r>
      <w:r w:rsidR="00FA4633" w:rsidRPr="0066328F">
        <w:rPr>
          <w:color w:val="000000"/>
          <w:sz w:val="22"/>
          <w:szCs w:val="22"/>
        </w:rPr>
        <w:t xml:space="preserve">Se requiere antigüedad mínima de </w:t>
      </w:r>
      <w:r w:rsidR="004E584F" w:rsidRPr="0066328F">
        <w:rPr>
          <w:color w:val="000000"/>
          <w:sz w:val="22"/>
          <w:szCs w:val="22"/>
        </w:rPr>
        <w:t>6</w:t>
      </w:r>
      <w:r w:rsidR="00FA4633" w:rsidRPr="0066328F">
        <w:rPr>
          <w:color w:val="000000"/>
          <w:sz w:val="22"/>
          <w:szCs w:val="22"/>
        </w:rPr>
        <w:t xml:space="preserve"> meses.</w:t>
      </w:r>
    </w:p>
    <w:p w14:paraId="4C27B81F" w14:textId="77777777" w:rsidR="00FA4633" w:rsidRPr="0066328F" w:rsidRDefault="00FA4633" w:rsidP="00FA4633">
      <w:pPr>
        <w:shd w:val="clear" w:color="auto" w:fill="BFBFBF" w:themeFill="background1" w:themeFillShade="BF"/>
        <w:autoSpaceDE w:val="0"/>
        <w:autoSpaceDN w:val="0"/>
        <w:adjustRightInd w:val="0"/>
        <w:rPr>
          <w:rFonts w:ascii="Times New Roman" w:hAnsi="Times New Roman" w:cs="Times New Roman"/>
          <w:color w:val="000000"/>
          <w:sz w:val="22"/>
          <w:szCs w:val="22"/>
        </w:rPr>
      </w:pPr>
      <w:r w:rsidRPr="0066328F">
        <w:rPr>
          <w:rFonts w:ascii="Times New Roman" w:hAnsi="Times New Roman" w:cs="Times New Roman"/>
          <w:b/>
          <w:bCs/>
          <w:color w:val="000000"/>
          <w:sz w:val="22"/>
          <w:szCs w:val="22"/>
        </w:rPr>
        <w:t>BAZAR AVENIDA S.A. / CONSUMO S.A. - PROCEDIMIENTO DE COBRANZAS</w:t>
      </w:r>
    </w:p>
    <w:p w14:paraId="2ACF6005" w14:textId="77777777" w:rsidR="00FA4633" w:rsidRPr="0066328F" w:rsidRDefault="00FA4633" w:rsidP="00FA4633">
      <w:pPr>
        <w:autoSpaceDE w:val="0"/>
        <w:autoSpaceDN w:val="0"/>
        <w:adjustRightInd w:val="0"/>
        <w:rPr>
          <w:rFonts w:ascii="Times New Roman" w:hAnsi="Times New Roman" w:cs="Times New Roman"/>
          <w:b/>
          <w:bCs/>
          <w:color w:val="000000"/>
          <w:sz w:val="22"/>
          <w:szCs w:val="22"/>
        </w:rPr>
      </w:pPr>
    </w:p>
    <w:p w14:paraId="5E42A1D5"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 xml:space="preserve">Vencimiento cuotas: </w:t>
      </w:r>
    </w:p>
    <w:p w14:paraId="3D475B52"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color w:val="000000"/>
          <w:sz w:val="22"/>
          <w:szCs w:val="22"/>
        </w:rPr>
        <w:t xml:space="preserve">Las cuotas vencen el día 1 de cada mes. </w:t>
      </w:r>
    </w:p>
    <w:p w14:paraId="758724B0" w14:textId="77777777" w:rsidR="004E584F" w:rsidRPr="00C00C15" w:rsidRDefault="004E584F" w:rsidP="004E584F">
      <w:pPr>
        <w:autoSpaceDE w:val="0"/>
        <w:autoSpaceDN w:val="0"/>
        <w:adjustRightInd w:val="0"/>
        <w:rPr>
          <w:rFonts w:ascii="Times New Roman" w:hAnsi="Times New Roman" w:cs="Times New Roman"/>
          <w:b/>
          <w:bCs/>
          <w:color w:val="000000"/>
          <w:sz w:val="22"/>
          <w:szCs w:val="22"/>
        </w:rPr>
      </w:pPr>
    </w:p>
    <w:p w14:paraId="5C977437"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b/>
          <w:bCs/>
          <w:color w:val="000000"/>
          <w:sz w:val="22"/>
          <w:szCs w:val="22"/>
        </w:rPr>
        <w:t xml:space="preserve">Lugares y mecanismos de cobro de cuotas: </w:t>
      </w:r>
    </w:p>
    <w:p w14:paraId="39523A9F"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 xml:space="preserve">1. En las bocas habilitadas de la red de Cobro Express (TINSA S.A.) </w:t>
      </w:r>
    </w:p>
    <w:p w14:paraId="229FBB08"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 xml:space="preserve">2. En las bocas habilitadas de los Agentes Externos de Recaudación subcontratados por TINSA S.A. </w:t>
      </w:r>
    </w:p>
    <w:p w14:paraId="64D6F081"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 xml:space="preserve">3. Transferencia Bancaria a cuentas de Cobro Express (TINSA S.A.) </w:t>
      </w:r>
    </w:p>
    <w:p w14:paraId="24D57376"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4. Depósito Bancario a cuentas de Cobro Express (TINSA S.A.)</w:t>
      </w:r>
    </w:p>
    <w:p w14:paraId="2BBB2D3E"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5. Botones de Pago (recauda Bazar)</w:t>
      </w:r>
    </w:p>
    <w:p w14:paraId="46C35FEA"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6. Link Pagos (recauda Bazar)</w:t>
      </w:r>
    </w:p>
    <w:p w14:paraId="50437D48" w14:textId="77777777" w:rsidR="004E584F" w:rsidRPr="00C00C15" w:rsidRDefault="004E584F" w:rsidP="004E584F">
      <w:pPr>
        <w:autoSpaceDE w:val="0"/>
        <w:autoSpaceDN w:val="0"/>
        <w:adjustRightInd w:val="0"/>
        <w:spacing w:after="84"/>
        <w:rPr>
          <w:rFonts w:ascii="Times New Roman" w:hAnsi="Times New Roman" w:cs="Times New Roman"/>
          <w:color w:val="000000"/>
          <w:sz w:val="22"/>
          <w:szCs w:val="22"/>
        </w:rPr>
      </w:pPr>
      <w:r w:rsidRPr="00C00C15">
        <w:rPr>
          <w:rFonts w:ascii="Times New Roman" w:hAnsi="Times New Roman" w:cs="Times New Roman"/>
          <w:color w:val="000000"/>
          <w:sz w:val="22"/>
          <w:szCs w:val="22"/>
        </w:rPr>
        <w:t>7. Portal de Pagos en nuestra página WEB (recauda Bazar)</w:t>
      </w:r>
    </w:p>
    <w:p w14:paraId="482A14DD"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p>
    <w:p w14:paraId="116F36BC" w14:textId="77777777" w:rsidR="004E584F" w:rsidRPr="00C00C15" w:rsidRDefault="004E584F" w:rsidP="004E584F">
      <w:pPr>
        <w:autoSpaceDE w:val="0"/>
        <w:autoSpaceDN w:val="0"/>
        <w:adjustRightInd w:val="0"/>
        <w:rPr>
          <w:rFonts w:ascii="Times New Roman" w:hAnsi="Times New Roman" w:cs="Times New Roman"/>
          <w:color w:val="000000"/>
          <w:sz w:val="22"/>
          <w:szCs w:val="22"/>
        </w:rPr>
      </w:pPr>
      <w:r w:rsidRPr="00C00C15">
        <w:rPr>
          <w:rFonts w:ascii="Times New Roman" w:hAnsi="Times New Roman" w:cs="Times New Roman"/>
          <w:color w:val="000000"/>
          <w:sz w:val="22"/>
          <w:szCs w:val="22"/>
        </w:rPr>
        <w:t>El cliente recibe mensualmente Resumen de Cuenta vía correo electrónico con detalle de las cuotas a abonar, gastos e intereses punitorios, si correspondieran en caso de atraso. El resumen de Cuenta puede obtenerse, también, ingresando a la página web de Megatone.</w:t>
      </w:r>
    </w:p>
    <w:p w14:paraId="7293729B" w14:textId="77777777" w:rsidR="004E584F" w:rsidRPr="0066328F" w:rsidRDefault="004E584F" w:rsidP="004E584F">
      <w:pPr>
        <w:pStyle w:val="Default0"/>
        <w:jc w:val="both"/>
        <w:rPr>
          <w:b/>
          <w:bCs/>
          <w:sz w:val="22"/>
          <w:szCs w:val="22"/>
        </w:rPr>
      </w:pPr>
    </w:p>
    <w:p w14:paraId="1DA099E0" w14:textId="77777777" w:rsidR="004E584F" w:rsidRPr="0066328F" w:rsidRDefault="004E584F" w:rsidP="004E584F">
      <w:pPr>
        <w:pStyle w:val="Default0"/>
        <w:jc w:val="both"/>
        <w:rPr>
          <w:sz w:val="22"/>
          <w:szCs w:val="22"/>
        </w:rPr>
      </w:pPr>
      <w:r w:rsidRPr="0066328F">
        <w:rPr>
          <w:b/>
          <w:bCs/>
          <w:sz w:val="22"/>
          <w:szCs w:val="22"/>
        </w:rPr>
        <w:t xml:space="preserve">Proceso de reclamo y cobranza de cuentas en mora: </w:t>
      </w:r>
    </w:p>
    <w:p w14:paraId="353BD9B4" w14:textId="77777777" w:rsidR="004E584F" w:rsidRPr="0066328F" w:rsidRDefault="004E584F" w:rsidP="004E584F">
      <w:pPr>
        <w:pStyle w:val="Default0"/>
        <w:jc w:val="both"/>
        <w:rPr>
          <w:sz w:val="22"/>
          <w:szCs w:val="22"/>
        </w:rPr>
      </w:pPr>
      <w:r w:rsidRPr="0066328F">
        <w:rPr>
          <w:b/>
          <w:bCs/>
          <w:sz w:val="22"/>
          <w:szCs w:val="22"/>
        </w:rPr>
        <w:t xml:space="preserve">Vencimientos: </w:t>
      </w:r>
    </w:p>
    <w:p w14:paraId="541B9220" w14:textId="77777777" w:rsidR="004E584F" w:rsidRPr="0066328F" w:rsidRDefault="004E584F" w:rsidP="004E584F">
      <w:pPr>
        <w:pStyle w:val="Default0"/>
        <w:jc w:val="both"/>
        <w:rPr>
          <w:sz w:val="22"/>
          <w:szCs w:val="22"/>
        </w:rPr>
      </w:pPr>
      <w:r w:rsidRPr="0066328F">
        <w:rPr>
          <w:sz w:val="22"/>
          <w:szCs w:val="22"/>
        </w:rPr>
        <w:t xml:space="preserve">Un crédito se constituye en mora cuando no fue abonada la cuota a partir del día 11 de operado un vencimiento sin haber registrado pago. </w:t>
      </w:r>
    </w:p>
    <w:p w14:paraId="40C1B742" w14:textId="77777777" w:rsidR="004E584F" w:rsidRPr="0066328F" w:rsidRDefault="004E584F" w:rsidP="004E584F">
      <w:pPr>
        <w:pStyle w:val="Default0"/>
        <w:jc w:val="both"/>
        <w:rPr>
          <w:sz w:val="22"/>
          <w:szCs w:val="22"/>
        </w:rPr>
      </w:pPr>
      <w:r w:rsidRPr="0066328F">
        <w:rPr>
          <w:sz w:val="22"/>
          <w:szCs w:val="22"/>
        </w:rPr>
        <w:t xml:space="preserve">A partir del día 12 de operado el vencimiento sin haber percibido cobranza, comienzan entonces las acciones de reclamo. </w:t>
      </w:r>
    </w:p>
    <w:p w14:paraId="62A02C73" w14:textId="77777777" w:rsidR="004E584F" w:rsidRPr="0066328F" w:rsidRDefault="004E584F" w:rsidP="004E584F">
      <w:pPr>
        <w:pStyle w:val="Default0"/>
        <w:jc w:val="both"/>
        <w:rPr>
          <w:sz w:val="22"/>
          <w:szCs w:val="22"/>
        </w:rPr>
      </w:pPr>
    </w:p>
    <w:p w14:paraId="35D630F0" w14:textId="77777777" w:rsidR="004E584F" w:rsidRPr="0066328F" w:rsidRDefault="004E584F" w:rsidP="004E584F">
      <w:pPr>
        <w:pStyle w:val="Default0"/>
        <w:spacing w:after="136"/>
        <w:jc w:val="both"/>
        <w:rPr>
          <w:sz w:val="22"/>
          <w:szCs w:val="22"/>
        </w:rPr>
      </w:pPr>
      <w:r w:rsidRPr="0066328F">
        <w:rPr>
          <w:b/>
          <w:bCs/>
          <w:sz w:val="22"/>
          <w:szCs w:val="22"/>
        </w:rPr>
        <w:t xml:space="preserve">Gestión de reclamo de clientes en mora: </w:t>
      </w:r>
    </w:p>
    <w:p w14:paraId="75203602" w14:textId="77777777" w:rsidR="004E584F" w:rsidRPr="0066328F" w:rsidRDefault="004E584F" w:rsidP="004E584F">
      <w:pPr>
        <w:pStyle w:val="Default0"/>
        <w:jc w:val="both"/>
        <w:rPr>
          <w:sz w:val="22"/>
          <w:szCs w:val="22"/>
        </w:rPr>
      </w:pPr>
      <w:r w:rsidRPr="0066328F">
        <w:rPr>
          <w:sz w:val="22"/>
          <w:szCs w:val="22"/>
        </w:rPr>
        <w:t xml:space="preserve">1. </w:t>
      </w:r>
      <w:r w:rsidRPr="0066328F">
        <w:rPr>
          <w:b/>
          <w:bCs/>
          <w:sz w:val="22"/>
          <w:szCs w:val="22"/>
        </w:rPr>
        <w:t>Segmentación de clientes</w:t>
      </w:r>
      <w:r w:rsidRPr="0066328F">
        <w:rPr>
          <w:sz w:val="22"/>
          <w:szCs w:val="22"/>
        </w:rPr>
        <w:t xml:space="preserve">: </w:t>
      </w:r>
    </w:p>
    <w:p w14:paraId="6FC4EE39" w14:textId="77777777" w:rsidR="004E584F" w:rsidRPr="0066328F" w:rsidRDefault="004E584F" w:rsidP="004E584F">
      <w:pPr>
        <w:pStyle w:val="Default0"/>
        <w:jc w:val="both"/>
        <w:rPr>
          <w:sz w:val="22"/>
          <w:szCs w:val="22"/>
        </w:rPr>
      </w:pPr>
    </w:p>
    <w:p w14:paraId="70F3F884" w14:textId="77777777" w:rsidR="004E584F" w:rsidRPr="0066328F" w:rsidRDefault="004E584F" w:rsidP="004E584F">
      <w:pPr>
        <w:pStyle w:val="Default0"/>
        <w:jc w:val="both"/>
        <w:rPr>
          <w:sz w:val="22"/>
          <w:szCs w:val="22"/>
        </w:rPr>
      </w:pPr>
      <w:r w:rsidRPr="0066328F">
        <w:rPr>
          <w:sz w:val="22"/>
          <w:szCs w:val="22"/>
        </w:rPr>
        <w:t xml:space="preserve">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 </w:t>
      </w:r>
    </w:p>
    <w:p w14:paraId="5A91CAE0" w14:textId="77777777" w:rsidR="004E584F" w:rsidRPr="0066328F" w:rsidRDefault="004E584F" w:rsidP="004E584F">
      <w:pPr>
        <w:pStyle w:val="Default0"/>
        <w:jc w:val="both"/>
        <w:rPr>
          <w:sz w:val="22"/>
          <w:szCs w:val="22"/>
        </w:rPr>
      </w:pPr>
      <w:r w:rsidRPr="0066328F">
        <w:rPr>
          <w:sz w:val="22"/>
          <w:szCs w:val="22"/>
        </w:rPr>
        <w:t>Esta segmentación define el nivel de las acciones de reclamo (tipo y escalonamiento) registrado el vencimiento:</w:t>
      </w:r>
    </w:p>
    <w:p w14:paraId="2620D502" w14:textId="77777777" w:rsidR="004E584F" w:rsidRPr="0066328F" w:rsidRDefault="004E584F" w:rsidP="004E584F">
      <w:pPr>
        <w:pStyle w:val="Default0"/>
        <w:spacing w:after="86"/>
        <w:jc w:val="both"/>
        <w:rPr>
          <w:sz w:val="22"/>
          <w:szCs w:val="22"/>
        </w:rPr>
      </w:pPr>
      <w:r w:rsidRPr="0066328F">
        <w:rPr>
          <w:sz w:val="22"/>
          <w:szCs w:val="22"/>
        </w:rPr>
        <w:t xml:space="preserve">– Mensajes de texto </w:t>
      </w:r>
    </w:p>
    <w:p w14:paraId="54987B34" w14:textId="77777777" w:rsidR="004E584F" w:rsidRPr="0066328F" w:rsidRDefault="004E584F" w:rsidP="004E584F">
      <w:pPr>
        <w:pStyle w:val="Default0"/>
        <w:spacing w:after="86"/>
        <w:jc w:val="both"/>
        <w:rPr>
          <w:sz w:val="22"/>
          <w:szCs w:val="22"/>
        </w:rPr>
      </w:pPr>
      <w:r w:rsidRPr="0066328F">
        <w:rPr>
          <w:sz w:val="22"/>
          <w:szCs w:val="22"/>
        </w:rPr>
        <w:t xml:space="preserve">– Mensaje telefónico de voz </w:t>
      </w:r>
    </w:p>
    <w:p w14:paraId="78BB4CAF" w14:textId="77777777" w:rsidR="004E584F" w:rsidRPr="0066328F" w:rsidRDefault="004E584F" w:rsidP="004E584F">
      <w:pPr>
        <w:pStyle w:val="Default0"/>
        <w:spacing w:after="86"/>
        <w:jc w:val="both"/>
        <w:rPr>
          <w:sz w:val="22"/>
          <w:szCs w:val="22"/>
        </w:rPr>
      </w:pPr>
      <w:r w:rsidRPr="0066328F">
        <w:rPr>
          <w:sz w:val="22"/>
          <w:szCs w:val="22"/>
        </w:rPr>
        <w:t xml:space="preserve">– Llamados a teléfonos particulares </w:t>
      </w:r>
    </w:p>
    <w:p w14:paraId="4479CAC3" w14:textId="77777777" w:rsidR="004E584F" w:rsidRPr="0066328F" w:rsidRDefault="004E584F" w:rsidP="004E584F">
      <w:pPr>
        <w:pStyle w:val="Default0"/>
        <w:spacing w:after="86"/>
        <w:jc w:val="both"/>
        <w:rPr>
          <w:sz w:val="22"/>
          <w:szCs w:val="22"/>
        </w:rPr>
      </w:pPr>
      <w:r w:rsidRPr="0066328F">
        <w:rPr>
          <w:sz w:val="22"/>
          <w:szCs w:val="22"/>
        </w:rPr>
        <w:t xml:space="preserve">– Llamados a teléfonos laborales </w:t>
      </w:r>
    </w:p>
    <w:p w14:paraId="0F6477FB" w14:textId="77777777" w:rsidR="004E584F" w:rsidRPr="0066328F" w:rsidRDefault="004E584F" w:rsidP="004E584F">
      <w:pPr>
        <w:pStyle w:val="Default0"/>
        <w:spacing w:after="86"/>
        <w:jc w:val="both"/>
        <w:rPr>
          <w:sz w:val="22"/>
          <w:szCs w:val="22"/>
        </w:rPr>
      </w:pPr>
      <w:r w:rsidRPr="0066328F">
        <w:rPr>
          <w:sz w:val="22"/>
          <w:szCs w:val="22"/>
        </w:rPr>
        <w:t xml:space="preserve">– Llamados a teléfonos vinculados (familiares o de referencia) </w:t>
      </w:r>
    </w:p>
    <w:p w14:paraId="1C5B8332" w14:textId="77777777" w:rsidR="004E584F" w:rsidRPr="0066328F" w:rsidRDefault="004E584F" w:rsidP="004E584F">
      <w:pPr>
        <w:pStyle w:val="Default0"/>
        <w:spacing w:after="86"/>
        <w:jc w:val="both"/>
        <w:rPr>
          <w:sz w:val="22"/>
          <w:szCs w:val="22"/>
        </w:rPr>
      </w:pPr>
      <w:r w:rsidRPr="0066328F">
        <w:rPr>
          <w:sz w:val="22"/>
          <w:szCs w:val="22"/>
        </w:rPr>
        <w:t xml:space="preserve">– Cartas </w:t>
      </w:r>
    </w:p>
    <w:p w14:paraId="7DC4D2AD" w14:textId="77777777" w:rsidR="004E584F" w:rsidRPr="0066328F" w:rsidRDefault="004E584F" w:rsidP="004E584F">
      <w:pPr>
        <w:pStyle w:val="Default0"/>
        <w:jc w:val="both"/>
        <w:rPr>
          <w:sz w:val="22"/>
          <w:szCs w:val="22"/>
        </w:rPr>
      </w:pPr>
      <w:r w:rsidRPr="0066328F">
        <w:rPr>
          <w:sz w:val="22"/>
          <w:szCs w:val="22"/>
        </w:rPr>
        <w:t xml:space="preserve">– Llamados preventivos informando de próximos vencimientos </w:t>
      </w:r>
    </w:p>
    <w:p w14:paraId="02D33BED" w14:textId="77777777" w:rsidR="004E584F" w:rsidRPr="0066328F" w:rsidRDefault="004E584F" w:rsidP="004E584F">
      <w:pPr>
        <w:pStyle w:val="Default0"/>
        <w:jc w:val="both"/>
        <w:rPr>
          <w:sz w:val="22"/>
          <w:szCs w:val="22"/>
        </w:rPr>
      </w:pPr>
    </w:p>
    <w:p w14:paraId="7CAE96FC" w14:textId="77777777" w:rsidR="004E584F" w:rsidRPr="0066328F" w:rsidRDefault="004E584F" w:rsidP="004E584F">
      <w:pPr>
        <w:pStyle w:val="Default0"/>
        <w:jc w:val="both"/>
        <w:rPr>
          <w:sz w:val="22"/>
          <w:szCs w:val="22"/>
        </w:rPr>
      </w:pPr>
      <w:r w:rsidRPr="0066328F">
        <w:rPr>
          <w:sz w:val="22"/>
          <w:szCs w:val="22"/>
        </w:rPr>
        <w:t xml:space="preserve">Esta metodología de trabajo impacta muy positivamente en el recupero de cuentas bajando sustancialmente el porcentaje de mora, al poder concentrar los esfuerzos de gestión según la probabilidad de morosidad de la cuenta. </w:t>
      </w:r>
    </w:p>
    <w:p w14:paraId="50E341FA" w14:textId="77777777" w:rsidR="004E584F" w:rsidRPr="00063014" w:rsidRDefault="004E584F" w:rsidP="004E584F">
      <w:pPr>
        <w:pStyle w:val="Default0"/>
        <w:spacing w:after="198"/>
        <w:jc w:val="both"/>
        <w:rPr>
          <w:b/>
          <w:bCs/>
          <w:sz w:val="22"/>
          <w:szCs w:val="22"/>
        </w:rPr>
      </w:pPr>
    </w:p>
    <w:p w14:paraId="3966EB1D" w14:textId="77777777" w:rsidR="004E584F" w:rsidRPr="00063014" w:rsidRDefault="004E584F" w:rsidP="004E584F">
      <w:pPr>
        <w:pStyle w:val="Default0"/>
        <w:spacing w:after="198"/>
        <w:jc w:val="both"/>
        <w:rPr>
          <w:sz w:val="22"/>
          <w:szCs w:val="22"/>
        </w:rPr>
      </w:pPr>
      <w:r w:rsidRPr="00063014">
        <w:rPr>
          <w:b/>
          <w:bCs/>
          <w:sz w:val="22"/>
          <w:szCs w:val="22"/>
        </w:rPr>
        <w:t xml:space="preserve">2. Acciones de reclamo y cobranza </w:t>
      </w:r>
    </w:p>
    <w:p w14:paraId="3C568277" w14:textId="77777777" w:rsidR="004E584F" w:rsidRPr="00063014" w:rsidRDefault="004E584F" w:rsidP="004E584F">
      <w:pPr>
        <w:pStyle w:val="Default0"/>
        <w:spacing w:after="198"/>
        <w:jc w:val="both"/>
        <w:rPr>
          <w:sz w:val="22"/>
          <w:szCs w:val="22"/>
        </w:rPr>
      </w:pPr>
      <w:r w:rsidRPr="00063014">
        <w:rPr>
          <w:sz w:val="22"/>
          <w:szCs w:val="22"/>
        </w:rPr>
        <w:t xml:space="preserve">a. </w:t>
      </w:r>
      <w:r w:rsidRPr="00063014">
        <w:rPr>
          <w:b/>
          <w:bCs/>
          <w:sz w:val="22"/>
          <w:szCs w:val="22"/>
        </w:rPr>
        <w:t>Departamento Centralizado de Cobranzas</w:t>
      </w:r>
      <w:r w:rsidRPr="00063014">
        <w:rPr>
          <w:sz w:val="22"/>
          <w:szCs w:val="22"/>
        </w:rPr>
        <w:t xml:space="preserve">: </w:t>
      </w:r>
    </w:p>
    <w:p w14:paraId="5DD7DB48" w14:textId="77777777" w:rsidR="004E584F" w:rsidRPr="00063014" w:rsidRDefault="004E584F" w:rsidP="004E584F">
      <w:pPr>
        <w:pStyle w:val="Default0"/>
        <w:numPr>
          <w:ilvl w:val="0"/>
          <w:numId w:val="27"/>
        </w:numPr>
        <w:ind w:left="426"/>
        <w:jc w:val="both"/>
        <w:rPr>
          <w:sz w:val="22"/>
          <w:szCs w:val="22"/>
        </w:rPr>
      </w:pPr>
      <w:r w:rsidRPr="00063014">
        <w:rPr>
          <w:b/>
          <w:bCs/>
          <w:sz w:val="22"/>
          <w:szCs w:val="22"/>
        </w:rPr>
        <w:t>Mora Temprana</w:t>
      </w:r>
      <w:r w:rsidRPr="00063014">
        <w:rPr>
          <w:sz w:val="22"/>
          <w:szCs w:val="22"/>
        </w:rPr>
        <w:t xml:space="preserve">: de 12 a 90 días de mora. </w:t>
      </w:r>
    </w:p>
    <w:p w14:paraId="3D044102" w14:textId="77777777" w:rsidR="004E584F" w:rsidRPr="00063014" w:rsidRDefault="004E584F" w:rsidP="004E584F">
      <w:pPr>
        <w:pStyle w:val="Default0"/>
        <w:numPr>
          <w:ilvl w:val="1"/>
          <w:numId w:val="27"/>
        </w:numPr>
        <w:spacing w:after="68"/>
        <w:jc w:val="both"/>
        <w:rPr>
          <w:sz w:val="22"/>
          <w:szCs w:val="22"/>
        </w:rPr>
      </w:pPr>
      <w:r w:rsidRPr="00063014">
        <w:rPr>
          <w:sz w:val="22"/>
          <w:szCs w:val="22"/>
        </w:rPr>
        <w:t xml:space="preserve">Llamados Telefónicos con diferentes mensajes diseñados por días de atraso. Se utiliza sistema predictivo U-contact,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673EBA1F" w14:textId="77777777" w:rsidR="004E584F" w:rsidRPr="00063014" w:rsidRDefault="004E584F" w:rsidP="004E584F">
      <w:pPr>
        <w:pStyle w:val="Default0"/>
        <w:numPr>
          <w:ilvl w:val="1"/>
          <w:numId w:val="27"/>
        </w:numPr>
        <w:spacing w:after="68"/>
        <w:jc w:val="both"/>
        <w:rPr>
          <w:color w:val="auto"/>
          <w:sz w:val="22"/>
          <w:szCs w:val="22"/>
        </w:rPr>
      </w:pPr>
      <w:r w:rsidRPr="00063014">
        <w:rPr>
          <w:sz w:val="22"/>
          <w:szCs w:val="22"/>
        </w:rPr>
        <w:t xml:space="preserve">Acciones masivas por IVR y/o </w:t>
      </w:r>
      <w:r w:rsidRPr="00063014">
        <w:rPr>
          <w:color w:val="auto"/>
          <w:sz w:val="22"/>
          <w:szCs w:val="22"/>
        </w:rPr>
        <w:t>mensajes de voz y/o whatsapp y/o e-mail y/o</w:t>
      </w:r>
      <w:r w:rsidRPr="00063014">
        <w:rPr>
          <w:color w:val="auto"/>
        </w:rPr>
        <w:t xml:space="preserve"> </w:t>
      </w:r>
      <w:r w:rsidRPr="00063014">
        <w:rPr>
          <w:color w:val="auto"/>
          <w:sz w:val="22"/>
          <w:szCs w:val="22"/>
        </w:rPr>
        <w:t>SMS corto y/o SMS Largo.</w:t>
      </w:r>
    </w:p>
    <w:p w14:paraId="6C7733A4" w14:textId="77777777" w:rsidR="004E584F" w:rsidRPr="00063014" w:rsidRDefault="004E584F" w:rsidP="004E584F">
      <w:pPr>
        <w:pStyle w:val="Default0"/>
        <w:numPr>
          <w:ilvl w:val="1"/>
          <w:numId w:val="27"/>
        </w:numPr>
        <w:spacing w:after="68"/>
        <w:jc w:val="both"/>
        <w:rPr>
          <w:color w:val="auto"/>
          <w:sz w:val="22"/>
          <w:szCs w:val="22"/>
        </w:rPr>
      </w:pPr>
      <w:r w:rsidRPr="00063014">
        <w:rPr>
          <w:color w:val="auto"/>
          <w:sz w:val="22"/>
          <w:szCs w:val="22"/>
        </w:rPr>
        <w:t xml:space="preserve">Envío de Cartas </w:t>
      </w:r>
    </w:p>
    <w:p w14:paraId="34050880" w14:textId="77777777" w:rsidR="004E584F" w:rsidRPr="00063014" w:rsidRDefault="004E584F" w:rsidP="004E584F">
      <w:pPr>
        <w:pStyle w:val="Default0"/>
        <w:jc w:val="both"/>
        <w:rPr>
          <w:color w:val="auto"/>
          <w:sz w:val="22"/>
          <w:szCs w:val="22"/>
        </w:rPr>
      </w:pPr>
    </w:p>
    <w:p w14:paraId="4023DBF5" w14:textId="77777777" w:rsidR="004E584F" w:rsidRPr="00063014" w:rsidRDefault="004E584F" w:rsidP="004E584F">
      <w:pPr>
        <w:pStyle w:val="Default0"/>
        <w:numPr>
          <w:ilvl w:val="0"/>
          <w:numId w:val="27"/>
        </w:numPr>
        <w:ind w:left="426"/>
        <w:jc w:val="both"/>
        <w:rPr>
          <w:b/>
          <w:bCs/>
          <w:color w:val="auto"/>
          <w:sz w:val="22"/>
          <w:szCs w:val="22"/>
        </w:rPr>
      </w:pPr>
      <w:r w:rsidRPr="00063014">
        <w:rPr>
          <w:b/>
          <w:bCs/>
          <w:color w:val="auto"/>
          <w:sz w:val="22"/>
          <w:szCs w:val="22"/>
        </w:rPr>
        <w:t xml:space="preserve">Mora Avanzada: De 91 a 120 días de mora: </w:t>
      </w:r>
    </w:p>
    <w:p w14:paraId="3ABA2E74" w14:textId="77777777" w:rsidR="004E584F" w:rsidRPr="00063014" w:rsidRDefault="004E584F" w:rsidP="004E584F">
      <w:pPr>
        <w:pStyle w:val="Default0"/>
        <w:numPr>
          <w:ilvl w:val="1"/>
          <w:numId w:val="27"/>
        </w:numPr>
        <w:spacing w:after="68"/>
        <w:jc w:val="both"/>
        <w:rPr>
          <w:color w:val="auto"/>
          <w:sz w:val="22"/>
          <w:szCs w:val="22"/>
        </w:rPr>
      </w:pPr>
      <w:r w:rsidRPr="00063014">
        <w:rPr>
          <w:color w:val="auto"/>
          <w:sz w:val="22"/>
          <w:szCs w:val="22"/>
        </w:rPr>
        <w:t xml:space="preserve">Llamados Telefónicos </w:t>
      </w:r>
    </w:p>
    <w:p w14:paraId="1394F9ED" w14:textId="77777777" w:rsidR="004E584F" w:rsidRPr="00063014" w:rsidRDefault="004E584F" w:rsidP="004E584F">
      <w:pPr>
        <w:pStyle w:val="Default0"/>
        <w:numPr>
          <w:ilvl w:val="1"/>
          <w:numId w:val="27"/>
        </w:numPr>
        <w:spacing w:after="68"/>
        <w:jc w:val="both"/>
        <w:rPr>
          <w:color w:val="auto"/>
          <w:sz w:val="22"/>
          <w:szCs w:val="22"/>
        </w:rPr>
      </w:pPr>
      <w:r w:rsidRPr="00063014">
        <w:rPr>
          <w:color w:val="auto"/>
          <w:sz w:val="22"/>
          <w:szCs w:val="22"/>
        </w:rPr>
        <w:t>Acciones masivas por IVR y/o mensajes de voz y/o e-mail y/o</w:t>
      </w:r>
      <w:r w:rsidRPr="00063014">
        <w:rPr>
          <w:color w:val="auto"/>
        </w:rPr>
        <w:t xml:space="preserve"> </w:t>
      </w:r>
      <w:r w:rsidRPr="00063014">
        <w:rPr>
          <w:color w:val="auto"/>
          <w:sz w:val="22"/>
          <w:szCs w:val="22"/>
        </w:rPr>
        <w:t>SMS corto y/o SMS Largo.</w:t>
      </w:r>
    </w:p>
    <w:p w14:paraId="5544AE25" w14:textId="77777777" w:rsidR="004E584F" w:rsidRPr="00063014" w:rsidRDefault="004E584F" w:rsidP="004E584F">
      <w:pPr>
        <w:pStyle w:val="Default0"/>
        <w:numPr>
          <w:ilvl w:val="1"/>
          <w:numId w:val="27"/>
        </w:numPr>
        <w:spacing w:after="68"/>
        <w:jc w:val="both"/>
        <w:rPr>
          <w:sz w:val="22"/>
          <w:szCs w:val="22"/>
        </w:rPr>
      </w:pPr>
      <w:r w:rsidRPr="00063014">
        <w:rPr>
          <w:sz w:val="22"/>
          <w:szCs w:val="22"/>
        </w:rPr>
        <w:t xml:space="preserve">Envío de Cartas </w:t>
      </w:r>
    </w:p>
    <w:p w14:paraId="46D9B25C" w14:textId="77777777" w:rsidR="004E584F" w:rsidRPr="00063014" w:rsidRDefault="004E584F" w:rsidP="004E584F">
      <w:pPr>
        <w:pStyle w:val="Default0"/>
        <w:jc w:val="both"/>
        <w:rPr>
          <w:sz w:val="22"/>
          <w:szCs w:val="22"/>
        </w:rPr>
      </w:pPr>
    </w:p>
    <w:p w14:paraId="289C42FF" w14:textId="77777777" w:rsidR="004E584F" w:rsidRPr="00063014" w:rsidRDefault="004E584F" w:rsidP="004E584F">
      <w:pPr>
        <w:pStyle w:val="Default0"/>
        <w:jc w:val="both"/>
        <w:rPr>
          <w:sz w:val="22"/>
          <w:szCs w:val="22"/>
        </w:rPr>
      </w:pPr>
      <w:r w:rsidRPr="00063014">
        <w:rPr>
          <w:sz w:val="22"/>
          <w:szCs w:val="22"/>
        </w:rPr>
        <w:t xml:space="preserve">Las gestiones descriptas siguen los siguientes principios y secuencias de reclamo: </w:t>
      </w:r>
    </w:p>
    <w:p w14:paraId="0DC306BC" w14:textId="77777777" w:rsidR="004E584F" w:rsidRPr="00063014" w:rsidRDefault="004E584F" w:rsidP="004E584F">
      <w:pPr>
        <w:pStyle w:val="Default0"/>
        <w:numPr>
          <w:ilvl w:val="0"/>
          <w:numId w:val="29"/>
        </w:numPr>
        <w:spacing w:after="66"/>
        <w:jc w:val="both"/>
        <w:rPr>
          <w:sz w:val="22"/>
          <w:szCs w:val="22"/>
        </w:rPr>
      </w:pPr>
      <w:r w:rsidRPr="00063014">
        <w:rPr>
          <w:sz w:val="22"/>
          <w:szCs w:val="22"/>
        </w:rPr>
        <w:t xml:space="preserve">Desde 91 a 120 días de atraso: Intimación Pre Judicial </w:t>
      </w:r>
    </w:p>
    <w:p w14:paraId="0DE60276" w14:textId="77777777" w:rsidR="004E584F" w:rsidRPr="00063014" w:rsidRDefault="004E584F" w:rsidP="004E584F">
      <w:pPr>
        <w:pStyle w:val="Default0"/>
        <w:numPr>
          <w:ilvl w:val="0"/>
          <w:numId w:val="29"/>
        </w:numPr>
        <w:jc w:val="both"/>
        <w:rPr>
          <w:sz w:val="22"/>
          <w:szCs w:val="22"/>
        </w:rPr>
      </w:pPr>
      <w:r w:rsidRPr="00063014">
        <w:rPr>
          <w:sz w:val="22"/>
          <w:szCs w:val="22"/>
        </w:rPr>
        <w:t xml:space="preserve">121 días de atraso: Último Aviso presentación expediente en Tribunales </w:t>
      </w:r>
    </w:p>
    <w:p w14:paraId="4BF92A21" w14:textId="77777777" w:rsidR="004E584F" w:rsidRPr="00063014" w:rsidRDefault="004E584F" w:rsidP="004E584F">
      <w:pPr>
        <w:pStyle w:val="Default0"/>
        <w:jc w:val="both"/>
        <w:rPr>
          <w:sz w:val="22"/>
          <w:szCs w:val="22"/>
        </w:rPr>
      </w:pPr>
    </w:p>
    <w:p w14:paraId="30D215D9" w14:textId="77777777" w:rsidR="004E584F" w:rsidRPr="00063014" w:rsidRDefault="004E584F" w:rsidP="004E584F">
      <w:pPr>
        <w:pStyle w:val="Default0"/>
        <w:numPr>
          <w:ilvl w:val="0"/>
          <w:numId w:val="28"/>
        </w:numPr>
        <w:ind w:left="426"/>
        <w:jc w:val="both"/>
        <w:rPr>
          <w:sz w:val="22"/>
          <w:szCs w:val="22"/>
        </w:rPr>
      </w:pPr>
      <w:r w:rsidRPr="00063014">
        <w:rPr>
          <w:b/>
          <w:bCs/>
          <w:sz w:val="22"/>
          <w:szCs w:val="22"/>
        </w:rPr>
        <w:t>Judicial</w:t>
      </w:r>
      <w:r w:rsidRPr="00063014">
        <w:rPr>
          <w:sz w:val="22"/>
          <w:szCs w:val="22"/>
        </w:rPr>
        <w:t xml:space="preserve">: Superado los 120 días de mora se definen los créditos a judicializar. En todos los casos se dispone de pagaré firmado por el cliente y en su caso garante, lo que facilita la cobrabilidad del juicio en menor tiempo por disponer de procesos ejecutivos. </w:t>
      </w:r>
    </w:p>
    <w:p w14:paraId="069CE1DA" w14:textId="77777777" w:rsidR="004E584F" w:rsidRPr="00063014" w:rsidRDefault="004E584F" w:rsidP="004E584F">
      <w:pPr>
        <w:pStyle w:val="Default0"/>
        <w:ind w:left="426"/>
        <w:jc w:val="both"/>
        <w:rPr>
          <w:sz w:val="22"/>
          <w:szCs w:val="22"/>
        </w:rPr>
      </w:pPr>
      <w:r w:rsidRPr="00063014">
        <w:rPr>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B912EA1" w14:textId="77777777" w:rsidR="004E584F" w:rsidRPr="00063014" w:rsidRDefault="004E584F" w:rsidP="004E584F">
      <w:pPr>
        <w:pStyle w:val="Default0"/>
        <w:jc w:val="both"/>
        <w:rPr>
          <w:b/>
          <w:bCs/>
          <w:sz w:val="22"/>
          <w:szCs w:val="22"/>
        </w:rPr>
      </w:pPr>
    </w:p>
    <w:p w14:paraId="1BB6A670" w14:textId="77777777" w:rsidR="004E584F" w:rsidRPr="00063014" w:rsidRDefault="004E584F" w:rsidP="004E584F">
      <w:pPr>
        <w:pStyle w:val="Default0"/>
        <w:numPr>
          <w:ilvl w:val="0"/>
          <w:numId w:val="28"/>
        </w:numPr>
        <w:ind w:left="426"/>
        <w:jc w:val="both"/>
        <w:rPr>
          <w:b/>
          <w:bCs/>
          <w:sz w:val="22"/>
          <w:szCs w:val="22"/>
        </w:rPr>
      </w:pPr>
      <w:r w:rsidRPr="00063014">
        <w:rPr>
          <w:b/>
          <w:bCs/>
          <w:sz w:val="22"/>
          <w:szCs w:val="22"/>
        </w:rPr>
        <w:t>Tercerización de Gestión de Cobranza:</w:t>
      </w:r>
      <w:r w:rsidRPr="00063014">
        <w:rPr>
          <w:bCs/>
          <w:sz w:val="22"/>
          <w:szCs w:val="22"/>
        </w:rPr>
        <w:t xml:space="preserve"> Se incorporaron nuevas empresas externas de cobranza en la gestión de reclamo de deuda para la cartera NO Judicial con más de 365 días de mora.  Las carteras asignadas a las distintas empresas se rotan trimestralmente logrando obtener una acción de búsqueda y reclamo constante permitiendo un recupero sostenido de los créditos más atrasados.</w:t>
      </w:r>
    </w:p>
    <w:p w14:paraId="491BE942" w14:textId="77777777" w:rsidR="004E584F" w:rsidRPr="00063014" w:rsidRDefault="004E584F" w:rsidP="004E584F">
      <w:pPr>
        <w:pStyle w:val="Default0"/>
        <w:jc w:val="both"/>
        <w:rPr>
          <w:b/>
          <w:bCs/>
          <w:sz w:val="22"/>
          <w:szCs w:val="22"/>
        </w:rPr>
      </w:pPr>
    </w:p>
    <w:p w14:paraId="4ED06942" w14:textId="77777777" w:rsidR="004E584F" w:rsidRPr="00063014" w:rsidRDefault="004E584F" w:rsidP="004E584F">
      <w:pPr>
        <w:pStyle w:val="Default0"/>
        <w:spacing w:after="198"/>
        <w:jc w:val="both"/>
        <w:rPr>
          <w:sz w:val="22"/>
          <w:szCs w:val="22"/>
        </w:rPr>
      </w:pPr>
      <w:r w:rsidRPr="00063014">
        <w:rPr>
          <w:b/>
          <w:bCs/>
          <w:sz w:val="22"/>
          <w:szCs w:val="22"/>
        </w:rPr>
        <w:t xml:space="preserve">b. Otras acciones y modalidades de reclamo: </w:t>
      </w:r>
    </w:p>
    <w:p w14:paraId="2C62F27A" w14:textId="77777777" w:rsidR="004E584F" w:rsidRPr="00063014" w:rsidRDefault="004E584F" w:rsidP="004E584F">
      <w:pPr>
        <w:pStyle w:val="Default0"/>
        <w:numPr>
          <w:ilvl w:val="0"/>
          <w:numId w:val="28"/>
        </w:numPr>
        <w:spacing w:after="198"/>
        <w:jc w:val="both"/>
        <w:rPr>
          <w:sz w:val="22"/>
          <w:szCs w:val="22"/>
        </w:rPr>
      </w:pPr>
      <w:r w:rsidRPr="00063014">
        <w:rPr>
          <w:b/>
          <w:bCs/>
          <w:sz w:val="22"/>
          <w:szCs w:val="22"/>
        </w:rPr>
        <w:t>Back Office</w:t>
      </w:r>
      <w:r w:rsidRPr="00063014">
        <w:rPr>
          <w:sz w:val="22"/>
          <w:szCs w:val="22"/>
        </w:rPr>
        <w:t>: ante la dificultad de contacto en los teléfonos disponibles, se activa un circuito de averiguación de datos a través de un grupo de operadores, tendientes a localizar al deudor, para luego reinsertarlo en el circuito de reclamos.</w:t>
      </w:r>
    </w:p>
    <w:p w14:paraId="6AFD0291" w14:textId="77777777" w:rsidR="004E584F" w:rsidRPr="00063014" w:rsidRDefault="004E584F" w:rsidP="004E584F">
      <w:pPr>
        <w:pStyle w:val="Default0"/>
        <w:numPr>
          <w:ilvl w:val="0"/>
          <w:numId w:val="28"/>
        </w:numPr>
        <w:spacing w:after="198"/>
        <w:jc w:val="both"/>
        <w:rPr>
          <w:sz w:val="22"/>
          <w:szCs w:val="22"/>
        </w:rPr>
      </w:pPr>
      <w:r w:rsidRPr="00063014">
        <w:rPr>
          <w:b/>
          <w:bCs/>
          <w:sz w:val="22"/>
          <w:szCs w:val="22"/>
        </w:rPr>
        <w:t>Visitas domiciliarias</w:t>
      </w:r>
      <w:r w:rsidRPr="00063014">
        <w:rPr>
          <w:sz w:val="22"/>
          <w:szCs w:val="22"/>
        </w:rPr>
        <w:t>: personal de las sucursales de venta realizan acciones personales de cobranza en el domicilio del deudor, cuando no fuera posible ubicarlo por otros medios y/o las características de la deuda lo ameriten.</w:t>
      </w:r>
    </w:p>
    <w:p w14:paraId="07586320" w14:textId="77777777" w:rsidR="004E584F" w:rsidRPr="00063014" w:rsidRDefault="004E584F" w:rsidP="004E584F">
      <w:pPr>
        <w:pStyle w:val="Default0"/>
        <w:numPr>
          <w:ilvl w:val="0"/>
          <w:numId w:val="28"/>
        </w:numPr>
        <w:spacing w:after="198"/>
        <w:jc w:val="both"/>
        <w:rPr>
          <w:sz w:val="22"/>
          <w:szCs w:val="22"/>
        </w:rPr>
      </w:pPr>
      <w:r w:rsidRPr="00063014">
        <w:rPr>
          <w:b/>
          <w:bCs/>
          <w:sz w:val="22"/>
          <w:szCs w:val="22"/>
        </w:rPr>
        <w:t>Sucursales</w:t>
      </w:r>
      <w:r w:rsidRPr="00063014">
        <w:rPr>
          <w:sz w:val="22"/>
          <w:szCs w:val="22"/>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 Se realiza además un seguimiento de efectividad de cobranzas o refinanciaciones realizadas por los Operadores de Caja de Sucursales, tendiente a recuperar el máximo de lo adeudado.</w:t>
      </w:r>
    </w:p>
    <w:p w14:paraId="64DF6C35" w14:textId="77777777" w:rsidR="004E584F" w:rsidRPr="00063014" w:rsidRDefault="004E584F" w:rsidP="004E584F">
      <w:pPr>
        <w:pStyle w:val="Default0"/>
        <w:numPr>
          <w:ilvl w:val="0"/>
          <w:numId w:val="28"/>
        </w:numPr>
        <w:jc w:val="both"/>
        <w:rPr>
          <w:sz w:val="22"/>
          <w:szCs w:val="22"/>
        </w:rPr>
      </w:pPr>
      <w:r w:rsidRPr="00063014">
        <w:rPr>
          <w:b/>
          <w:bCs/>
          <w:sz w:val="22"/>
          <w:szCs w:val="22"/>
        </w:rPr>
        <w:t>Afectaciones Comerciales</w:t>
      </w:r>
      <w:r w:rsidRPr="00063014">
        <w:rPr>
          <w:sz w:val="22"/>
          <w:szCs w:val="22"/>
        </w:rPr>
        <w:t>: mensualmente se afecta y desafecta en Institutos de informes a nivel Local, Regional y Nacional.</w:t>
      </w:r>
    </w:p>
    <w:p w14:paraId="43A53DFE" w14:textId="77777777" w:rsidR="00F74B80" w:rsidRPr="00B73EE9" w:rsidRDefault="00F74B80" w:rsidP="00F77F79">
      <w:pPr>
        <w:spacing w:before="120" w:after="200"/>
        <w:rPr>
          <w:rFonts w:ascii="Times New Roman" w:hAnsi="Times New Roman" w:cs="Times New Roman"/>
          <w:color w:val="0D0D0D" w:themeColor="text1" w:themeTint="F2"/>
          <w:sz w:val="22"/>
          <w:szCs w:val="22"/>
        </w:rPr>
      </w:pPr>
      <w:r w:rsidRPr="00B73EE9">
        <w:rPr>
          <w:rFonts w:ascii="Times New Roman" w:hAnsi="Times New Roman" w:cs="Times New Roman"/>
          <w:color w:val="0D0D0D" w:themeColor="text1" w:themeTint="F2"/>
          <w:sz w:val="22"/>
          <w:szCs w:val="22"/>
        </w:rPr>
        <w:t>La percepción de la cobranza total de la</w:t>
      </w:r>
      <w:r w:rsidR="00475BAB" w:rsidRPr="00B73EE9">
        <w:rPr>
          <w:rFonts w:ascii="Times New Roman" w:hAnsi="Times New Roman" w:cs="Times New Roman"/>
          <w:color w:val="0D0D0D" w:themeColor="text1" w:themeTint="F2"/>
          <w:sz w:val="22"/>
          <w:szCs w:val="22"/>
        </w:rPr>
        <w:t>s</w:t>
      </w:r>
      <w:r w:rsidRPr="00B73EE9">
        <w:rPr>
          <w:rFonts w:ascii="Times New Roman" w:hAnsi="Times New Roman" w:cs="Times New Roman"/>
          <w:color w:val="0D0D0D" w:themeColor="text1" w:themeTint="F2"/>
          <w:sz w:val="22"/>
          <w:szCs w:val="22"/>
        </w:rPr>
        <w:t xml:space="preserve"> compañía</w:t>
      </w:r>
      <w:r w:rsidR="00475BAB" w:rsidRPr="00B73EE9">
        <w:rPr>
          <w:rFonts w:ascii="Times New Roman" w:hAnsi="Times New Roman" w:cs="Times New Roman"/>
          <w:color w:val="0D0D0D" w:themeColor="text1" w:themeTint="F2"/>
          <w:sz w:val="22"/>
          <w:szCs w:val="22"/>
        </w:rPr>
        <w:t>s</w:t>
      </w:r>
      <w:r w:rsidRPr="00B73EE9">
        <w:rPr>
          <w:rFonts w:ascii="Times New Roman" w:hAnsi="Times New Roman" w:cs="Times New Roman"/>
          <w:color w:val="0D0D0D" w:themeColor="text1" w:themeTint="F2"/>
          <w:sz w:val="22"/>
          <w:szCs w:val="22"/>
        </w:rPr>
        <w:t> presenta la siguiente evolución en los últimos 6</w:t>
      </w:r>
      <w:r w:rsidRPr="00B73EE9">
        <w:rPr>
          <w:rFonts w:ascii="Times New Roman" w:hAnsi="Times New Roman" w:cs="Times New Roman"/>
          <w:color w:val="FF0000"/>
          <w:sz w:val="22"/>
          <w:szCs w:val="22"/>
        </w:rPr>
        <w:t xml:space="preserve"> </w:t>
      </w:r>
      <w:r w:rsidRPr="00B73EE9">
        <w:rPr>
          <w:rFonts w:ascii="Times New Roman" w:hAnsi="Times New Roman" w:cs="Times New Roman"/>
          <w:color w:val="0D0D0D" w:themeColor="text1" w:themeTint="F2"/>
          <w:sz w:val="22"/>
          <w:szCs w:val="22"/>
        </w:rPr>
        <w:t xml:space="preserve">meses: </w:t>
      </w:r>
    </w:p>
    <w:p w14:paraId="3548058D" w14:textId="238589C0" w:rsidR="00C56DC8" w:rsidRPr="003A7495" w:rsidRDefault="00475BAB" w:rsidP="00F74B80">
      <w:pPr>
        <w:spacing w:before="120" w:after="200" w:line="276" w:lineRule="auto"/>
        <w:rPr>
          <w:rFonts w:ascii="Times New Roman" w:hAnsi="Times New Roman" w:cs="Times New Roman"/>
          <w:b/>
          <w:sz w:val="22"/>
          <w:szCs w:val="22"/>
          <w:u w:val="single"/>
        </w:rPr>
      </w:pPr>
      <w:r w:rsidRPr="003A7495">
        <w:rPr>
          <w:rFonts w:ascii="Times New Roman" w:hAnsi="Times New Roman" w:cs="Times New Roman"/>
          <w:b/>
          <w:sz w:val="22"/>
          <w:szCs w:val="22"/>
          <w:u w:val="single"/>
        </w:rPr>
        <w:t>Bazar Avenida S.A.</w:t>
      </w:r>
    </w:p>
    <w:p w14:paraId="303941D0" w14:textId="4D3182AC" w:rsidR="002E6D79" w:rsidRPr="00FE4D31" w:rsidRDefault="004E584F" w:rsidP="0000185D">
      <w:pPr>
        <w:spacing w:before="120" w:after="200" w:line="276" w:lineRule="auto"/>
        <w:jc w:val="center"/>
        <w:rPr>
          <w:rFonts w:ascii="Times New Roman" w:hAnsi="Times New Roman" w:cs="Times New Roman"/>
          <w:b/>
          <w:sz w:val="22"/>
          <w:szCs w:val="22"/>
          <w:u w:val="single"/>
        </w:rPr>
      </w:pPr>
      <w:r w:rsidRPr="004E584F">
        <w:rPr>
          <w:noProof/>
          <w:lang w:val="es-AR" w:eastAsia="es-AR"/>
        </w:rPr>
        <w:t xml:space="preserve"> </w:t>
      </w:r>
      <w:r w:rsidR="00664B99" w:rsidRPr="00664B99">
        <w:rPr>
          <w:noProof/>
          <w:lang w:val="es-AR" w:eastAsia="es-AR"/>
        </w:rPr>
        <w:t xml:space="preserve"> </w:t>
      </w:r>
      <w:r w:rsidR="001665E0" w:rsidRPr="001665E0">
        <w:rPr>
          <w:noProof/>
          <w:lang w:val="es-AR" w:eastAsia="es-AR"/>
        </w:rPr>
        <w:drawing>
          <wp:inline distT="0" distB="0" distL="0" distR="0" wp14:anchorId="6C1B9C04" wp14:editId="7C4B83A6">
            <wp:extent cx="4845050" cy="1555750"/>
            <wp:effectExtent l="0" t="0" r="0" b="635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45050" cy="1555750"/>
                    </a:xfrm>
                    <a:prstGeom prst="rect">
                      <a:avLst/>
                    </a:prstGeom>
                    <a:noFill/>
                    <a:ln>
                      <a:noFill/>
                    </a:ln>
                  </pic:spPr>
                </pic:pic>
              </a:graphicData>
            </a:graphic>
          </wp:inline>
        </w:drawing>
      </w:r>
      <w:r w:rsidR="0033722D" w:rsidRPr="0033722D">
        <w:rPr>
          <w:noProof/>
          <w:lang w:val="es-AR" w:eastAsia="es-AR"/>
        </w:rPr>
        <w:t xml:space="preserve"> </w:t>
      </w:r>
      <w:r w:rsidR="00654C2F" w:rsidRPr="00654C2F">
        <w:rPr>
          <w:noProof/>
          <w:lang w:val="es-AR" w:eastAsia="es-AR"/>
        </w:rPr>
        <w:t xml:space="preserve"> </w:t>
      </w:r>
      <w:r w:rsidR="00317D48" w:rsidRPr="00FE4D31">
        <w:rPr>
          <w:noProof/>
          <w:lang w:val="es-AR" w:eastAsia="es-AR"/>
        </w:rPr>
        <w:t xml:space="preserve"> </w:t>
      </w:r>
      <w:r w:rsidR="00DF2624" w:rsidRPr="00FE4D31">
        <w:rPr>
          <w:noProof/>
          <w:lang w:val="es-AR" w:eastAsia="es-AR"/>
        </w:rPr>
        <w:t xml:space="preserve"> </w:t>
      </w:r>
    </w:p>
    <w:p w14:paraId="4987A4F0" w14:textId="1F9E9E82" w:rsidR="007D7DE5" w:rsidRPr="00FE4D31" w:rsidRDefault="00475BAB" w:rsidP="006E1DEB">
      <w:pPr>
        <w:spacing w:before="120" w:after="200" w:line="276" w:lineRule="auto"/>
        <w:rPr>
          <w:rFonts w:ascii="Times New Roman" w:hAnsi="Times New Roman" w:cs="Times New Roman"/>
          <w:b/>
          <w:sz w:val="22"/>
          <w:szCs w:val="22"/>
          <w:u w:val="single"/>
        </w:rPr>
      </w:pPr>
      <w:r w:rsidRPr="00FE4D31">
        <w:rPr>
          <w:rFonts w:ascii="Times New Roman" w:hAnsi="Times New Roman" w:cs="Times New Roman"/>
          <w:b/>
          <w:sz w:val="22"/>
          <w:szCs w:val="22"/>
          <w:u w:val="single"/>
        </w:rPr>
        <w:t>Consumo S.A.</w:t>
      </w:r>
    </w:p>
    <w:p w14:paraId="357E68BD" w14:textId="7BC7E56C" w:rsidR="007D7DE5" w:rsidRPr="00506990" w:rsidRDefault="004E584F" w:rsidP="00F74B80">
      <w:pPr>
        <w:spacing w:before="120" w:after="200" w:line="276" w:lineRule="auto"/>
        <w:jc w:val="center"/>
        <w:rPr>
          <w:rFonts w:ascii="Times New Roman" w:hAnsi="Times New Roman" w:cs="Times New Roman"/>
          <w:color w:val="0D0D0D" w:themeColor="text1" w:themeTint="F2"/>
          <w:sz w:val="22"/>
          <w:szCs w:val="22"/>
        </w:rPr>
      </w:pPr>
      <w:r w:rsidRPr="004E584F">
        <w:rPr>
          <w:rFonts w:ascii="Times New Roman" w:hAnsi="Times New Roman" w:cs="Times New Roman"/>
          <w:color w:val="0D0D0D" w:themeColor="text1" w:themeTint="F2"/>
          <w:sz w:val="22"/>
          <w:szCs w:val="22"/>
        </w:rPr>
        <w:t xml:space="preserve"> </w:t>
      </w:r>
      <w:r w:rsidR="00664B99" w:rsidRPr="00664B99">
        <w:rPr>
          <w:rFonts w:ascii="Times New Roman" w:hAnsi="Times New Roman" w:cs="Times New Roman"/>
          <w:color w:val="0D0D0D" w:themeColor="text1" w:themeTint="F2"/>
          <w:sz w:val="22"/>
          <w:szCs w:val="22"/>
        </w:rPr>
        <w:t xml:space="preserve"> </w:t>
      </w:r>
      <w:r w:rsidR="0033722D" w:rsidRPr="0033722D">
        <w:rPr>
          <w:rFonts w:ascii="Times New Roman" w:hAnsi="Times New Roman" w:cs="Times New Roman"/>
          <w:color w:val="0D0D0D" w:themeColor="text1" w:themeTint="F2"/>
          <w:sz w:val="22"/>
          <w:szCs w:val="22"/>
        </w:rPr>
        <w:t xml:space="preserve"> </w:t>
      </w:r>
      <w:r w:rsidR="001665E0" w:rsidRPr="001665E0">
        <w:rPr>
          <w:noProof/>
          <w:lang w:val="es-AR" w:eastAsia="es-AR"/>
        </w:rPr>
        <w:drawing>
          <wp:inline distT="0" distB="0" distL="0" distR="0" wp14:anchorId="5757D71E" wp14:editId="6F58BA55">
            <wp:extent cx="4845050" cy="15240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45050" cy="1524000"/>
                    </a:xfrm>
                    <a:prstGeom prst="rect">
                      <a:avLst/>
                    </a:prstGeom>
                    <a:noFill/>
                    <a:ln>
                      <a:noFill/>
                    </a:ln>
                  </pic:spPr>
                </pic:pic>
              </a:graphicData>
            </a:graphic>
          </wp:inline>
        </w:drawing>
      </w:r>
      <w:r w:rsidR="00654C2F" w:rsidRPr="00654C2F">
        <w:rPr>
          <w:rFonts w:ascii="Times New Roman" w:hAnsi="Times New Roman" w:cs="Times New Roman"/>
          <w:color w:val="0D0D0D" w:themeColor="text1" w:themeTint="F2"/>
          <w:sz w:val="22"/>
          <w:szCs w:val="22"/>
        </w:rPr>
        <w:t xml:space="preserve"> </w:t>
      </w:r>
    </w:p>
    <w:p w14:paraId="4D84DE78" w14:textId="77777777" w:rsidR="00F74B80" w:rsidRPr="00506990" w:rsidRDefault="00F74B80" w:rsidP="00F77F79">
      <w:pPr>
        <w:spacing w:before="120" w:after="20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Convenio de Recaudación con TINSA S.A. (Operatoria vinculada a los Fideicomisos)</w:t>
      </w:r>
    </w:p>
    <w:p w14:paraId="7D578A31"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ha celebrado un convenio de cobro con Tinsa S.A. (TINSA) para la percepción de la Cobranza de los créditos otorgados a sus clientes, por medio del sistema de cobranzas, COBRO EXPRESS de TINSA.</w:t>
      </w:r>
    </w:p>
    <w:p w14:paraId="38F216E9" w14:textId="77777777" w:rsidR="00FF0B3C" w:rsidRPr="00506990" w:rsidRDefault="00FF0B3C" w:rsidP="00FF0B3C">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marco de dicho acuerdo, BAZAR AVENIDA S</w:t>
      </w:r>
      <w:r>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 y  CONSUMO S.A. en su carácter de Administradores y Agentes de Cobro de los Créditos fideicomitidos, delega en TINSA, la recaudación de la cobranza de los Créditos fideicomitidos. A tal efecto las liquidaciones que se envían mensualmente a los deudores contienen un código de barras que permite identificar que el Crédito pertenece al Fideicomiso y que sólo puede percibirse a través de TINSA, excepto la de aquellos Créditos en Mora que se perciban por las gestiones judiciales y extrajudiciales que realicen los Fiduciantes en su carácter de Agente de Cobro que deberá transferir a la Cuenta Fiduciaria dentro del día hábil posterior a su percepción. Para cumplir con su obligación de Agente Recaudador, TINSA lo realizará a través de sus propios agentes distribuidos en todo el país y también por medio de Agentes Externos de Recaudación que contrate.</w:t>
      </w:r>
    </w:p>
    <w:p w14:paraId="74A5E68F"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En oportunidad de emitir cada una de las serie de Fideicomiso, BAZAR </w:t>
      </w:r>
      <w:r w:rsidR="00C56DC8" w:rsidRPr="00506990">
        <w:rPr>
          <w:rFonts w:ascii="Times New Roman" w:hAnsi="Times New Roman" w:cs="Times New Roman"/>
          <w:color w:val="0D0D0D" w:themeColor="text1" w:themeTint="F2"/>
          <w:sz w:val="22"/>
          <w:szCs w:val="22"/>
        </w:rPr>
        <w:t>AVENIDA S.A.</w:t>
      </w:r>
      <w:r w:rsidR="00DF4C4C" w:rsidRPr="00506990">
        <w:rPr>
          <w:rFonts w:ascii="Times New Roman" w:hAnsi="Times New Roman" w:cs="Times New Roman"/>
          <w:color w:val="0D0D0D" w:themeColor="text1" w:themeTint="F2"/>
          <w:sz w:val="22"/>
          <w:szCs w:val="22"/>
        </w:rPr>
        <w:t xml:space="preserve"> y CONSUMO S.A..</w:t>
      </w:r>
      <w:r w:rsidR="00C56DC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comunica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notificación TINSA deberá comunicar a BAZAR</w:t>
      </w:r>
      <w:r w:rsidR="00DF4C4C"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con copia al fiduciario, el alta de la Cuenta Fiduciaria en sus sistemas.</w:t>
      </w:r>
    </w:p>
    <w:p w14:paraId="1B8AF496" w14:textId="77777777" w:rsidR="00F74B80" w:rsidRPr="00506990" w:rsidRDefault="00F74B80" w:rsidP="00F77F79">
      <w:pPr>
        <w:spacing w:before="120" w:after="200"/>
        <w:rPr>
          <w:rFonts w:ascii="Times New Roman" w:hAnsi="Times New Roman" w:cs="Times New Roman"/>
          <w:snapToGrid w:val="0"/>
          <w:color w:val="0D0D0D" w:themeColor="text1" w:themeTint="F2"/>
          <w:sz w:val="22"/>
          <w:szCs w:val="22"/>
        </w:rPr>
      </w:pPr>
      <w:r w:rsidRPr="00506990">
        <w:rPr>
          <w:rFonts w:ascii="Times New Roman" w:hAnsi="Times New Roman" w:cs="Times New Roman"/>
          <w:color w:val="0D0D0D" w:themeColor="text1" w:themeTint="F2"/>
          <w:sz w:val="22"/>
          <w:szCs w:val="22"/>
        </w:rPr>
        <w:t xml:space="preserve">Al final de cada jornada, el sistema que opera en cada uno de los agentes, transmite información a los sistemas centrales de TINSA. Una vez recibida la información de todos los agentes, TINSA procesa los registros y, a primera hora del día siguiente, transmite información a BAZAR </w:t>
      </w:r>
      <w:r w:rsidR="00C56DC8" w:rsidRPr="00506990">
        <w:rPr>
          <w:rFonts w:ascii="Times New Roman" w:hAnsi="Times New Roman" w:cs="Times New Roman"/>
          <w:color w:val="0D0D0D" w:themeColor="text1" w:themeTint="F2"/>
          <w:sz w:val="22"/>
          <w:szCs w:val="22"/>
        </w:rPr>
        <w:t xml:space="preserve">AVENIDA S.A. </w:t>
      </w:r>
      <w:r w:rsidR="00DF4C4C" w:rsidRPr="00506990">
        <w:rPr>
          <w:rFonts w:ascii="Times New Roman" w:hAnsi="Times New Roman" w:cs="Times New Roman"/>
          <w:color w:val="0D0D0D" w:themeColor="text1" w:themeTint="F2"/>
          <w:sz w:val="22"/>
          <w:szCs w:val="22"/>
        </w:rPr>
        <w:t xml:space="preserve">y CONSUMO S.A. </w:t>
      </w:r>
      <w:r w:rsidRPr="00506990">
        <w:rPr>
          <w:rFonts w:ascii="Times New Roman" w:hAnsi="Times New Roman" w:cs="Times New Roman"/>
          <w:color w:val="0D0D0D" w:themeColor="text1" w:themeTint="F2"/>
          <w:sz w:val="22"/>
          <w:szCs w:val="22"/>
        </w:rPr>
        <w:t>para que ésta</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de recibida la información de parte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p>
    <w:p w14:paraId="3CD5E30D"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Según las obligaciones que emanan del convenio, TINSA deberá depositar directamente en las cuentas bancarias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dentro de los tres días hábiles de su percepción, aun cuando los Agente Externos de Recaudación tenga transferencias pendientes.</w:t>
      </w:r>
    </w:p>
    <w:p w14:paraId="74744B47"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lo expuesto, en cualquier supuesto de finalización del convenio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w:t>
      </w:r>
    </w:p>
    <w:p w14:paraId="2C78CFAA" w14:textId="77777777" w:rsidR="00F74B80" w:rsidRPr="00506990" w:rsidRDefault="00F74B80" w:rsidP="00546BED">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Proceso de reclamo y cobranza de cuentas en mora:</w:t>
      </w:r>
    </w:p>
    <w:p w14:paraId="31C383C0" w14:textId="77777777" w:rsidR="00F74B80" w:rsidRPr="00506990" w:rsidRDefault="00F74B80" w:rsidP="003A7495">
      <w:pPr>
        <w:pStyle w:val="Prrafodelista"/>
        <w:numPr>
          <w:ilvl w:val="0"/>
          <w:numId w:val="10"/>
        </w:numPr>
        <w:spacing w:before="120"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Vencimientos:</w:t>
      </w:r>
    </w:p>
    <w:p w14:paraId="34A2322B"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Un crédito se constituye en mora cuando no fue abonada la cuota a partir del día 11 de operado un vencimiento sin haber registrado pago. </w:t>
      </w:r>
    </w:p>
    <w:p w14:paraId="4D6B7828"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partir del día 12 de operado el vencimiento sin haber percibido cobranza, comienzan entonces las acciones de reclamo.</w:t>
      </w:r>
    </w:p>
    <w:p w14:paraId="2EED7CE2" w14:textId="77777777" w:rsidR="00F74B80" w:rsidRPr="00506990" w:rsidRDefault="00F74B80" w:rsidP="003A7495">
      <w:pPr>
        <w:pStyle w:val="Prrafodelista"/>
        <w:numPr>
          <w:ilvl w:val="0"/>
          <w:numId w:val="10"/>
        </w:numPr>
        <w:spacing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Gestión de reclamo de clientes en mora:</w:t>
      </w:r>
    </w:p>
    <w:p w14:paraId="67DCC896" w14:textId="77777777" w:rsidR="00F74B80" w:rsidRPr="00506990" w:rsidRDefault="00F74B80" w:rsidP="003A7495">
      <w:pPr>
        <w:pStyle w:val="Prrafodelista"/>
        <w:numPr>
          <w:ilvl w:val="0"/>
          <w:numId w:val="15"/>
        </w:numPr>
        <w:contextualSpacing w:val="0"/>
        <w:jc w:val="both"/>
        <w:rPr>
          <w:color w:val="0D0D0D" w:themeColor="text1" w:themeTint="F2"/>
          <w:sz w:val="22"/>
          <w:szCs w:val="22"/>
          <w:lang w:val="es-ES_tradnl"/>
        </w:rPr>
      </w:pPr>
      <w:r w:rsidRPr="00506990">
        <w:rPr>
          <w:b/>
          <w:color w:val="0D0D0D" w:themeColor="text1" w:themeTint="F2"/>
          <w:sz w:val="22"/>
          <w:szCs w:val="22"/>
          <w:u w:val="single"/>
          <w:lang w:val="es-ES_tradnl"/>
        </w:rPr>
        <w:t>Segmentación de clientes</w:t>
      </w:r>
      <w:r w:rsidRPr="00506990">
        <w:rPr>
          <w:color w:val="0D0D0D" w:themeColor="text1" w:themeTint="F2"/>
          <w:sz w:val="22"/>
          <w:szCs w:val="22"/>
          <w:lang w:val="es-ES_tradnl"/>
        </w:rPr>
        <w:t>:</w:t>
      </w:r>
    </w:p>
    <w:p w14:paraId="1C07FE35" w14:textId="77777777" w:rsidR="00F74B80" w:rsidRPr="00506990" w:rsidRDefault="00F74B80" w:rsidP="00F77F79">
      <w:pPr>
        <w:spacing w:after="200"/>
        <w:ind w:left="708"/>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w:t>
      </w:r>
    </w:p>
    <w:p w14:paraId="79AFF750" w14:textId="77777777" w:rsidR="00F74B80" w:rsidRPr="00506990" w:rsidRDefault="00F74B80" w:rsidP="00F77F79">
      <w:pPr>
        <w:spacing w:after="12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segmentación define el nivel de las acciones de reclamo (tipo y escalonamiento) registrado el vencimiento:</w:t>
      </w:r>
    </w:p>
    <w:p w14:paraId="6EAFC3E0"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Mensajes de texto</w:t>
      </w:r>
    </w:p>
    <w:p w14:paraId="67FA667A"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 telefónico de voz</w:t>
      </w:r>
    </w:p>
    <w:p w14:paraId="0C3A4B2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particulares</w:t>
      </w:r>
    </w:p>
    <w:p w14:paraId="3361380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laborales</w:t>
      </w:r>
    </w:p>
    <w:p w14:paraId="33AE8AB4"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vinculados (familiares o de referencia)</w:t>
      </w:r>
    </w:p>
    <w:p w14:paraId="4A0BFD66"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Cartas</w:t>
      </w:r>
    </w:p>
    <w:p w14:paraId="4904FC02"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preventivos informando de próximos vencimientos</w:t>
      </w:r>
    </w:p>
    <w:p w14:paraId="5F44BD47"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metodología de trabajo impacta muy positivamente en el recupero de cuentas bajando sustancialmente el porcentaje de mora, al poder concentrar los esfuerzos de gestión según la probabilidad de morosidad de la cuenta.</w:t>
      </w:r>
    </w:p>
    <w:p w14:paraId="6B1E43DA" w14:textId="77777777" w:rsidR="00F74B80" w:rsidRPr="00506990" w:rsidRDefault="00F74B80" w:rsidP="003A7495">
      <w:pPr>
        <w:pStyle w:val="Prrafodelista"/>
        <w:numPr>
          <w:ilvl w:val="0"/>
          <w:numId w:val="15"/>
        </w:numPr>
        <w:ind w:left="714" w:hanging="357"/>
        <w:contextualSpacing w:val="0"/>
        <w:jc w:val="both"/>
        <w:rPr>
          <w:b/>
          <w:color w:val="0D0D0D" w:themeColor="text1" w:themeTint="F2"/>
          <w:sz w:val="22"/>
          <w:szCs w:val="22"/>
          <w:lang w:val="es-ES_tradnl"/>
        </w:rPr>
      </w:pPr>
      <w:r w:rsidRPr="00506990">
        <w:rPr>
          <w:b/>
          <w:color w:val="0D0D0D" w:themeColor="text1" w:themeTint="F2"/>
          <w:sz w:val="22"/>
          <w:szCs w:val="22"/>
          <w:u w:val="single"/>
          <w:lang w:val="es-ES_tradnl"/>
        </w:rPr>
        <w:t>Acciones de reclamo y cobranza</w:t>
      </w:r>
    </w:p>
    <w:p w14:paraId="031DF417" w14:textId="77777777" w:rsidR="00F74B80" w:rsidRPr="00506990" w:rsidRDefault="00F74B80" w:rsidP="003A7495">
      <w:pPr>
        <w:pStyle w:val="Prrafodelista"/>
        <w:numPr>
          <w:ilvl w:val="0"/>
          <w:numId w:val="9"/>
        </w:numPr>
        <w:spacing w:before="120" w:after="120"/>
        <w:ind w:left="1071"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Departamento Centralizado de Cobranzas</w:t>
      </w:r>
      <w:r w:rsidRPr="00506990">
        <w:rPr>
          <w:color w:val="0D0D0D" w:themeColor="text1" w:themeTint="F2"/>
          <w:sz w:val="22"/>
          <w:szCs w:val="22"/>
          <w:lang w:val="es-ES_tradnl"/>
        </w:rPr>
        <w:t>:</w:t>
      </w:r>
    </w:p>
    <w:p w14:paraId="2F29CD6E" w14:textId="77777777" w:rsidR="00F74B80" w:rsidRPr="00506990" w:rsidRDefault="00F74B80" w:rsidP="003A7495">
      <w:pPr>
        <w:pStyle w:val="Prrafodelista"/>
        <w:numPr>
          <w:ilvl w:val="0"/>
          <w:numId w:val="11"/>
        </w:numPr>
        <w:spacing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Temprana</w:t>
      </w:r>
      <w:r w:rsidRPr="00506990">
        <w:rPr>
          <w:color w:val="0D0D0D" w:themeColor="text1" w:themeTint="F2"/>
          <w:sz w:val="22"/>
          <w:szCs w:val="22"/>
          <w:lang w:val="es-ES_tradnl"/>
        </w:rPr>
        <w:t>: de 12 a 90 días de mora.</w:t>
      </w:r>
    </w:p>
    <w:p w14:paraId="71BABBD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Llamados Telefónicos con diferentes mensajes diseñados por días de atraso. Se utiliza sistema predictivo </w:t>
      </w:r>
      <w:r w:rsidR="00F30964" w:rsidRPr="00506990">
        <w:rPr>
          <w:color w:val="0D0D0D" w:themeColor="text1" w:themeTint="F2"/>
          <w:sz w:val="22"/>
          <w:szCs w:val="22"/>
        </w:rPr>
        <w:t>U-contact</w:t>
      </w:r>
      <w:r w:rsidRPr="00506990">
        <w:rPr>
          <w:color w:val="0D0D0D" w:themeColor="text1" w:themeTint="F2"/>
          <w:sz w:val="22"/>
          <w:szCs w:val="22"/>
        </w:rPr>
        <w:t xml:space="preserve">,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23C537D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whatsapp y/o e-mail.</w:t>
      </w:r>
    </w:p>
    <w:p w14:paraId="5FFD16CA"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0B6026BE" w14:textId="77777777" w:rsidR="00F74B80" w:rsidRPr="00506990" w:rsidRDefault="00F74B80" w:rsidP="003A7495">
      <w:pPr>
        <w:pStyle w:val="Prrafodelista"/>
        <w:numPr>
          <w:ilvl w:val="0"/>
          <w:numId w:val="11"/>
        </w:numPr>
        <w:spacing w:before="240"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Avanzada</w:t>
      </w:r>
      <w:r w:rsidRPr="00506990">
        <w:rPr>
          <w:color w:val="0D0D0D" w:themeColor="text1" w:themeTint="F2"/>
          <w:sz w:val="22"/>
          <w:szCs w:val="22"/>
          <w:lang w:val="es-ES_tradnl"/>
        </w:rPr>
        <w:t>: De 91 a 120 días de mora:</w:t>
      </w:r>
    </w:p>
    <w:p w14:paraId="02BAF4F5"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Llamados Telefónicos</w:t>
      </w:r>
    </w:p>
    <w:p w14:paraId="59541BB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e-mail.</w:t>
      </w:r>
    </w:p>
    <w:p w14:paraId="0AB91F7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7AF90818" w14:textId="77777777" w:rsidR="00F74B80" w:rsidRPr="00506990" w:rsidRDefault="00F74B80" w:rsidP="00F77F79">
      <w:pPr>
        <w:spacing w:before="120" w:after="120"/>
        <w:ind w:left="709" w:firstLine="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Las gestiones descriptas siguen los siguientes principios y secuencias de reclamo:</w:t>
      </w:r>
    </w:p>
    <w:p w14:paraId="3EB88831"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Desde 91 a 120 días de atraso: Intimación Pre Judicial</w:t>
      </w:r>
    </w:p>
    <w:p w14:paraId="484D82DD"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121 días de atraso: Último Aviso presentación expediente en Tribunales</w:t>
      </w:r>
    </w:p>
    <w:p w14:paraId="60A22190" w14:textId="77777777" w:rsidR="00F74B80" w:rsidRPr="00506990" w:rsidRDefault="00F74B80" w:rsidP="003A7495">
      <w:pPr>
        <w:pStyle w:val="Prrafodelista"/>
        <w:numPr>
          <w:ilvl w:val="0"/>
          <w:numId w:val="11"/>
        </w:numPr>
        <w:spacing w:before="240" w:after="120"/>
        <w:ind w:left="2124" w:hanging="1058"/>
        <w:contextualSpacing w:val="0"/>
        <w:jc w:val="both"/>
        <w:rPr>
          <w:color w:val="0D0D0D" w:themeColor="text1" w:themeTint="F2"/>
          <w:sz w:val="22"/>
          <w:szCs w:val="22"/>
          <w:lang w:val="es-ES_tradnl"/>
        </w:rPr>
      </w:pPr>
      <w:r w:rsidRPr="00506990">
        <w:rPr>
          <w:b/>
          <w:color w:val="0D0D0D" w:themeColor="text1" w:themeTint="F2"/>
          <w:sz w:val="22"/>
          <w:szCs w:val="22"/>
          <w:lang w:val="es-ES_tradnl"/>
        </w:rPr>
        <w:t>Judicial</w:t>
      </w:r>
      <w:r w:rsidRPr="00506990">
        <w:rPr>
          <w:color w:val="0D0D0D" w:themeColor="text1" w:themeTint="F2"/>
          <w:sz w:val="22"/>
          <w:szCs w:val="22"/>
          <w:lang w:val="es-ES_tradnl"/>
        </w:rPr>
        <w:t>: Superado los 120 días de mora se definen los créditos a judicializar. En todos los casos se dispone de pagaré firmado por el cliente y en su caso garante, lo que facilita la cobrabilidad del juicio en menor tiempo por disponer de procesos ejecutivos.</w:t>
      </w:r>
    </w:p>
    <w:p w14:paraId="46EE83E1"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7461E2A" w14:textId="77777777" w:rsidR="00F74B80" w:rsidRPr="00506990" w:rsidRDefault="00F74B80" w:rsidP="003A7495">
      <w:pPr>
        <w:pStyle w:val="Prrafodelista"/>
        <w:numPr>
          <w:ilvl w:val="0"/>
          <w:numId w:val="9"/>
        </w:numPr>
        <w:spacing w:before="240" w:after="120"/>
        <w:ind w:left="1071"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Otras acciones y modalidades de reclamo:</w:t>
      </w:r>
    </w:p>
    <w:p w14:paraId="67FFF969"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Back Office</w:t>
      </w:r>
      <w:r w:rsidRPr="00506990">
        <w:rPr>
          <w:color w:val="0D0D0D" w:themeColor="text1" w:themeTint="F2"/>
          <w:sz w:val="22"/>
          <w:szCs w:val="22"/>
          <w:lang w:val="es-ES_tradnl"/>
        </w:rPr>
        <w:t>: ante la dificultad de contacto en los teléfonos disponibles, se activa un circuito de averiguación de datos a través de un grupo de operadores, tendientes a localizar al deudor, para luego reinsertarlo en el circuito de reclamos.</w:t>
      </w:r>
    </w:p>
    <w:p w14:paraId="62102E46"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Visitas domiciliarias</w:t>
      </w:r>
      <w:r w:rsidRPr="00506990">
        <w:rPr>
          <w:color w:val="0D0D0D" w:themeColor="text1" w:themeTint="F2"/>
          <w:sz w:val="22"/>
          <w:szCs w:val="22"/>
          <w:lang w:val="es-ES_tradnl"/>
        </w:rPr>
        <w:t>: personal de las sucursales de venta realizan acciones personales de cobranza en el domicilio del deudor, cuando no fuera posible ubicarlo por otros medios y/o las características de la deuda lo ameriten.</w:t>
      </w:r>
    </w:p>
    <w:p w14:paraId="21CC1A4F" w14:textId="77777777" w:rsidR="005B4BF5"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Sucursales</w:t>
      </w:r>
      <w:r w:rsidRPr="00506990">
        <w:rPr>
          <w:color w:val="0D0D0D" w:themeColor="text1" w:themeTint="F2"/>
          <w:sz w:val="22"/>
          <w:szCs w:val="22"/>
          <w:lang w:val="es-ES_tradnl"/>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w:t>
      </w:r>
      <w:r w:rsidR="005B4BF5" w:rsidRPr="00506990">
        <w:rPr>
          <w:color w:val="0D0D0D" w:themeColor="text1" w:themeTint="F2"/>
          <w:sz w:val="22"/>
          <w:szCs w:val="22"/>
          <w:lang w:val="es-ES_tradnl"/>
        </w:rPr>
        <w:t xml:space="preserve"> Se realiza además un seguimiento de efectividad de cobranzas o refinanciaciones realizadas por los Operadores de Caja de Sucursales, tendiente a recuperar el máximo de lo adeudado.</w:t>
      </w:r>
    </w:p>
    <w:p w14:paraId="382DE207" w14:textId="77777777" w:rsidR="00CC479E" w:rsidRPr="000579E7" w:rsidRDefault="00F74B80" w:rsidP="003A7495">
      <w:pPr>
        <w:pStyle w:val="Prrafodelista"/>
        <w:keepNext/>
        <w:numPr>
          <w:ilvl w:val="0"/>
          <w:numId w:val="13"/>
        </w:numPr>
        <w:suppressAutoHyphens/>
        <w:spacing w:after="120" w:line="240" w:lineRule="atLeast"/>
        <w:contextualSpacing w:val="0"/>
        <w:jc w:val="both"/>
        <w:rPr>
          <w:b/>
          <w:color w:val="0D0D0D" w:themeColor="text1" w:themeTint="F2"/>
          <w:sz w:val="22"/>
          <w:szCs w:val="22"/>
        </w:rPr>
      </w:pPr>
      <w:r w:rsidRPr="000579E7">
        <w:rPr>
          <w:b/>
          <w:color w:val="0D0D0D" w:themeColor="text1" w:themeTint="F2"/>
          <w:sz w:val="22"/>
          <w:szCs w:val="22"/>
          <w:lang w:val="es-ES_tradnl"/>
        </w:rPr>
        <w:t>Afectaciones Comerciales</w:t>
      </w:r>
      <w:r w:rsidRPr="000579E7">
        <w:rPr>
          <w:color w:val="0D0D0D" w:themeColor="text1" w:themeTint="F2"/>
          <w:sz w:val="22"/>
          <w:szCs w:val="22"/>
          <w:lang w:val="es-ES_tradnl"/>
        </w:rPr>
        <w:t xml:space="preserve">: mensualmente </w:t>
      </w:r>
      <w:r w:rsidR="00F30964" w:rsidRPr="000579E7">
        <w:rPr>
          <w:color w:val="0D0D0D" w:themeColor="text1" w:themeTint="F2"/>
          <w:sz w:val="22"/>
          <w:szCs w:val="22"/>
          <w:lang w:val="es-ES_tradnl"/>
        </w:rPr>
        <w:t xml:space="preserve">se afecta y desafecta en Institutos de informes a nivel Local, Regional y Nacional, analizándose </w:t>
      </w:r>
      <w:r w:rsidRPr="000579E7">
        <w:rPr>
          <w:color w:val="0D0D0D" w:themeColor="text1" w:themeTint="F2"/>
          <w:sz w:val="22"/>
          <w:szCs w:val="22"/>
          <w:lang w:val="es-ES_tradnl"/>
        </w:rPr>
        <w:t>procedencia según criterios de Gerencia.</w:t>
      </w:r>
    </w:p>
    <w:p w14:paraId="706751E6" w14:textId="45490BBB"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Cs/>
          <w:i/>
          <w:iCs/>
          <w:color w:val="0D0D0D" w:themeColor="text1" w:themeTint="F2"/>
          <w:sz w:val="22"/>
          <w:szCs w:val="22"/>
          <w:lang w:val="es-ES"/>
        </w:rPr>
        <w:t>Análisis de la cartera a la fecha de corte</w:t>
      </w:r>
    </w:p>
    <w:p w14:paraId="59DE9287" w14:textId="60E0CB41" w:rsidR="004049CC" w:rsidRDefault="004049CC" w:rsidP="009E4ECD">
      <w:pPr>
        <w:pStyle w:val="Textosinformato"/>
        <w:jc w:val="center"/>
        <w:rPr>
          <w:noProof/>
          <w:lang w:val="es-AR" w:eastAsia="es-AR"/>
        </w:rPr>
      </w:pPr>
    </w:p>
    <w:p w14:paraId="51608599" w14:textId="35F84430" w:rsidR="00C87039" w:rsidRDefault="007732BA" w:rsidP="009E4ECD">
      <w:pPr>
        <w:pStyle w:val="Textosinformato"/>
        <w:jc w:val="center"/>
        <w:rPr>
          <w:noProof/>
          <w:lang w:val="es-AR" w:eastAsia="es-AR"/>
        </w:rPr>
      </w:pPr>
      <w:r w:rsidRPr="007732BA">
        <w:rPr>
          <w:noProof/>
          <w:lang w:val="es-AR" w:eastAsia="es-AR"/>
        </w:rPr>
        <w:t xml:space="preserve"> </w:t>
      </w:r>
      <w:r w:rsidR="00840115" w:rsidRPr="00840115">
        <w:rPr>
          <w:noProof/>
          <w:lang w:val="es-AR" w:eastAsia="es-AR"/>
        </w:rPr>
        <w:drawing>
          <wp:inline distT="0" distB="0" distL="0" distR="0" wp14:anchorId="313FF333" wp14:editId="3D26F48F">
            <wp:extent cx="5613400" cy="1185759"/>
            <wp:effectExtent l="0" t="0" r="635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13400" cy="1185759"/>
                    </a:xfrm>
                    <a:prstGeom prst="rect">
                      <a:avLst/>
                    </a:prstGeom>
                    <a:noFill/>
                    <a:ln>
                      <a:noFill/>
                    </a:ln>
                  </pic:spPr>
                </pic:pic>
              </a:graphicData>
            </a:graphic>
          </wp:inline>
        </w:drawing>
      </w:r>
    </w:p>
    <w:p w14:paraId="2FEBD9CE" w14:textId="77777777" w:rsidR="00055138" w:rsidRDefault="00055138" w:rsidP="009E4ECD">
      <w:pPr>
        <w:pStyle w:val="Textosinformato"/>
        <w:jc w:val="center"/>
        <w:rPr>
          <w:noProof/>
          <w:lang w:val="es-AR" w:eastAsia="es-AR"/>
        </w:rPr>
      </w:pPr>
    </w:p>
    <w:p w14:paraId="060F7C12" w14:textId="77777777" w:rsidR="00055138" w:rsidRDefault="00055138" w:rsidP="009E4ECD">
      <w:pPr>
        <w:pStyle w:val="Textosinformato"/>
        <w:jc w:val="center"/>
        <w:rPr>
          <w:noProof/>
          <w:lang w:val="es-AR" w:eastAsia="es-AR"/>
        </w:rPr>
      </w:pPr>
    </w:p>
    <w:p w14:paraId="76F67E4B" w14:textId="40C7BF31" w:rsidR="004049CC" w:rsidRDefault="00840115" w:rsidP="009E4ECD">
      <w:pPr>
        <w:pStyle w:val="Textosinformato"/>
        <w:jc w:val="center"/>
        <w:rPr>
          <w:noProof/>
          <w:lang w:val="es-AR" w:eastAsia="es-AR"/>
        </w:rPr>
      </w:pPr>
      <w:r w:rsidRPr="00840115">
        <w:rPr>
          <w:noProof/>
          <w:lang w:val="es-AR" w:eastAsia="es-AR"/>
        </w:rPr>
        <w:drawing>
          <wp:inline distT="0" distB="0" distL="0" distR="0" wp14:anchorId="0F87FF3B" wp14:editId="60B49C95">
            <wp:extent cx="5613400" cy="1116199"/>
            <wp:effectExtent l="0" t="0" r="6350" b="825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13400" cy="1116199"/>
                    </a:xfrm>
                    <a:prstGeom prst="rect">
                      <a:avLst/>
                    </a:prstGeom>
                    <a:noFill/>
                    <a:ln>
                      <a:noFill/>
                    </a:ln>
                  </pic:spPr>
                </pic:pic>
              </a:graphicData>
            </a:graphic>
          </wp:inline>
        </w:drawing>
      </w: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517D3D1A"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840115" w:rsidRPr="00840115">
        <w:rPr>
          <w:noProof/>
          <w:lang w:val="es-AR" w:eastAsia="es-AR"/>
        </w:rPr>
        <w:drawing>
          <wp:inline distT="0" distB="0" distL="0" distR="0" wp14:anchorId="16E67ADB" wp14:editId="4229C7A7">
            <wp:extent cx="5613400" cy="1818867"/>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3400" cy="1818867"/>
                    </a:xfrm>
                    <a:prstGeom prst="rect">
                      <a:avLst/>
                    </a:prstGeom>
                    <a:noFill/>
                    <a:ln>
                      <a:noFill/>
                    </a:ln>
                  </pic:spPr>
                </pic:pic>
              </a:graphicData>
            </a:graphic>
          </wp:inline>
        </w:drawing>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0EC0422A" w:rsidR="00DF2624" w:rsidRDefault="005B2B56">
      <w:pPr>
        <w:pStyle w:val="Textosinformato"/>
        <w:jc w:val="center"/>
        <w:rPr>
          <w:rFonts w:ascii="Times New Roman" w:hAnsi="Times New Roman"/>
          <w:b/>
          <w:iCs/>
          <w:color w:val="0D0D0D" w:themeColor="text1" w:themeTint="F2"/>
          <w:sz w:val="22"/>
          <w:szCs w:val="22"/>
          <w:lang w:val="es-ES"/>
        </w:rP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840115" w:rsidRPr="00840115">
        <w:rPr>
          <w:noProof/>
          <w:lang w:val="es-AR" w:eastAsia="es-AR"/>
        </w:rPr>
        <w:drawing>
          <wp:inline distT="0" distB="0" distL="0" distR="0" wp14:anchorId="18EADEE0" wp14:editId="3C00D664">
            <wp:extent cx="5613400" cy="1863484"/>
            <wp:effectExtent l="0" t="0" r="6350" b="381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3400" cy="1863484"/>
                    </a:xfrm>
                    <a:prstGeom prst="rect">
                      <a:avLst/>
                    </a:prstGeom>
                    <a:noFill/>
                    <a:ln>
                      <a:noFill/>
                    </a:ln>
                  </pic:spPr>
                </pic:pic>
              </a:graphicData>
            </a:graphic>
          </wp:inline>
        </w:drawing>
      </w:r>
      <w:r w:rsidR="007732BA" w:rsidRPr="007732BA">
        <w:t xml:space="preserve"> </w:t>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44037894" w:rsidR="00AF1E9B" w:rsidRPr="00506990" w:rsidRDefault="00DB5AEE" w:rsidP="00AC5521">
      <w:pPr>
        <w:pStyle w:val="Textosinformato"/>
        <w:jc w:val="center"/>
        <w:rPr>
          <w:rFonts w:ascii="Times New Roman" w:hAnsi="Times New Roman"/>
        </w:rPr>
      </w:pPr>
      <w:r w:rsidRPr="00DB5AEE">
        <w:rPr>
          <w:noProof/>
          <w:lang w:val="es-AR" w:eastAsia="es-AR"/>
        </w:rPr>
        <w:drawing>
          <wp:inline distT="0" distB="0" distL="0" distR="0" wp14:anchorId="1895C734" wp14:editId="0A252887">
            <wp:extent cx="5613400" cy="2012261"/>
            <wp:effectExtent l="0" t="0" r="635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3400" cy="2012261"/>
                    </a:xfrm>
                    <a:prstGeom prst="rect">
                      <a:avLst/>
                    </a:prstGeom>
                    <a:noFill/>
                    <a:ln>
                      <a:noFill/>
                    </a:ln>
                  </pic:spPr>
                </pic:pic>
              </a:graphicData>
            </a:graphic>
          </wp:inline>
        </w:drawing>
      </w:r>
      <w:r w:rsidR="007732BA" w:rsidRPr="007732BA">
        <w:t xml:space="preserve"> </w:t>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26B9ED09" w:rsidR="006D4935" w:rsidRDefault="000A4C2E">
      <w:pPr>
        <w:pStyle w:val="Textosinformato"/>
        <w:jc w:val="center"/>
        <w:rPr>
          <w:rFonts w:ascii="Times New Roman" w:hAnsi="Times New Roman"/>
          <w:b/>
          <w:iCs/>
          <w:color w:val="0D0D0D" w:themeColor="text1" w:themeTint="F2"/>
          <w:sz w:val="22"/>
          <w:szCs w:val="22"/>
          <w:lang w:val="es-ES"/>
        </w:rPr>
      </w:pPr>
      <w:r w:rsidRPr="000A4C2E">
        <w:rPr>
          <w:noProof/>
          <w:lang w:val="es-AR" w:eastAsia="es-AR"/>
        </w:rPr>
        <w:drawing>
          <wp:inline distT="0" distB="0" distL="0" distR="0" wp14:anchorId="43B330F2" wp14:editId="743DEFFA">
            <wp:extent cx="5613400" cy="1787938"/>
            <wp:effectExtent l="0" t="0" r="6350" b="317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3400" cy="1787938"/>
                    </a:xfrm>
                    <a:prstGeom prst="rect">
                      <a:avLst/>
                    </a:prstGeom>
                    <a:noFill/>
                    <a:ln>
                      <a:noFill/>
                    </a:ln>
                  </pic:spPr>
                </pic:pic>
              </a:graphicData>
            </a:graphic>
          </wp:inline>
        </w:drawing>
      </w:r>
      <w:r w:rsidR="00B14F63" w:rsidRPr="00B14F63" w:rsidDel="00411929">
        <w:t xml:space="preserve"> </w:t>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18479571"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1B7B5797" w:rsidR="00DF2624" w:rsidRDefault="007732BA">
      <w:pPr>
        <w:pStyle w:val="Textosinformato"/>
        <w:jc w:val="center"/>
        <w:rPr>
          <w:rFonts w:ascii="Times New Roman" w:hAnsi="Times New Roman"/>
          <w:b/>
          <w:iCs/>
          <w:color w:val="0D0D0D" w:themeColor="text1" w:themeTint="F2"/>
          <w:sz w:val="22"/>
          <w:szCs w:val="22"/>
          <w:lang w:val="es-ES"/>
        </w:rPr>
      </w:pPr>
      <w:r w:rsidRPr="007732BA">
        <w:t xml:space="preserve"> </w:t>
      </w:r>
      <w:r w:rsidR="000A4C2E" w:rsidRPr="000A4C2E">
        <w:rPr>
          <w:noProof/>
          <w:lang w:val="es-AR" w:eastAsia="es-AR"/>
        </w:rPr>
        <w:drawing>
          <wp:inline distT="0" distB="0" distL="0" distR="0" wp14:anchorId="23092936" wp14:editId="53D9BBC1">
            <wp:extent cx="5613400" cy="2197789"/>
            <wp:effectExtent l="0" t="0" r="635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3400" cy="2197789"/>
                    </a:xfrm>
                    <a:prstGeom prst="rect">
                      <a:avLst/>
                    </a:prstGeom>
                    <a:noFill/>
                    <a:ln>
                      <a:noFill/>
                    </a:ln>
                  </pic:spPr>
                </pic:pic>
              </a:graphicData>
            </a:graphic>
          </wp:inline>
        </w:drawing>
      </w:r>
      <w:r w:rsidR="00B14F63" w:rsidRPr="00B14F63" w:rsidDel="00411929">
        <w:t xml:space="preserve"> </w:t>
      </w: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2177792F" w:rsidR="00C74D2C" w:rsidRPr="00642266" w:rsidRDefault="00C74D2C" w:rsidP="00C74D2C">
      <w:pPr>
        <w:pStyle w:val="Textosinformato"/>
        <w:jc w:val="center"/>
        <w:rPr>
          <w:rFonts w:ascii="Times New Roman" w:hAnsi="Times New Roman"/>
          <w:b/>
          <w:iCs/>
          <w:lang w:val="es-AR"/>
        </w:rPr>
      </w:pPr>
      <w:r w:rsidRPr="007732BA">
        <w:t xml:space="preserve"> </w:t>
      </w:r>
      <w:r w:rsidR="000A4C2E" w:rsidRPr="000A4C2E">
        <w:rPr>
          <w:noProof/>
          <w:lang w:val="es-AR" w:eastAsia="es-AR"/>
        </w:rPr>
        <w:drawing>
          <wp:inline distT="0" distB="0" distL="0" distR="0" wp14:anchorId="78D03E1B" wp14:editId="59C16013">
            <wp:extent cx="5613400" cy="676550"/>
            <wp:effectExtent l="0" t="0" r="6350"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13400" cy="676550"/>
                    </a:xfrm>
                    <a:prstGeom prst="rect">
                      <a:avLst/>
                    </a:prstGeom>
                    <a:noFill/>
                    <a:ln>
                      <a:noFill/>
                    </a:ln>
                  </pic:spPr>
                </pic:pic>
              </a:graphicData>
            </a:graphic>
          </wp:inline>
        </w:drawing>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012BF6E7" w:rsidR="00615AFD" w:rsidRPr="00642266" w:rsidRDefault="000A4C2E" w:rsidP="00C00C15">
      <w:pPr>
        <w:pStyle w:val="Textosinformato"/>
        <w:jc w:val="center"/>
        <w:rPr>
          <w:rFonts w:ascii="Times New Roman" w:hAnsi="Times New Roman"/>
          <w:b/>
          <w:iCs/>
          <w:color w:val="0D0D0D" w:themeColor="text1" w:themeTint="F2"/>
          <w:sz w:val="22"/>
          <w:szCs w:val="22"/>
          <w:lang w:val="es-ES"/>
        </w:rPr>
      </w:pPr>
      <w:r w:rsidRPr="000A4C2E">
        <w:rPr>
          <w:noProof/>
          <w:lang w:val="es-AR" w:eastAsia="es-AR"/>
        </w:rPr>
        <w:drawing>
          <wp:inline distT="0" distB="0" distL="0" distR="0" wp14:anchorId="37EC8BC9" wp14:editId="49AE42A0">
            <wp:extent cx="5613400" cy="682088"/>
            <wp:effectExtent l="0" t="0" r="6350" b="381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13400" cy="682088"/>
                    </a:xfrm>
                    <a:prstGeom prst="rect">
                      <a:avLst/>
                    </a:prstGeom>
                    <a:noFill/>
                    <a:ln>
                      <a:noFill/>
                    </a:ln>
                  </pic:spPr>
                </pic:pic>
              </a:graphicData>
            </a:graphic>
          </wp:inline>
        </w:drawing>
      </w:r>
      <w:r w:rsidR="007732BA" w:rsidRPr="007732BA">
        <w:t xml:space="preserve"> </w:t>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0BC131FE" w:rsidR="00C50A1B" w:rsidRPr="00642266" w:rsidRDefault="00B14F63" w:rsidP="00A90903">
      <w:pPr>
        <w:pStyle w:val="Textosinformato"/>
        <w:jc w:val="center"/>
        <w:rPr>
          <w:rFonts w:ascii="Times New Roman" w:hAnsi="Times New Roman"/>
          <w:b/>
          <w:iCs/>
          <w:color w:val="0D0D0D" w:themeColor="text1" w:themeTint="F2"/>
          <w:sz w:val="22"/>
          <w:szCs w:val="22"/>
          <w:lang w:val="es-ES"/>
        </w:rPr>
      </w:pPr>
      <w:r w:rsidRPr="00642266" w:rsidDel="00411929">
        <w:t xml:space="preserve"> </w:t>
      </w:r>
      <w:r w:rsidR="007732BA" w:rsidRPr="007732BA">
        <w:rPr>
          <w:rFonts w:ascii="Times New Roman" w:hAnsi="Times New Roman"/>
          <w:b/>
          <w:iCs/>
          <w:color w:val="0D0D0D" w:themeColor="text1" w:themeTint="F2"/>
          <w:sz w:val="22"/>
          <w:szCs w:val="22"/>
          <w:lang w:val="es-ES"/>
        </w:rPr>
        <w:t xml:space="preserve"> </w:t>
      </w:r>
      <w:r w:rsidR="000A4C2E" w:rsidRPr="000A4C2E">
        <w:rPr>
          <w:noProof/>
          <w:lang w:val="es-AR" w:eastAsia="es-AR"/>
        </w:rPr>
        <w:drawing>
          <wp:inline distT="0" distB="0" distL="0" distR="0" wp14:anchorId="56208709" wp14:editId="06EE7E53">
            <wp:extent cx="5613400" cy="3994938"/>
            <wp:effectExtent l="0" t="0" r="6350" b="571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13400" cy="3994938"/>
                    </a:xfrm>
                    <a:prstGeom prst="rect">
                      <a:avLst/>
                    </a:prstGeom>
                    <a:noFill/>
                    <a:ln>
                      <a:noFill/>
                    </a:ln>
                  </pic:spPr>
                </pic:pic>
              </a:graphicData>
            </a:graphic>
          </wp:inline>
        </w:drawing>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Pr="008B3986" w:rsidRDefault="00F74B80" w:rsidP="00A90903">
      <w:pPr>
        <w:pStyle w:val="Textosinformato"/>
        <w:jc w:val="center"/>
        <w:rPr>
          <w:rFonts w:ascii="Times New Roman" w:hAnsi="Times New Roman"/>
          <w:b/>
          <w:color w:val="0D0D0D" w:themeColor="text1" w:themeTint="F2"/>
          <w:sz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759EF01" w14:textId="0D3585C6" w:rsidR="00B14F63" w:rsidRPr="008B3986" w:rsidRDefault="00257E33" w:rsidP="00A90903">
      <w:pPr>
        <w:pStyle w:val="Textosinformato"/>
        <w:jc w:val="center"/>
        <w:rPr>
          <w:rFonts w:ascii="Times New Roman" w:hAnsi="Times New Roman"/>
          <w:b/>
          <w:color w:val="0D0D0D" w:themeColor="text1" w:themeTint="F2"/>
          <w:sz w:val="22"/>
          <w:lang w:val="es-ES"/>
        </w:rPr>
      </w:pPr>
      <w:r w:rsidRPr="00257E33" w:rsidDel="004F6FC3">
        <w:t xml:space="preserve"> </w:t>
      </w:r>
      <w:r w:rsidR="000A4C2E" w:rsidRPr="000A4C2E">
        <w:rPr>
          <w:noProof/>
          <w:lang w:val="es-AR" w:eastAsia="es-AR"/>
        </w:rPr>
        <w:drawing>
          <wp:inline distT="0" distB="0" distL="0" distR="0" wp14:anchorId="251428AC" wp14:editId="1FAF57CF">
            <wp:extent cx="6327882" cy="450342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34533" cy="4508153"/>
                    </a:xfrm>
                    <a:prstGeom prst="rect">
                      <a:avLst/>
                    </a:prstGeom>
                    <a:noFill/>
                    <a:ln>
                      <a:noFill/>
                    </a:ln>
                  </pic:spPr>
                </pic:pic>
              </a:graphicData>
            </a:graphic>
          </wp:inline>
        </w:drawing>
      </w:r>
      <w:r w:rsidR="000A4C2E" w:rsidRPr="000A4C2E" w:rsidDel="000A4C2E">
        <w:rPr>
          <w:highlight w:val="yellow"/>
        </w:rPr>
        <w:t xml:space="preserve"> </w:t>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bookmarkStart w:id="87" w:name="_Toc20409091"/>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4537F485" w14:textId="46B72421" w:rsidR="008F4615" w:rsidRPr="00902490" w:rsidRDefault="00F74B80">
      <w:pPr>
        <w:pStyle w:val="Ttulo1"/>
        <w:jc w:val="center"/>
        <w:rPr>
          <w:rFonts w:ascii="Times New Roman" w:hAnsi="Times New Roman"/>
          <w:sz w:val="22"/>
        </w:rPr>
      </w:pPr>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87"/>
    </w:p>
    <w:p w14:paraId="00B44FF8" w14:textId="77777777" w:rsidR="00666A6A" w:rsidRPr="009E2BE5" w:rsidRDefault="00666A6A" w:rsidP="009E2BE5"/>
    <w:p w14:paraId="02CD54F3" w14:textId="4C9B3CE1" w:rsidR="00D96364" w:rsidRDefault="0068548A" w:rsidP="00A90903">
      <w:pPr>
        <w:keepNext/>
        <w:suppressAutoHyphens/>
        <w:spacing w:after="120"/>
        <w:jc w:val="left"/>
        <w:rPr>
          <w:rFonts w:ascii="Times New Roman" w:hAnsi="Times New Roman" w:cs="Times New Roman"/>
          <w:b/>
          <w:bCs/>
          <w:iCs/>
          <w:color w:val="0D0D0D" w:themeColor="text1" w:themeTint="F2"/>
          <w:sz w:val="22"/>
          <w:szCs w:val="22"/>
        </w:rPr>
      </w:pPr>
      <w:r w:rsidRPr="0068548A">
        <w:rPr>
          <w:rStyle w:val="Refdecomentario"/>
        </w:rPr>
        <w:t xml:space="preserve"> </w:t>
      </w:r>
      <w:r w:rsidRPr="0068548A" w:rsidDel="00443D86">
        <w:t xml:space="preserve"> </w:t>
      </w:r>
      <w:r w:rsidR="006E239C" w:rsidRPr="006E239C">
        <w:rPr>
          <w:noProof/>
          <w:lang w:val="es-AR" w:eastAsia="es-AR"/>
        </w:rPr>
        <w:drawing>
          <wp:inline distT="0" distB="0" distL="0" distR="0" wp14:anchorId="4478C7B7" wp14:editId="03534258">
            <wp:extent cx="5613400" cy="2609763"/>
            <wp:effectExtent l="0" t="0" r="6350" b="63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613400" cy="2609763"/>
                    </a:xfrm>
                    <a:prstGeom prst="rect">
                      <a:avLst/>
                    </a:prstGeom>
                    <a:noFill/>
                    <a:ln>
                      <a:noFill/>
                    </a:ln>
                  </pic:spPr>
                </pic:pic>
              </a:graphicData>
            </a:graphic>
          </wp:inline>
        </w:drawing>
      </w:r>
    </w:p>
    <w:p w14:paraId="70AA9885" w14:textId="38741A91"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2276F7">
        <w:rPr>
          <w:rFonts w:ascii="Times New Roman" w:hAnsi="Times New Roman" w:cs="Times New Roman"/>
          <w:bCs/>
          <w:iCs/>
          <w:color w:val="0D0D0D" w:themeColor="text1" w:themeTint="F2"/>
          <w:sz w:val="22"/>
          <w:szCs w:val="22"/>
        </w:rPr>
        <w:t xml:space="preserve"> </w:t>
      </w:r>
      <w:r w:rsidR="00224BAF" w:rsidRPr="002276F7">
        <w:rPr>
          <w:rFonts w:ascii="Times New Roman" w:hAnsi="Times New Roman" w:cs="Times New Roman"/>
          <w:bCs/>
          <w:iCs/>
          <w:color w:val="0D0D0D" w:themeColor="text1" w:themeTint="F2"/>
          <w:sz w:val="22"/>
          <w:szCs w:val="22"/>
        </w:rPr>
        <w:t>31</w:t>
      </w:r>
      <w:r w:rsidR="00304DB6" w:rsidRPr="000243E5">
        <w:rPr>
          <w:rFonts w:ascii="Times New Roman" w:hAnsi="Times New Roman" w:cs="Times New Roman"/>
          <w:color w:val="0D0D0D" w:themeColor="text1" w:themeTint="F2"/>
          <w:sz w:val="22"/>
          <w:szCs w:val="22"/>
          <w:lang w:val="es-MX"/>
        </w:rPr>
        <w:t xml:space="preserve"> de </w:t>
      </w:r>
      <w:r w:rsidR="00224BAF">
        <w:rPr>
          <w:rFonts w:ascii="Times New Roman" w:hAnsi="Times New Roman" w:cs="Times New Roman"/>
          <w:color w:val="0D0D0D" w:themeColor="text1" w:themeTint="F2"/>
          <w:sz w:val="22"/>
          <w:szCs w:val="22"/>
          <w:lang w:val="es-MX"/>
        </w:rPr>
        <w:t>octubre</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B87B0D">
        <w:rPr>
          <w:rFonts w:ascii="Times New Roman" w:hAnsi="Times New Roman" w:cs="Times New Roman"/>
          <w:bCs/>
          <w:iCs/>
          <w:color w:val="0D0D0D" w:themeColor="text1" w:themeTint="F2"/>
          <w:sz w:val="22"/>
          <w:szCs w:val="22"/>
        </w:rPr>
        <w:t>3</w:t>
      </w:r>
      <w:r w:rsidR="00224BAF">
        <w:rPr>
          <w:rFonts w:ascii="Times New Roman" w:hAnsi="Times New Roman" w:cs="Times New Roman"/>
          <w:bCs/>
          <w:iCs/>
          <w:color w:val="0D0D0D" w:themeColor="text1" w:themeTint="F2"/>
          <w:sz w:val="22"/>
          <w:szCs w:val="22"/>
        </w:rPr>
        <w:t>.</w:t>
      </w:r>
    </w:p>
    <w:p w14:paraId="2BA2320F" w14:textId="6CF26C2E" w:rsidR="006E06A3" w:rsidRDefault="006E06A3" w:rsidP="00DB405C">
      <w:pPr>
        <w:keepNext/>
        <w:suppressAutoHyphens/>
        <w:spacing w:after="120"/>
        <w:rPr>
          <w:rFonts w:ascii="Times New Roman" w:hAnsi="Times New Roman" w:cs="Times New Roman"/>
          <w:b/>
          <w:bCs/>
          <w:iCs/>
          <w:color w:val="0D0D0D" w:themeColor="text1" w:themeTint="F2"/>
          <w:sz w:val="22"/>
          <w:szCs w:val="22"/>
          <w:u w:val="single"/>
        </w:rPr>
      </w:pPr>
    </w:p>
    <w:p w14:paraId="594C2D1F"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de la Cartera cedida (Capital más Intereses).</w:t>
      </w:r>
    </w:p>
    <w:p w14:paraId="5A6BD541"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Neto de Precancelaciones, Mora e Incobrabilidad.</w:t>
      </w:r>
    </w:p>
    <w:p w14:paraId="75E0F407" w14:textId="77777777" w:rsidR="00C50A1B" w:rsidRPr="00D160A5" w:rsidRDefault="00C50A1B" w:rsidP="00C50A1B">
      <w:pPr>
        <w:rPr>
          <w:rFonts w:ascii="Times New Roman" w:hAnsi="Times New Roman" w:cs="Times New Roman"/>
          <w:i/>
          <w:color w:val="002060"/>
          <w:sz w:val="18"/>
        </w:rPr>
      </w:pPr>
      <w:r w:rsidRPr="00D160A5">
        <w:rPr>
          <w:rFonts w:ascii="Times New Roman" w:hAnsi="Times New Roman" w:cs="Times New Roman"/>
          <w:noProof/>
          <w:color w:val="002060"/>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7C0FA72C" w14:textId="77777777" w:rsidR="00983947" w:rsidRDefault="00983947" w:rsidP="00983947">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 la fecha del presente Suplemento de Prospecto, </w:t>
      </w:r>
      <w:r>
        <w:rPr>
          <w:rFonts w:ascii="Times New Roman" w:hAnsi="Times New Roman"/>
          <w:color w:val="0D0D0D"/>
          <w:sz w:val="22"/>
          <w:szCs w:val="22"/>
          <w:lang w:val="es-AR"/>
        </w:rPr>
        <w:t xml:space="preserve">la </w:t>
      </w:r>
      <w:r w:rsidRPr="00506990">
        <w:rPr>
          <w:rFonts w:ascii="Times New Roman" w:hAnsi="Times New Roman"/>
          <w:color w:val="0D0D0D"/>
          <w:sz w:val="22"/>
          <w:szCs w:val="22"/>
          <w:lang w:val="es-AR"/>
        </w:rPr>
        <w:t xml:space="preserve">Cobranza </w:t>
      </w:r>
      <w:r>
        <w:rPr>
          <w:rFonts w:ascii="Times New Roman" w:hAnsi="Times New Roman"/>
          <w:color w:val="0D0D0D"/>
          <w:sz w:val="22"/>
          <w:szCs w:val="22"/>
          <w:lang w:val="es-AR"/>
        </w:rPr>
        <w:t>acumulada asciende a $</w:t>
      </w:r>
      <w:r w:rsidRPr="0019628F">
        <w:rPr>
          <w:rFonts w:ascii="Times New Roman" w:hAnsi="Times New Roman"/>
          <w:color w:val="0D0D0D"/>
          <w:sz w:val="22"/>
          <w:szCs w:val="22"/>
          <w:lang w:val="es-AR"/>
        </w:rPr>
        <w:t>176.910.555,53</w:t>
      </w:r>
      <w:r>
        <w:rPr>
          <w:rFonts w:ascii="Times New Roman" w:hAnsi="Times New Roman"/>
          <w:color w:val="0D0D0D"/>
          <w:sz w:val="22"/>
          <w:szCs w:val="22"/>
          <w:lang w:val="es-AR"/>
        </w:rPr>
        <w:t>.</w:t>
      </w:r>
    </w:p>
    <w:p w14:paraId="182B9708" w14:textId="77777777" w:rsidR="003C59AC" w:rsidRPr="00506990" w:rsidRDefault="003C59AC" w:rsidP="00F77F79">
      <w:pPr>
        <w:pStyle w:val="Textosinformato"/>
        <w:jc w:val="both"/>
        <w:rPr>
          <w:rFonts w:ascii="Times New Roman" w:hAnsi="Times New Roman"/>
          <w:color w:val="0D0D0D"/>
          <w:sz w:val="22"/>
          <w:szCs w:val="22"/>
          <w:lang w:val="es-AR"/>
        </w:rPr>
      </w:pPr>
    </w:p>
    <w:p w14:paraId="6410BB0F" w14:textId="09534402"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6E22F6" w:rsidRPr="000243E5">
        <w:rPr>
          <w:rFonts w:ascii="Times New Roman" w:hAnsi="Times New Roman"/>
          <w:color w:val="0D0D0D" w:themeColor="text1" w:themeTint="F2"/>
          <w:sz w:val="22"/>
          <w:szCs w:val="22"/>
          <w:lang w:val="es-MX"/>
        </w:rPr>
        <w:t xml:space="preserve"> </w:t>
      </w:r>
      <w:r w:rsidR="00B54B6D">
        <w:rPr>
          <w:rFonts w:ascii="Times New Roman" w:hAnsi="Times New Roman"/>
          <w:color w:val="0D0D0D" w:themeColor="text1" w:themeTint="F2"/>
          <w:sz w:val="22"/>
          <w:szCs w:val="22"/>
          <w:lang w:val="es-MX"/>
        </w:rPr>
        <w:t>agosto</w:t>
      </w:r>
      <w:r w:rsidR="00CE79EB" w:rsidRPr="000243E5">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88"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88"/>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5CD5CD34"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precancelaciones de la cartera por un monto global de </w:t>
      </w:r>
      <w:r w:rsidR="000E65D1" w:rsidRPr="006B7B34">
        <w:rPr>
          <w:rFonts w:ascii="Times New Roman" w:hAnsi="Times New Roman" w:cs="Times New Roman"/>
          <w:iCs/>
          <w:color w:val="0D0D0D" w:themeColor="text1" w:themeTint="F2"/>
          <w:sz w:val="22"/>
          <w:szCs w:val="22"/>
        </w:rPr>
        <w:t>$</w:t>
      </w:r>
      <w:r w:rsidR="00443D86">
        <w:rPr>
          <w:rFonts w:ascii="Times New Roman" w:hAnsi="Times New Roman" w:cs="Times New Roman"/>
          <w:iCs/>
          <w:color w:val="0D0D0D" w:themeColor="text1" w:themeTint="F2"/>
          <w:sz w:val="22"/>
          <w:szCs w:val="22"/>
        </w:rPr>
        <w:t>333.941.586</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B54B6D">
        <w:rPr>
          <w:rFonts w:ascii="Times New Roman" w:hAnsi="Times New Roman" w:cs="Times New Roman"/>
          <w:iCs/>
          <w:color w:val="0D0D0D" w:themeColor="text1" w:themeTint="F2"/>
          <w:sz w:val="22"/>
          <w:szCs w:val="22"/>
        </w:rPr>
        <w:t xml:space="preserve">trescientos treinta y </w:t>
      </w:r>
      <w:r w:rsidR="00443D86">
        <w:rPr>
          <w:rFonts w:ascii="Times New Roman" w:hAnsi="Times New Roman" w:cs="Times New Roman"/>
          <w:iCs/>
          <w:color w:val="0D0D0D" w:themeColor="text1" w:themeTint="F2"/>
          <w:sz w:val="22"/>
          <w:szCs w:val="22"/>
        </w:rPr>
        <w:t xml:space="preserve">tres </w:t>
      </w:r>
      <w:r w:rsidR="00B54B6D">
        <w:rPr>
          <w:rFonts w:ascii="Times New Roman" w:hAnsi="Times New Roman" w:cs="Times New Roman"/>
          <w:iCs/>
          <w:color w:val="0D0D0D" w:themeColor="text1" w:themeTint="F2"/>
          <w:sz w:val="22"/>
          <w:szCs w:val="22"/>
        </w:rPr>
        <w:t xml:space="preserve">millones </w:t>
      </w:r>
      <w:r w:rsidR="00443D86">
        <w:rPr>
          <w:rFonts w:ascii="Times New Roman" w:hAnsi="Times New Roman" w:cs="Times New Roman"/>
          <w:iCs/>
          <w:color w:val="0D0D0D" w:themeColor="text1" w:themeTint="F2"/>
          <w:sz w:val="22"/>
          <w:szCs w:val="22"/>
        </w:rPr>
        <w:t>novecientos cuarenta y un mil quinientos ochenta y seis</w:t>
      </w:r>
      <w:r w:rsidRPr="006B7B34">
        <w:rPr>
          <w:rFonts w:ascii="Times New Roman" w:hAnsi="Times New Roman" w:cs="Times New Roman"/>
          <w:iCs/>
          <w:color w:val="0D0D0D" w:themeColor="text1" w:themeTint="F2"/>
          <w:sz w:val="22"/>
          <w:szCs w:val="22"/>
        </w:rPr>
        <w:t>), Gastos del Fideicomiso por $</w:t>
      </w:r>
      <w:r w:rsidR="00B76C25" w:rsidRPr="00B76C25">
        <w:rPr>
          <w:rFonts w:ascii="Times New Roman" w:hAnsi="Times New Roman" w:cs="Times New Roman"/>
          <w:iCs/>
          <w:color w:val="0D0D0D" w:themeColor="text1" w:themeTint="F2"/>
          <w:sz w:val="22"/>
          <w:szCs w:val="22"/>
        </w:rPr>
        <w:t>29.548.192</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B54B6D">
        <w:rPr>
          <w:rFonts w:ascii="Times New Roman" w:hAnsi="Times New Roman" w:cs="Times New Roman"/>
          <w:iCs/>
          <w:color w:val="0D0D0D" w:themeColor="text1" w:themeTint="F2"/>
          <w:sz w:val="22"/>
          <w:szCs w:val="22"/>
        </w:rPr>
        <w:t>veinti</w:t>
      </w:r>
      <w:r w:rsidR="00B76C25">
        <w:rPr>
          <w:rFonts w:ascii="Times New Roman" w:hAnsi="Times New Roman" w:cs="Times New Roman"/>
          <w:iCs/>
          <w:color w:val="0D0D0D" w:themeColor="text1" w:themeTint="F2"/>
          <w:sz w:val="22"/>
          <w:szCs w:val="22"/>
        </w:rPr>
        <w:t>nueve millones quinientos cuarenta y ocho mil ciento noventa y dos</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B76C25">
        <w:rPr>
          <w:rFonts w:ascii="Times New Roman" w:hAnsi="Times New Roman" w:cs="Times New Roman"/>
          <w:iCs/>
          <w:color w:val="0D0D0D" w:themeColor="text1" w:themeTint="F2"/>
          <w:sz w:val="22"/>
          <w:szCs w:val="22"/>
        </w:rPr>
        <w:t>165.938.482</w:t>
      </w:r>
      <w:r w:rsidR="00F606A7">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B54B6D">
        <w:rPr>
          <w:rFonts w:ascii="Times New Roman" w:hAnsi="Times New Roman" w:cs="Times New Roman"/>
          <w:iCs/>
          <w:color w:val="0D0D0D" w:themeColor="text1" w:themeTint="F2"/>
          <w:sz w:val="22"/>
          <w:szCs w:val="22"/>
        </w:rPr>
        <w:t xml:space="preserve">ciento </w:t>
      </w:r>
      <w:r w:rsidR="00B76C25">
        <w:rPr>
          <w:rFonts w:ascii="Times New Roman" w:hAnsi="Times New Roman" w:cs="Times New Roman"/>
          <w:iCs/>
          <w:color w:val="0D0D0D" w:themeColor="text1" w:themeTint="F2"/>
          <w:sz w:val="22"/>
          <w:szCs w:val="22"/>
        </w:rPr>
        <w:t>sesenta y cinco millones novecientos treinta y ocho mil cuatrocientos ochenta y dos</w:t>
      </w:r>
      <w:r w:rsidRPr="006B7B34">
        <w:rPr>
          <w:rFonts w:ascii="Times New Roman" w:hAnsi="Times New Roman" w:cs="Times New Roman"/>
          <w:iCs/>
          <w:color w:val="0D0D0D" w:themeColor="text1" w:themeTint="F2"/>
          <w:sz w:val="22"/>
          <w:szCs w:val="22"/>
        </w:rPr>
        <w:t>). Dichos conceptos arrojan un total del</w:t>
      </w:r>
      <w:r w:rsidR="00BA453C" w:rsidRPr="006B7B34">
        <w:rPr>
          <w:rFonts w:ascii="Times New Roman" w:hAnsi="Times New Roman" w:cs="Times New Roman"/>
          <w:bCs/>
          <w:iCs/>
          <w:color w:val="0D0D0D" w:themeColor="text1" w:themeTint="F2"/>
          <w:sz w:val="22"/>
          <w:szCs w:val="22"/>
        </w:rPr>
        <w:t xml:space="preserve"> </w:t>
      </w:r>
      <w:r w:rsidR="00B54B6D">
        <w:rPr>
          <w:rFonts w:ascii="Times New Roman" w:hAnsi="Times New Roman" w:cs="Times New Roman"/>
          <w:bCs/>
          <w:iCs/>
          <w:color w:val="0D0D0D" w:themeColor="text1" w:themeTint="F2"/>
          <w:sz w:val="22"/>
          <w:szCs w:val="22"/>
        </w:rPr>
        <w:t>13,</w:t>
      </w:r>
      <w:r w:rsidR="00B76C25">
        <w:rPr>
          <w:rFonts w:ascii="Times New Roman" w:hAnsi="Times New Roman" w:cs="Times New Roman"/>
          <w:bCs/>
          <w:iCs/>
          <w:color w:val="0D0D0D" w:themeColor="text1" w:themeTint="F2"/>
          <w:sz w:val="22"/>
          <w:szCs w:val="22"/>
        </w:rPr>
        <w:t>80</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31376590"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B76C25">
        <w:rPr>
          <w:rFonts w:ascii="Times New Roman" w:hAnsi="Times New Roman" w:cs="Times New Roman"/>
          <w:iCs/>
          <w:color w:val="0D0D0D" w:themeColor="text1" w:themeTint="F2"/>
          <w:sz w:val="22"/>
          <w:szCs w:val="22"/>
        </w:rPr>
        <w:t>212.056.607</w:t>
      </w:r>
      <w:r w:rsidR="00224BAF">
        <w:rPr>
          <w:rFonts w:ascii="Times New Roman" w:hAnsi="Times New Roman" w:cs="Times New Roman"/>
          <w:bCs/>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A9132E" w:rsidRPr="006B7B34">
        <w:rPr>
          <w:rFonts w:ascii="Times New Roman" w:hAnsi="Times New Roman" w:cs="Times New Roman"/>
          <w:iCs/>
          <w:color w:val="0D0D0D" w:themeColor="text1" w:themeTint="F2"/>
          <w:sz w:val="22"/>
          <w:szCs w:val="22"/>
        </w:rPr>
        <w:t xml:space="preserve"> </w:t>
      </w:r>
      <w:r w:rsidR="00B76C25">
        <w:rPr>
          <w:rFonts w:ascii="Times New Roman" w:hAnsi="Times New Roman" w:cs="Times New Roman"/>
          <w:iCs/>
          <w:color w:val="0D0D0D" w:themeColor="text1" w:themeTint="F2"/>
          <w:sz w:val="22"/>
          <w:szCs w:val="22"/>
        </w:rPr>
        <w:t>doscientos doce millones cincuenta y seis mil seiscientos siete</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2BE4D452"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 tal como se manifiesta en el Capítulo R</w:t>
      </w:r>
      <w:r w:rsidR="00A65A31" w:rsidRPr="00484518">
        <w:rPr>
          <w:rFonts w:ascii="Times New Roman" w:hAnsi="Times New Roman" w:cs="Times New Roman"/>
          <w:iCs/>
          <w:color w:val="0D0D0D" w:themeColor="text1" w:themeTint="F2"/>
          <w:sz w:val="22"/>
          <w:szCs w:val="22"/>
        </w:rPr>
        <w:t>É</w:t>
      </w:r>
      <w:r w:rsidR="00A31B9A" w:rsidRPr="00484518">
        <w:rPr>
          <w:rFonts w:ascii="Times New Roman" w:hAnsi="Times New Roman" w:cs="Times New Roman"/>
          <w:iCs/>
          <w:color w:val="0D0D0D" w:themeColor="text1" w:themeTint="F2"/>
          <w:sz w:val="22"/>
          <w:szCs w:val="22"/>
        </w:rPr>
        <w:t>GIMEN IMPOSITIVO.</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62874D03" w14:textId="330CB5F7" w:rsidR="006E760C" w:rsidRPr="009E4ECD" w:rsidRDefault="006E760C" w:rsidP="009E4ECD"/>
    <w:p w14:paraId="2E0AD695" w14:textId="35401051" w:rsidR="00246CD0" w:rsidRDefault="007732BA" w:rsidP="00411929">
      <w:pPr>
        <w:jc w:val="center"/>
        <w:rPr>
          <w:noProof/>
          <w:lang w:val="es-AR" w:eastAsia="es-AR"/>
        </w:rPr>
      </w:pPr>
      <w:r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r w:rsidR="00B76C25" w:rsidRPr="00B76C25">
        <w:rPr>
          <w:noProof/>
          <w:lang w:val="es-AR" w:eastAsia="es-AR"/>
        </w:rPr>
        <w:drawing>
          <wp:inline distT="0" distB="0" distL="0" distR="0" wp14:anchorId="6288389F" wp14:editId="58F35D9E">
            <wp:extent cx="4320000" cy="1544253"/>
            <wp:effectExtent l="0" t="0" r="4445"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20000" cy="1544253"/>
                    </a:xfrm>
                    <a:prstGeom prst="rect">
                      <a:avLst/>
                    </a:prstGeom>
                    <a:noFill/>
                    <a:ln>
                      <a:noFill/>
                    </a:ln>
                  </pic:spPr>
                </pic:pic>
              </a:graphicData>
            </a:graphic>
          </wp:inline>
        </w:drawing>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4FDC47D1" w:rsidR="009016FB" w:rsidRPr="00642266" w:rsidRDefault="005A3478" w:rsidP="009E4ECD">
      <w:pPr>
        <w:tabs>
          <w:tab w:val="center" w:pos="4420"/>
          <w:tab w:val="right" w:pos="8840"/>
        </w:tabs>
        <w:rPr>
          <w:rFonts w:ascii="Times New Roman" w:hAnsi="Times New Roman"/>
          <w:color w:val="0D0D0D" w:themeColor="text1" w:themeTint="F2"/>
          <w:sz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mínimo establecido en este Suplemento de Prospecto rige para todos los Períodos de Devengamiento (</w:t>
      </w:r>
      <w:r w:rsidR="00B76C25">
        <w:rPr>
          <w:rFonts w:ascii="Times New Roman" w:hAnsi="Times New Roman" w:cs="Times New Roman"/>
          <w:iCs/>
          <w:color w:val="0D0D0D" w:themeColor="text1" w:themeTint="F2"/>
          <w:sz w:val="22"/>
          <w:szCs w:val="22"/>
        </w:rPr>
        <w:t>125</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50BC0B25" w:rsidR="00246CD0" w:rsidRPr="00642266" w:rsidRDefault="007732BA" w:rsidP="00AC5521">
      <w:pPr>
        <w:jc w:val="center"/>
        <w:rPr>
          <w:noProof/>
          <w:lang w:val="es-AR" w:eastAsia="es-AR"/>
        </w:rPr>
      </w:pPr>
      <w:r w:rsidRPr="007732BA">
        <w:rPr>
          <w:noProof/>
          <w:lang w:val="es-AR" w:eastAsia="es-AR"/>
        </w:rPr>
        <w:t xml:space="preserve"> </w:t>
      </w:r>
      <w:r w:rsidR="00484518" w:rsidRPr="00642266">
        <w:rPr>
          <w:noProof/>
          <w:lang w:val="es-AR" w:eastAsia="es-AR"/>
        </w:rPr>
        <w:t xml:space="preserve"> </w:t>
      </w:r>
      <w:r w:rsidR="00B76C25" w:rsidRPr="00B76C25">
        <w:rPr>
          <w:noProof/>
          <w:lang w:val="es-AR" w:eastAsia="es-AR"/>
        </w:rPr>
        <w:drawing>
          <wp:inline distT="0" distB="0" distL="0" distR="0" wp14:anchorId="16A1B825" wp14:editId="3570CFE7">
            <wp:extent cx="4320000" cy="1563801"/>
            <wp:effectExtent l="0" t="0" r="4445"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320000" cy="1563801"/>
                    </a:xfrm>
                    <a:prstGeom prst="rect">
                      <a:avLst/>
                    </a:prstGeom>
                    <a:noFill/>
                    <a:ln>
                      <a:noFill/>
                    </a:ln>
                  </pic:spPr>
                </pic:pic>
              </a:graphicData>
            </a:graphic>
          </wp:inline>
        </w:drawing>
      </w:r>
      <w:r w:rsidR="00340FB3" w:rsidRPr="00642266">
        <w:rPr>
          <w:noProof/>
          <w:lang w:val="es-AR" w:eastAsia="es-AR"/>
        </w:rPr>
        <w:t xml:space="preserve"> </w:t>
      </w:r>
      <w:r w:rsidR="00246CD0" w:rsidRPr="00642266" w:rsidDel="00A65A31">
        <w:rPr>
          <w:noProof/>
          <w:lang w:val="es-AR" w:eastAsia="es-AR"/>
        </w:rPr>
        <w:t xml:space="preserve"> </w:t>
      </w:r>
    </w:p>
    <w:p w14:paraId="29111DA0" w14:textId="59685F23" w:rsidR="003F329D" w:rsidRPr="00642266" w:rsidRDefault="003F329D" w:rsidP="00AC5521">
      <w:pPr>
        <w:jc w:val="center"/>
        <w:rPr>
          <w:rFonts w:ascii="Times New Roman" w:hAnsi="Times New Roman" w:cs="Times New Roman"/>
        </w:rPr>
      </w:pPr>
    </w:p>
    <w:p w14:paraId="0902145F" w14:textId="2BE62A67" w:rsidR="005A3478" w:rsidRPr="008B3986" w:rsidRDefault="005A3478">
      <w:pPr>
        <w:rPr>
          <w:rFonts w:ascii="Times New Roman" w:hAnsi="Times New Roman"/>
          <w:color w:val="0D0D0D" w:themeColor="text1" w:themeTint="F2"/>
          <w:sz w:val="22"/>
        </w:rPr>
      </w:pPr>
      <w:r w:rsidRPr="00642266">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B76C25">
        <w:rPr>
          <w:rFonts w:ascii="Times New Roman" w:hAnsi="Times New Roman" w:cs="Times New Roman"/>
          <w:iCs/>
          <w:color w:val="0D0D0D" w:themeColor="text1" w:themeTint="F2"/>
          <w:sz w:val="22"/>
          <w:szCs w:val="22"/>
        </w:rPr>
        <w:t>126</w:t>
      </w:r>
      <w:r w:rsidRPr="00642266">
        <w:rPr>
          <w:rFonts w:ascii="Times New Roman" w:hAnsi="Times New Roman" w:cs="Times New Roman"/>
          <w:iCs/>
          <w:color w:val="0D0D0D" w:themeColor="text1" w:themeTint="F2"/>
          <w:sz w:val="22"/>
          <w:szCs w:val="22"/>
        </w:rPr>
        <w:t>% Tasa Nominal Anual).</w:t>
      </w:r>
    </w:p>
    <w:p w14:paraId="7C40B644" w14:textId="77777777" w:rsidR="00661C9A" w:rsidRDefault="00661C9A" w:rsidP="009F3635"/>
    <w:p w14:paraId="2FD43856" w14:textId="5790871D" w:rsidR="00671CEA" w:rsidRPr="008B3986" w:rsidRDefault="00671CEA" w:rsidP="00671CEA">
      <w:pPr>
        <w:pStyle w:val="Ttulo1"/>
        <w:jc w:val="left"/>
        <w:rPr>
          <w:rFonts w:ascii="Times New Roman" w:hAnsi="Times New Roman"/>
          <w:b w:val="0"/>
        </w:rPr>
      </w:pPr>
      <w:r w:rsidRPr="005D4CA1">
        <w:rPr>
          <w:rFonts w:ascii="Times New Roman" w:hAnsi="Times New Roman"/>
        </w:rPr>
        <w:t>Cuadro de Pago de Servicios considerando el interés máximo</w:t>
      </w:r>
    </w:p>
    <w:p w14:paraId="02C11362" w14:textId="04159872" w:rsidR="00671CEA" w:rsidRPr="005D4CA1" w:rsidRDefault="006E1D15" w:rsidP="00411929">
      <w:pPr>
        <w:jc w:val="center"/>
      </w:pPr>
      <w:r w:rsidRPr="005D4CA1">
        <w:t xml:space="preserve"> </w:t>
      </w:r>
    </w:p>
    <w:p w14:paraId="378B529F" w14:textId="37F56C20"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t xml:space="preserve"> </w:t>
      </w:r>
      <w:r w:rsidR="007732BA" w:rsidRPr="007732BA">
        <w:rPr>
          <w:rFonts w:ascii="Times New Roman" w:hAnsi="Times New Roman" w:cs="Times New Roman"/>
          <w:iCs/>
          <w:color w:val="0D0D0D" w:themeColor="text1" w:themeTint="F2"/>
          <w:sz w:val="22"/>
          <w:szCs w:val="22"/>
        </w:rPr>
        <w:t xml:space="preserve"> </w:t>
      </w:r>
      <w:r w:rsidR="00B76C25" w:rsidRPr="00B76C25">
        <w:rPr>
          <w:noProof/>
          <w:lang w:val="es-AR" w:eastAsia="es-AR"/>
        </w:rPr>
        <w:drawing>
          <wp:inline distT="0" distB="0" distL="0" distR="0" wp14:anchorId="6083B0A4" wp14:editId="3E72D6FC">
            <wp:extent cx="4320000" cy="1837466"/>
            <wp:effectExtent l="0" t="0" r="4445"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20000" cy="1837466"/>
                    </a:xfrm>
                    <a:prstGeom prst="rect">
                      <a:avLst/>
                    </a:prstGeom>
                    <a:noFill/>
                    <a:ln>
                      <a:noFill/>
                    </a:ln>
                  </pic:spPr>
                </pic:pic>
              </a:graphicData>
            </a:graphic>
          </wp:inline>
        </w:drawing>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2D108BC1" w:rsidR="00671CEA" w:rsidRPr="00F45D93"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B76C25">
        <w:rPr>
          <w:rFonts w:ascii="Times New Roman" w:hAnsi="Times New Roman" w:cs="Times New Roman"/>
          <w:bCs/>
          <w:iCs/>
          <w:color w:val="0D0D0D" w:themeColor="text1" w:themeTint="F2"/>
          <w:sz w:val="22"/>
          <w:szCs w:val="22"/>
        </w:rPr>
        <w:t>175</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7718D853" w14:textId="1C49BED9" w:rsidR="009016FB" w:rsidRPr="00F45D93" w:rsidRDefault="00B76C25" w:rsidP="008A3A16">
      <w:pPr>
        <w:ind w:left="708" w:hanging="708"/>
        <w:jc w:val="center"/>
        <w:rPr>
          <w:rFonts w:ascii="Times New Roman" w:hAnsi="Times New Roman" w:cs="Times New Roman"/>
          <w:iCs/>
          <w:color w:val="0D0D0D" w:themeColor="text1" w:themeTint="F2"/>
          <w:sz w:val="22"/>
          <w:szCs w:val="22"/>
        </w:rPr>
      </w:pPr>
      <w:r w:rsidRPr="00B76C25">
        <w:rPr>
          <w:noProof/>
          <w:lang w:val="es-AR" w:eastAsia="es-AR"/>
        </w:rPr>
        <w:drawing>
          <wp:inline distT="0" distB="0" distL="0" distR="0" wp14:anchorId="06FC204B" wp14:editId="387E97A3">
            <wp:extent cx="4320000" cy="2003620"/>
            <wp:effectExtent l="0" t="0" r="4445"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20000" cy="2003620"/>
                    </a:xfrm>
                    <a:prstGeom prst="rect">
                      <a:avLst/>
                    </a:prstGeom>
                    <a:noFill/>
                    <a:ln>
                      <a:noFill/>
                    </a:ln>
                  </pic:spPr>
                </pic:pic>
              </a:graphicData>
            </a:graphic>
          </wp:inline>
        </w:drawing>
      </w:r>
      <w:r w:rsidR="006E760C"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523F9C84"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B76C25">
        <w:rPr>
          <w:rFonts w:ascii="Times New Roman" w:hAnsi="Times New Roman" w:cs="Times New Roman"/>
          <w:iCs/>
          <w:color w:val="0D0D0D" w:themeColor="text1" w:themeTint="F2"/>
          <w:sz w:val="22"/>
          <w:szCs w:val="22"/>
        </w:rPr>
        <w:t>176</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77777777" w:rsidR="00A21C71" w:rsidRPr="008B3986" w:rsidRDefault="00A21C71" w:rsidP="009F3635"/>
    <w:p w14:paraId="551C47C0" w14:textId="5D13B197" w:rsidR="00482F96" w:rsidRPr="00506990" w:rsidRDefault="00DC49CE" w:rsidP="00B228F5">
      <w:pPr>
        <w:pStyle w:val="Ttulo1"/>
        <w:jc w:val="center"/>
        <w:rPr>
          <w:rFonts w:ascii="Times New Roman" w:hAnsi="Times New Roman"/>
          <w:sz w:val="22"/>
          <w:szCs w:val="22"/>
        </w:rPr>
      </w:pPr>
      <w:bookmarkStart w:id="89" w:name="_Toc521424875"/>
      <w:bookmarkStart w:id="90" w:name="_Toc20409093"/>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89"/>
      <w:bookmarkEnd w:id="90"/>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3401888B"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r>
        <w:rPr>
          <w:rFonts w:ascii="Times New Roman" w:eastAsia="Times New Roman" w:hAnsi="Times New Roman" w:cs="Times New Roman"/>
          <w:noProof/>
          <w:color w:val="0D0D0D" w:themeColor="text1" w:themeTint="F2"/>
          <w:sz w:val="22"/>
          <w:szCs w:val="22"/>
          <w:lang w:val="es-AR" w:eastAsia="es-AR"/>
        </w:rPr>
        <mc:AlternateContent>
          <mc:Choice Requires="wpc">
            <w:drawing>
              <wp:inline distT="0" distB="0" distL="0" distR="0" wp14:anchorId="6B508AA9" wp14:editId="0BE46365">
                <wp:extent cx="5610860" cy="3935095"/>
                <wp:effectExtent l="0" t="0" r="0" b="27305"/>
                <wp:docPr id="147" name="Lienzo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286"/>
                        <wps:cNvSpPr>
                          <a:spLocks noChangeArrowheads="1"/>
                        </wps:cNvSpPr>
                        <wps:spPr bwMode="auto">
                          <a:xfrm>
                            <a:off x="4003443" y="1616939"/>
                            <a:ext cx="1025811" cy="1626639"/>
                          </a:xfrm>
                          <a:prstGeom prst="rect">
                            <a:avLst/>
                          </a:prstGeom>
                          <a:solidFill>
                            <a:srgbClr val="B2B2B2"/>
                          </a:solidFill>
                          <a:ln w="9525">
                            <a:solidFill>
                              <a:srgbClr val="000000"/>
                            </a:solidFill>
                            <a:miter lim="800000"/>
                            <a:headEnd/>
                            <a:tailEnd/>
                          </a:ln>
                        </wps:spPr>
                        <wps:txbx>
                          <w:txbxContent>
                            <w:p w14:paraId="3F9E9BA3"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42C5A33E"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331451FF"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2D9A80A0"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1B453D90"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4A578312"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A4C2780" w14:textId="26BF3579"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LXXIII</w:t>
                              </w:r>
                            </w:p>
                          </w:txbxContent>
                        </wps:txbx>
                        <wps:bodyPr rot="0" vert="horz" wrap="square" lIns="66751" tIns="33376" rIns="66751" bIns="33376" anchor="ctr" anchorCtr="0" upright="1">
                          <a:noAutofit/>
                        </wps:bodyPr>
                      </wps:wsp>
                      <wps:wsp>
                        <wps:cNvPr id="112" name="Rectangle 288"/>
                        <wps:cNvSpPr>
                          <a:spLocks noChangeArrowheads="1"/>
                        </wps:cNvSpPr>
                        <wps:spPr bwMode="auto">
                          <a:xfrm>
                            <a:off x="4064443" y="1665840"/>
                            <a:ext cx="807809" cy="737918"/>
                          </a:xfrm>
                          <a:prstGeom prst="rect">
                            <a:avLst/>
                          </a:prstGeom>
                          <a:solidFill>
                            <a:srgbClr val="FFFFFF"/>
                          </a:solidFill>
                          <a:ln w="9525">
                            <a:solidFill>
                              <a:srgbClr val="000000"/>
                            </a:solidFill>
                            <a:miter lim="800000"/>
                            <a:headEnd/>
                            <a:tailEnd/>
                          </a:ln>
                        </wps:spPr>
                        <wps:txbx>
                          <w:txbxContent>
                            <w:p w14:paraId="2D3AB106" w14:textId="77777777" w:rsidR="00521F47" w:rsidRDefault="00521F47" w:rsidP="00BC6A5F">
                              <w:pPr>
                                <w:autoSpaceDE w:val="0"/>
                                <w:autoSpaceDN w:val="0"/>
                                <w:adjustRightInd w:val="0"/>
                                <w:jc w:val="center"/>
                                <w:rPr>
                                  <w:rFonts w:ascii="Tahoma" w:hAnsi="Tahoma" w:cs="Tahoma"/>
                                  <w:b/>
                                  <w:bCs/>
                                  <w:color w:val="000000"/>
                                  <w:sz w:val="20"/>
                                  <w:szCs w:val="28"/>
                                </w:rPr>
                              </w:pPr>
                            </w:p>
                            <w:p w14:paraId="3FA5EFA6" w14:textId="77777777" w:rsidR="00521F47" w:rsidRPr="005D2ED9" w:rsidRDefault="00521F47" w:rsidP="00BC6A5F">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BE77D2F" w14:textId="77777777" w:rsidR="00521F47" w:rsidRPr="005D2ED9" w:rsidRDefault="00521F47" w:rsidP="00BC6A5F">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wps:txbx>
                        <wps:bodyPr rot="0" vert="horz" wrap="square" lIns="66751" tIns="33376" rIns="66751" bIns="33376" anchor="ctr" anchorCtr="0" upright="1">
                          <a:noAutofit/>
                        </wps:bodyPr>
                      </wps:wsp>
                      <wps:wsp>
                        <wps:cNvPr id="113" name="Rectangle 289"/>
                        <wps:cNvSpPr>
                          <a:spLocks noChangeArrowheads="1"/>
                        </wps:cNvSpPr>
                        <wps:spPr bwMode="auto">
                          <a:xfrm>
                            <a:off x="1699418" y="611715"/>
                            <a:ext cx="1164512" cy="737918"/>
                          </a:xfrm>
                          <a:prstGeom prst="rect">
                            <a:avLst/>
                          </a:prstGeom>
                          <a:solidFill>
                            <a:srgbClr val="B2B2B2"/>
                          </a:solidFill>
                          <a:ln w="9525">
                            <a:solidFill>
                              <a:srgbClr val="000000"/>
                            </a:solidFill>
                            <a:miter lim="800000"/>
                            <a:headEnd/>
                            <a:tailEnd/>
                          </a:ln>
                        </wps:spPr>
                        <wps:txbx>
                          <w:txbxContent>
                            <w:p w14:paraId="38DB9537" w14:textId="77777777" w:rsidR="00521F47" w:rsidRPr="00502438" w:rsidRDefault="00521F47" w:rsidP="00BC6A5F">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AF82A22" w14:textId="77777777" w:rsidR="00521F47" w:rsidRPr="00502438" w:rsidRDefault="00521F47" w:rsidP="00BC6A5F">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wps:txbx>
                        <wps:bodyPr rot="0" vert="horz" wrap="square" lIns="66751" tIns="33376" rIns="66751" bIns="33376" anchor="ctr" anchorCtr="0" upright="1">
                          <a:noAutofit/>
                        </wps:bodyPr>
                      </wps:wsp>
                      <wps:wsp>
                        <wps:cNvPr id="114" name="Text Box 291"/>
                        <wps:cNvSpPr txBox="1">
                          <a:spLocks noChangeArrowheads="1"/>
                        </wps:cNvSpPr>
                        <wps:spPr bwMode="auto">
                          <a:xfrm>
                            <a:off x="3200734" y="997224"/>
                            <a:ext cx="524606"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2131" w14:textId="77777777" w:rsidR="00521F47" w:rsidRDefault="00521F47" w:rsidP="00BC6A5F">
                              <w:pPr>
                                <w:rPr>
                                  <w:szCs w:val="18"/>
                                </w:rPr>
                              </w:pPr>
                            </w:p>
                            <w:p w14:paraId="30130009" w14:textId="77777777" w:rsidR="00521F47" w:rsidRDefault="00521F47" w:rsidP="00BC6A5F">
                              <w:pPr>
                                <w:rPr>
                                  <w:szCs w:val="18"/>
                                </w:rPr>
                              </w:pPr>
                            </w:p>
                            <w:p w14:paraId="63F52BB0" w14:textId="77777777" w:rsidR="00521F47" w:rsidRPr="00FC6724" w:rsidRDefault="00521F47" w:rsidP="00BC6A5F">
                              <w:pPr>
                                <w:rPr>
                                  <w:szCs w:val="18"/>
                                </w:rPr>
                              </w:pPr>
                            </w:p>
                          </w:txbxContent>
                        </wps:txbx>
                        <wps:bodyPr rot="0" vert="horz" wrap="square" lIns="66751" tIns="33376" rIns="66751" bIns="33376" anchor="t" anchorCtr="0" upright="1">
                          <a:noAutofit/>
                        </wps:bodyPr>
                      </wps:wsp>
                      <wps:wsp>
                        <wps:cNvPr id="115" name="Line 292"/>
                        <wps:cNvCnPr>
                          <a:cxnSpLocks noChangeShapeType="1"/>
                        </wps:cNvCnPr>
                        <wps:spPr bwMode="auto">
                          <a:xfrm flipH="1">
                            <a:off x="1212913" y="2024049"/>
                            <a:ext cx="550006" cy="1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9" name="Text Box 293"/>
                        <wps:cNvSpPr txBox="1">
                          <a:spLocks noChangeArrowheads="1"/>
                        </wps:cNvSpPr>
                        <wps:spPr bwMode="auto">
                          <a:xfrm>
                            <a:off x="1205313" y="1791443"/>
                            <a:ext cx="598087" cy="188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66AE" w14:textId="77777777" w:rsidR="00521F47" w:rsidRDefault="00521F47" w:rsidP="00BC6A5F">
                              <w:pPr>
                                <w:autoSpaceDE w:val="0"/>
                                <w:autoSpaceDN w:val="0"/>
                                <w:adjustRightInd w:val="0"/>
                                <w:rPr>
                                  <w:color w:val="000000"/>
                                  <w:sz w:val="13"/>
                                  <w:szCs w:val="18"/>
                                </w:rPr>
                              </w:pPr>
                              <w:r w:rsidRPr="005974C3">
                                <w:rPr>
                                  <w:b/>
                                  <w:color w:val="000000"/>
                                  <w:sz w:val="13"/>
                                  <w:szCs w:val="18"/>
                                </w:rPr>
                                <w:t>(1)</w:t>
                              </w:r>
                              <w:r>
                                <w:rPr>
                                  <w:color w:val="000000"/>
                                  <w:sz w:val="13"/>
                                  <w:szCs w:val="18"/>
                                </w:rPr>
                                <w:t xml:space="preserve"> Créditos</w:t>
                              </w:r>
                            </w:p>
                          </w:txbxContent>
                        </wps:txbx>
                        <wps:bodyPr rot="0" vert="horz" wrap="square" lIns="66751" tIns="33376" rIns="66751" bIns="33376" anchor="t" anchorCtr="0" upright="1">
                          <a:noAutofit/>
                        </wps:bodyPr>
                      </wps:wsp>
                      <wps:wsp>
                        <wps:cNvPr id="120" name="Rectangle 294"/>
                        <wps:cNvSpPr>
                          <a:spLocks noChangeArrowheads="1"/>
                        </wps:cNvSpPr>
                        <wps:spPr bwMode="auto">
                          <a:xfrm>
                            <a:off x="1762919" y="3197477"/>
                            <a:ext cx="955810" cy="737918"/>
                          </a:xfrm>
                          <a:prstGeom prst="rect">
                            <a:avLst/>
                          </a:prstGeom>
                          <a:solidFill>
                            <a:srgbClr val="B2B2B2"/>
                          </a:solidFill>
                          <a:ln w="9525">
                            <a:solidFill>
                              <a:srgbClr val="000000"/>
                            </a:solidFill>
                            <a:miter lim="800000"/>
                            <a:headEnd/>
                            <a:tailEnd/>
                          </a:ln>
                        </wps:spPr>
                        <wps:txbx>
                          <w:txbxContent>
                            <w:p w14:paraId="64600306"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wps:txbx>
                        <wps:bodyPr rot="0" vert="horz" wrap="square" lIns="66751" tIns="33376" rIns="66751" bIns="33376" anchor="ctr" anchorCtr="0" upright="1">
                          <a:noAutofit/>
                        </wps:bodyPr>
                      </wps:wsp>
                      <wps:wsp>
                        <wps:cNvPr id="121" name="Line 295"/>
                        <wps:cNvCnPr>
                          <a:cxnSpLocks noChangeShapeType="1"/>
                        </wps:cNvCnPr>
                        <wps:spPr bwMode="auto">
                          <a:xfrm flipV="1">
                            <a:off x="2718729" y="2740066"/>
                            <a:ext cx="1239713" cy="666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296"/>
                        <wps:cNvCnPr>
                          <a:cxnSpLocks noChangeShapeType="1"/>
                        </wps:cNvCnPr>
                        <wps:spPr bwMode="auto">
                          <a:xfrm flipH="1">
                            <a:off x="2712329" y="2910470"/>
                            <a:ext cx="1291114" cy="69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297"/>
                        <wps:cNvSpPr txBox="1">
                          <a:spLocks noChangeArrowheads="1"/>
                        </wps:cNvSpPr>
                        <wps:spPr bwMode="auto">
                          <a:xfrm>
                            <a:off x="3187434" y="2855369"/>
                            <a:ext cx="179102"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76B0" w14:textId="77777777" w:rsidR="00521F47" w:rsidRDefault="00521F47" w:rsidP="00BC6A5F">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wps:txbx>
                        <wps:bodyPr rot="0" vert="horz" wrap="square" lIns="66751" tIns="33376" rIns="66751" bIns="33376" anchor="t" anchorCtr="0" upright="1">
                          <a:noAutofit/>
                        </wps:bodyPr>
                      </wps:wsp>
                      <wps:wsp>
                        <wps:cNvPr id="124" name="Text Box 298"/>
                        <wps:cNvSpPr txBox="1">
                          <a:spLocks noChangeArrowheads="1"/>
                        </wps:cNvSpPr>
                        <wps:spPr bwMode="auto">
                          <a:xfrm>
                            <a:off x="3238835" y="3329080"/>
                            <a:ext cx="1118012" cy="3000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AB1F" w14:textId="5F829B0F" w:rsidR="00521F47" w:rsidRPr="005D2ED9" w:rsidRDefault="00521F47" w:rsidP="00BC6A5F">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Fiduciarios</w:t>
                              </w:r>
                            </w:p>
                          </w:txbxContent>
                        </wps:txbx>
                        <wps:bodyPr rot="0" vert="horz" wrap="square" lIns="66751" tIns="33376" rIns="66751" bIns="33376" anchor="t" anchorCtr="0" upright="1">
                          <a:noAutofit/>
                        </wps:bodyPr>
                      </wps:wsp>
                      <wps:wsp>
                        <wps:cNvPr id="125" name="Line 299"/>
                        <wps:cNvCnPr>
                          <a:cxnSpLocks noChangeShapeType="1"/>
                        </wps:cNvCnPr>
                        <wps:spPr bwMode="auto">
                          <a:xfrm flipV="1">
                            <a:off x="2763830" y="2258555"/>
                            <a:ext cx="1239613" cy="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300"/>
                        <wps:cNvCnPr>
                          <a:cxnSpLocks noChangeShapeType="1"/>
                        </wps:cNvCnPr>
                        <wps:spPr bwMode="auto">
                          <a:xfrm flipH="1" flipV="1">
                            <a:off x="2715529" y="2403758"/>
                            <a:ext cx="1242913"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301"/>
                        <wps:cNvSpPr txBox="1">
                          <a:spLocks noChangeArrowheads="1"/>
                        </wps:cNvSpPr>
                        <wps:spPr bwMode="auto">
                          <a:xfrm>
                            <a:off x="3081952" y="2430307"/>
                            <a:ext cx="409800" cy="189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D39B" w14:textId="77777777" w:rsidR="00521F47" w:rsidRPr="005974C3" w:rsidRDefault="00521F47" w:rsidP="00BC6A5F">
                              <w:pPr>
                                <w:autoSpaceDE w:val="0"/>
                                <w:autoSpaceDN w:val="0"/>
                                <w:adjustRightInd w:val="0"/>
                                <w:rPr>
                                  <w:color w:val="000000"/>
                                  <w:sz w:val="11"/>
                                  <w:szCs w:val="18"/>
                                </w:rPr>
                              </w:pPr>
                              <w:r w:rsidRPr="005974C3">
                                <w:rPr>
                                  <w:b/>
                                  <w:color w:val="000000"/>
                                  <w:sz w:val="14"/>
                                  <w:szCs w:val="18"/>
                                </w:rPr>
                                <w:t>(4)</w:t>
                              </w:r>
                              <w:r w:rsidRPr="005974C3">
                                <w:rPr>
                                  <w:color w:val="000000"/>
                                  <w:sz w:val="14"/>
                                  <w:szCs w:val="18"/>
                                </w:rPr>
                                <w:t xml:space="preserve"> $</w:t>
                              </w:r>
                            </w:p>
                          </w:txbxContent>
                        </wps:txbx>
                        <wps:bodyPr rot="0" vert="horz" wrap="square" lIns="66751" tIns="33376" rIns="66751" bIns="33376" anchor="t" anchorCtr="0" upright="1">
                          <a:noAutofit/>
                        </wps:bodyPr>
                      </wps:wsp>
                      <wps:wsp>
                        <wps:cNvPr id="128" name="Text Box 302"/>
                        <wps:cNvSpPr txBox="1">
                          <a:spLocks noChangeArrowheads="1"/>
                        </wps:cNvSpPr>
                        <wps:spPr bwMode="auto">
                          <a:xfrm>
                            <a:off x="3088232" y="1979748"/>
                            <a:ext cx="637107"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1311" w14:textId="77777777" w:rsidR="00521F47" w:rsidRDefault="00521F47" w:rsidP="00BC6A5F">
                              <w:pPr>
                                <w:autoSpaceDE w:val="0"/>
                                <w:autoSpaceDN w:val="0"/>
                                <w:adjustRightInd w:val="0"/>
                                <w:rPr>
                                  <w:color w:val="000000"/>
                                  <w:sz w:val="13"/>
                                  <w:szCs w:val="18"/>
                                </w:rPr>
                              </w:pPr>
                              <w:r w:rsidRPr="005974C3">
                                <w:rPr>
                                  <w:b/>
                                  <w:color w:val="000000"/>
                                  <w:sz w:val="13"/>
                                  <w:szCs w:val="18"/>
                                </w:rPr>
                                <w:t>(2)</w:t>
                              </w:r>
                              <w:r>
                                <w:rPr>
                                  <w:color w:val="000000"/>
                                  <w:sz w:val="13"/>
                                  <w:szCs w:val="18"/>
                                </w:rPr>
                                <w:t xml:space="preserve"> Créditos</w:t>
                              </w:r>
                            </w:p>
                          </w:txbxContent>
                        </wps:txbx>
                        <wps:bodyPr rot="0" vert="horz" wrap="square" lIns="66751" tIns="33376" rIns="66751" bIns="33376" anchor="t" anchorCtr="0" upright="1">
                          <a:noAutofit/>
                        </wps:bodyPr>
                      </wps:wsp>
                      <wps:wsp>
                        <wps:cNvPr id="129" name="Rectangle 303"/>
                        <wps:cNvSpPr>
                          <a:spLocks noChangeArrowheads="1"/>
                        </wps:cNvSpPr>
                        <wps:spPr bwMode="auto">
                          <a:xfrm>
                            <a:off x="5000" y="1724242"/>
                            <a:ext cx="1202213" cy="1088026"/>
                          </a:xfrm>
                          <a:prstGeom prst="rect">
                            <a:avLst/>
                          </a:prstGeom>
                          <a:solidFill>
                            <a:srgbClr val="B2B2B2"/>
                          </a:solidFill>
                          <a:ln w="9525">
                            <a:solidFill>
                              <a:srgbClr val="000000"/>
                            </a:solidFill>
                            <a:miter lim="800000"/>
                            <a:headEnd/>
                            <a:tailEnd/>
                          </a:ln>
                        </wps:spPr>
                        <wps:txbx>
                          <w:txbxContent>
                            <w:p w14:paraId="4896A03F"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558E61BC"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txbxContent>
                        </wps:txbx>
                        <wps:bodyPr rot="0" vert="horz" wrap="square" lIns="66751" tIns="33376" rIns="66751" bIns="33376" anchor="ctr" anchorCtr="0" upright="1">
                          <a:noAutofit/>
                        </wps:bodyPr>
                      </wps:wsp>
                      <wps:wsp>
                        <wps:cNvPr id="130" name="Line 306"/>
                        <wps:cNvCnPr>
                          <a:cxnSpLocks noChangeShapeType="1"/>
                        </wps:cNvCnPr>
                        <wps:spPr bwMode="auto">
                          <a:xfrm flipH="1">
                            <a:off x="623907" y="933723"/>
                            <a:ext cx="1111112" cy="9500"/>
                          </a:xfrm>
                          <a:prstGeom prst="line">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1" name="Line 307"/>
                        <wps:cNvCnPr>
                          <a:cxnSpLocks noChangeShapeType="1"/>
                        </wps:cNvCnPr>
                        <wps:spPr bwMode="auto">
                          <a:xfrm flipV="1">
                            <a:off x="623907" y="933723"/>
                            <a:ext cx="0" cy="779219"/>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308"/>
                        <wps:cNvSpPr txBox="1">
                          <a:spLocks noChangeArrowheads="1"/>
                        </wps:cNvSpPr>
                        <wps:spPr bwMode="auto">
                          <a:xfrm>
                            <a:off x="671434" y="707399"/>
                            <a:ext cx="735726" cy="2120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0809" w14:textId="77777777" w:rsidR="00521F47" w:rsidRPr="005D2ED9" w:rsidRDefault="00521F47" w:rsidP="00BC6A5F">
                              <w:pPr>
                                <w:autoSpaceDE w:val="0"/>
                                <w:autoSpaceDN w:val="0"/>
                                <w:adjustRightInd w:val="0"/>
                                <w:jc w:val="center"/>
                                <w:rPr>
                                  <w:color w:val="000000"/>
                                  <w:sz w:val="13"/>
                                  <w:szCs w:val="18"/>
                                </w:rPr>
                              </w:pPr>
                              <w:r w:rsidRPr="005D2ED9">
                                <w:rPr>
                                  <w:color w:val="000000"/>
                                  <w:sz w:val="13"/>
                                  <w:szCs w:val="18"/>
                                </w:rPr>
                                <w:t>Cobranza</w:t>
                              </w:r>
                              <w:r>
                                <w:rPr>
                                  <w:color w:val="000000"/>
                                  <w:sz w:val="13"/>
                                  <w:szCs w:val="18"/>
                                </w:rPr>
                                <w:t xml:space="preserve"> </w:t>
                              </w:r>
                              <w:r w:rsidRPr="005974C3">
                                <w:rPr>
                                  <w:b/>
                                  <w:color w:val="000000"/>
                                  <w:sz w:val="13"/>
                                  <w:szCs w:val="18"/>
                                </w:rPr>
                                <w:t>(</w:t>
                              </w:r>
                              <w:r>
                                <w:rPr>
                                  <w:b/>
                                  <w:color w:val="000000"/>
                                  <w:sz w:val="13"/>
                                  <w:szCs w:val="18"/>
                                </w:rPr>
                                <w:t>5</w:t>
                              </w:r>
                              <w:r w:rsidRPr="005974C3">
                                <w:rPr>
                                  <w:b/>
                                  <w:color w:val="000000"/>
                                  <w:sz w:val="13"/>
                                  <w:szCs w:val="18"/>
                                </w:rPr>
                                <w:t>)</w:t>
                              </w:r>
                            </w:p>
                          </w:txbxContent>
                        </wps:txbx>
                        <wps:bodyPr rot="0" vert="horz" wrap="square" lIns="66751" tIns="33376" rIns="66751" bIns="33376" anchor="t" anchorCtr="0" upright="1">
                          <a:noAutofit/>
                        </wps:bodyPr>
                      </wps:wsp>
                      <wps:wsp>
                        <wps:cNvPr id="133" name="Line 310"/>
                        <wps:cNvCnPr>
                          <a:cxnSpLocks noChangeShapeType="1"/>
                        </wps:cNvCnPr>
                        <wps:spPr bwMode="auto">
                          <a:xfrm>
                            <a:off x="2863931" y="980624"/>
                            <a:ext cx="1694018"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11"/>
                        <wps:cNvCnPr>
                          <a:cxnSpLocks noChangeShapeType="1"/>
                        </wps:cNvCnPr>
                        <wps:spPr bwMode="auto">
                          <a:xfrm>
                            <a:off x="4558549" y="980624"/>
                            <a:ext cx="0" cy="63631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315"/>
                        <wps:cNvSpPr txBox="1">
                          <a:spLocks noChangeArrowheads="1"/>
                        </wps:cNvSpPr>
                        <wps:spPr bwMode="auto">
                          <a:xfrm>
                            <a:off x="2411726" y="1377633"/>
                            <a:ext cx="676507"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5245" w14:textId="77777777" w:rsidR="00521F47" w:rsidRPr="005D2ED9" w:rsidRDefault="00521F47" w:rsidP="00BC6A5F">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wps:txbx>
                        <wps:bodyPr rot="0" vert="horz" wrap="square" lIns="66751" tIns="33376" rIns="66751" bIns="33376" anchor="t" anchorCtr="0" upright="1">
                          <a:noAutofit/>
                        </wps:bodyPr>
                      </wps:wsp>
                      <wps:wsp>
                        <wps:cNvPr id="136" name="Rectangle 316"/>
                        <wps:cNvSpPr>
                          <a:spLocks noChangeArrowheads="1"/>
                        </wps:cNvSpPr>
                        <wps:spPr bwMode="auto">
                          <a:xfrm>
                            <a:off x="1338014" y="2910470"/>
                            <a:ext cx="278803" cy="2794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7" name="Rectangle 317"/>
                        <wps:cNvSpPr>
                          <a:spLocks noChangeArrowheads="1"/>
                        </wps:cNvSpPr>
                        <wps:spPr bwMode="auto">
                          <a:xfrm>
                            <a:off x="1138612" y="2069750"/>
                            <a:ext cx="624307" cy="33400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A81E0" w14:textId="77777777" w:rsidR="00521F47" w:rsidRDefault="00521F47" w:rsidP="00BC6A5F">
                              <w:pPr>
                                <w:autoSpaceDE w:val="0"/>
                                <w:autoSpaceDN w:val="0"/>
                                <w:adjustRightInd w:val="0"/>
                                <w:jc w:val="center"/>
                                <w:rPr>
                                  <w:color w:val="000000"/>
                                  <w:sz w:val="13"/>
                                  <w:szCs w:val="18"/>
                                </w:rPr>
                              </w:pPr>
                              <w:r>
                                <w:rPr>
                                  <w:color w:val="000000"/>
                                  <w:sz w:val="13"/>
                                  <w:szCs w:val="18"/>
                                </w:rPr>
                                <w:t>Pagarés</w:t>
                              </w:r>
                            </w:p>
                          </w:txbxContent>
                        </wps:txbx>
                        <wps:bodyPr rot="0" vert="horz" wrap="square" lIns="66751" tIns="33376" rIns="66751" bIns="33376" anchor="ctr" anchorCtr="0" upright="1">
                          <a:noAutofit/>
                        </wps:bodyPr>
                      </wps:wsp>
                      <wps:wsp>
                        <wps:cNvPr id="138" name="Text Box 308"/>
                        <wps:cNvSpPr txBox="1">
                          <a:spLocks noChangeArrowheads="1"/>
                        </wps:cNvSpPr>
                        <wps:spPr bwMode="auto">
                          <a:xfrm>
                            <a:off x="2006621" y="197705"/>
                            <a:ext cx="526506" cy="165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FB89" w14:textId="77777777" w:rsidR="00521F47" w:rsidRPr="005D2ED9" w:rsidRDefault="00521F47" w:rsidP="00BC6A5F">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wps:txbx>
                        <wps:bodyPr rot="0" vert="horz" wrap="square" lIns="66751" tIns="33376" rIns="66751" bIns="33376" anchor="t" anchorCtr="0" upright="1">
                          <a:noAutofit/>
                        </wps:bodyPr>
                      </wps:wsp>
                      <wps:wsp>
                        <wps:cNvPr id="139" name="Line 310"/>
                        <wps:cNvCnPr>
                          <a:cxnSpLocks noChangeShapeType="1"/>
                        </wps:cNvCnPr>
                        <wps:spPr bwMode="auto">
                          <a:xfrm flipV="1">
                            <a:off x="4557949" y="3243578"/>
                            <a:ext cx="600" cy="41861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311"/>
                        <wps:cNvCnPr>
                          <a:cxnSpLocks noChangeShapeType="1"/>
                        </wps:cNvCnPr>
                        <wps:spPr bwMode="auto">
                          <a:xfrm flipH="1">
                            <a:off x="2718729" y="3662188"/>
                            <a:ext cx="183922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Text Box 301"/>
                        <wps:cNvSpPr txBox="1">
                          <a:spLocks noChangeArrowheads="1"/>
                        </wps:cNvSpPr>
                        <wps:spPr bwMode="auto">
                          <a:xfrm>
                            <a:off x="3427537" y="761418"/>
                            <a:ext cx="503487" cy="189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3698" w14:textId="77777777" w:rsidR="00521F47" w:rsidRPr="005974C3" w:rsidRDefault="00521F47" w:rsidP="00BC6A5F">
                              <w:pPr>
                                <w:pStyle w:val="NormalWeb"/>
                                <w:spacing w:before="0" w:beforeAutospacing="0" w:after="0" w:afterAutospacing="0"/>
                                <w:jc w:val="both"/>
                                <w:rPr>
                                  <w:sz w:val="22"/>
                                </w:rPr>
                              </w:pPr>
                              <w:r w:rsidRPr="005974C3">
                                <w:rPr>
                                  <w:rFonts w:ascii="Arial" w:eastAsia="Calibri" w:hAnsi="Arial" w:cs="Arial"/>
                                  <w:b/>
                                  <w:sz w:val="14"/>
                                  <w:szCs w:val="16"/>
                                  <w:lang w:val="es-ES_tradnl"/>
                                </w:rPr>
                                <w:t>(6)</w:t>
                              </w:r>
                              <w:r w:rsidRPr="005974C3">
                                <w:rPr>
                                  <w:rFonts w:ascii="Arial" w:eastAsia="Calibri" w:hAnsi="Arial" w:cs="Arial"/>
                                  <w:sz w:val="14"/>
                                  <w:szCs w:val="16"/>
                                  <w:u w:val="single"/>
                                  <w:lang w:val="es-ES_tradnl"/>
                                </w:rPr>
                                <w:t xml:space="preserve"> $</w:t>
                              </w:r>
                            </w:p>
                          </w:txbxContent>
                        </wps:txbx>
                        <wps:bodyPr rot="0" vert="horz" wrap="square" lIns="66751" tIns="33376" rIns="66751" bIns="33376" anchor="t" anchorCtr="0" upright="1">
                          <a:noAutofit/>
                        </wps:bodyPr>
                      </wps:wsp>
                      <wps:wsp>
                        <wps:cNvPr id="142" name="Text Box 301"/>
                        <wps:cNvSpPr txBox="1">
                          <a:spLocks noChangeArrowheads="1"/>
                        </wps:cNvSpPr>
                        <wps:spPr bwMode="auto">
                          <a:xfrm>
                            <a:off x="623907" y="686617"/>
                            <a:ext cx="297803"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5CBA" w14:textId="77777777" w:rsidR="00521F47" w:rsidRPr="00021CBD" w:rsidRDefault="00521F47" w:rsidP="00BC6A5F">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wps:txbx>
                        <wps:bodyPr rot="0" vert="horz" wrap="square" lIns="66751" tIns="33376" rIns="66751" bIns="33376" anchor="t" anchorCtr="0" upright="1">
                          <a:noAutofit/>
                        </wps:bodyPr>
                      </wps:wsp>
                      <wps:wsp>
                        <wps:cNvPr id="143" name="Text Box 301"/>
                        <wps:cNvSpPr txBox="1">
                          <a:spLocks noChangeArrowheads="1"/>
                        </wps:cNvSpPr>
                        <wps:spPr bwMode="auto">
                          <a:xfrm>
                            <a:off x="4631250" y="3414182"/>
                            <a:ext cx="469668"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CF39" w14:textId="77777777" w:rsidR="00521F47" w:rsidRPr="005974C3" w:rsidRDefault="00521F47" w:rsidP="00BC6A5F">
                              <w:pPr>
                                <w:pStyle w:val="NormalWeb"/>
                                <w:spacing w:before="0" w:beforeAutospacing="0" w:after="0" w:afterAutospacing="0"/>
                                <w:jc w:val="both"/>
                                <w:rPr>
                                  <w:sz w:val="22"/>
                                </w:rPr>
                              </w:pPr>
                              <w:r w:rsidRPr="005974C3">
                                <w:rPr>
                                  <w:rFonts w:ascii="Arial" w:eastAsia="Calibri" w:hAnsi="Arial" w:cs="Arial"/>
                                  <w:b/>
                                  <w:sz w:val="14"/>
                                  <w:szCs w:val="16"/>
                                  <w:lang w:val="es-ES_tradnl"/>
                                </w:rPr>
                                <w:t>(</w:t>
                              </w:r>
                              <w:r>
                                <w:rPr>
                                  <w:rFonts w:ascii="Arial" w:eastAsia="Calibri" w:hAnsi="Arial" w:cs="Arial"/>
                                  <w:b/>
                                  <w:sz w:val="14"/>
                                  <w:szCs w:val="16"/>
                                  <w:lang w:val="es-ES_tradnl"/>
                                </w:rPr>
                                <w:t>7</w:t>
                              </w:r>
                              <w:r w:rsidRPr="005974C3">
                                <w:rPr>
                                  <w:rFonts w:ascii="Arial" w:eastAsia="Calibri" w:hAnsi="Arial" w:cs="Arial"/>
                                  <w:b/>
                                  <w:sz w:val="14"/>
                                  <w:szCs w:val="16"/>
                                  <w:lang w:val="es-ES_tradnl"/>
                                </w:rPr>
                                <w:t xml:space="preserve">) </w:t>
                              </w:r>
                              <w:r w:rsidRPr="005974C3">
                                <w:rPr>
                                  <w:rFonts w:ascii="Arial" w:eastAsia="Calibri" w:hAnsi="Arial" w:cs="Arial"/>
                                  <w:sz w:val="14"/>
                                  <w:szCs w:val="16"/>
                                  <w:lang w:val="es-ES_tradnl"/>
                                </w:rPr>
                                <w:t>$</w:t>
                              </w:r>
                            </w:p>
                          </w:txbxContent>
                        </wps:txbx>
                        <wps:bodyPr rot="0" vert="horz" wrap="square" lIns="66751" tIns="33376" rIns="66751" bIns="33376" anchor="t" anchorCtr="0" upright="1">
                          <a:noAutofit/>
                        </wps:bodyPr>
                      </wps:wsp>
                      <wps:wsp>
                        <wps:cNvPr id="144" name="Line 292"/>
                        <wps:cNvCnPr>
                          <a:cxnSpLocks noChangeShapeType="1"/>
                        </wps:cNvCnPr>
                        <wps:spPr bwMode="auto">
                          <a:xfrm>
                            <a:off x="2411726" y="1349633"/>
                            <a:ext cx="0" cy="36330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45" name="Imagen 13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762919" y="1724242"/>
                            <a:ext cx="980310" cy="1323732"/>
                          </a:xfrm>
                          <a:prstGeom prst="rect">
                            <a:avLst/>
                          </a:prstGeom>
                          <a:noFill/>
                          <a:extLst>
                            <a:ext uri="{909E8E84-426E-40DD-AFC4-6F175D3DCCD1}">
                              <a14:hiddenFill xmlns:a14="http://schemas.microsoft.com/office/drawing/2010/main">
                                <a:solidFill>
                                  <a:srgbClr val="FFFFFF"/>
                                </a:solidFill>
                              </a14:hiddenFill>
                            </a:ext>
                          </a:extLst>
                        </pic:spPr>
                      </pic:pic>
                      <wps:wsp>
                        <wps:cNvPr id="146" name="Text Box 302"/>
                        <wps:cNvSpPr txBox="1">
                          <a:spLocks noChangeArrowheads="1"/>
                        </wps:cNvSpPr>
                        <wps:spPr bwMode="auto">
                          <a:xfrm>
                            <a:off x="3255156" y="3066636"/>
                            <a:ext cx="281682" cy="1663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4958" w14:textId="77777777" w:rsidR="00521F47" w:rsidRPr="005974C3" w:rsidRDefault="00521F47" w:rsidP="00BC6A5F">
                              <w:pPr>
                                <w:pStyle w:val="NormalWeb"/>
                                <w:spacing w:before="0" w:beforeAutospacing="0" w:after="0" w:afterAutospacing="0"/>
                                <w:jc w:val="both"/>
                                <w:rPr>
                                  <w:b/>
                                </w:rPr>
                              </w:pPr>
                              <w:r w:rsidRPr="005974C3">
                                <w:rPr>
                                  <w:rFonts w:ascii="Arial" w:eastAsia="Calibri" w:hAnsi="Arial" w:cs="Arial"/>
                                  <w:b/>
                                  <w:sz w:val="13"/>
                                  <w:szCs w:val="13"/>
                                  <w:lang w:val="es-ES_tradnl"/>
                                </w:rPr>
                                <w:t>(3)</w:t>
                              </w:r>
                            </w:p>
                          </w:txbxContent>
                        </wps:txbx>
                        <wps:bodyPr rot="0" vert="horz" wrap="square" lIns="66751" tIns="33376" rIns="66751" bIns="33376" anchor="t" anchorCtr="0" upright="1">
                          <a:noAutofit/>
                        </wps:bodyPr>
                      </wps:wsp>
                    </wpc:wpc>
                  </a:graphicData>
                </a:graphic>
              </wp:inline>
            </w:drawing>
          </mc:Choice>
          <mc:Fallback>
            <w:pict>
              <v:group w14:anchorId="6B508AA9" id="Lienzo 178" o:spid="_x0000_s1026" editas="canvas" style="width:441.8pt;height:309.85pt;mso-position-horizontal-relative:char;mso-position-vertical-relative:line" coordsize="56108,393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08;height:39350;visibility:visible;mso-wrap-style:square">
                  <v:fill o:detectmouseclick="t"/>
                  <v:path o:connecttype="none"/>
                </v:shape>
                <v:rect id="Rectangle 286" o:spid="_x0000_s1028" style="position:absolute;left:40034;top:16169;width:10258;height:16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uysMA&#10;AADcAAAADwAAAGRycy9kb3ducmV2LnhtbERPTWsCMRC9C/6HMII3N7s9SFmN0hZaFKGiloK36Wa6&#10;G7qZLEmq2/56Iwje5vE+Z77sbStO5INxrKDIchDEldOGawUfh9fJI4gQkTW2jknBHwVYLoaDOZba&#10;nXlHp32sRQrhUKKCJsaulDJUDVkMmeuIE/ftvMWYoK+l9nhO4baVD3k+lRYNp4YGO3ppqPrZ/1oF&#10;xm/fY2Xa9efX2+Zo/82OV8dnpcaj/mkGIlIf7+Kbe6XT/KKA6zPp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uysMAAADcAAAADwAAAAAAAAAAAAAAAACYAgAAZHJzL2Rv&#10;d25yZXYueG1sUEsFBgAAAAAEAAQA9QAAAIgDAAAAAA==&#10;" fillcolor="#b2b2b2">
                  <v:textbox inset="1.85419mm,.92711mm,1.85419mm,.92711mm">
                    <w:txbxContent>
                      <w:p w14:paraId="3F9E9BA3"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42C5A33E"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331451FF"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2D9A80A0"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p w14:paraId="1B453D90"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4A578312"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A4C2780" w14:textId="26BF3579"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LXXIII</w:t>
                        </w:r>
                      </w:p>
                    </w:txbxContent>
                  </v:textbox>
                </v:rect>
                <v:rect id="Rectangle 288" o:spid="_x0000_s1029" style="position:absolute;left:40644;top:16658;width:8078;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GRcEA&#10;AADcAAAADwAAAGRycy9kb3ducmV2LnhtbERPTWvCQBC9C/6HZQpepG6MIiVmI6UgeKy2PXgbsmOy&#10;NDsbs6vZ/nu3UOhtHu9zyl20nbjT4I1jBctFBoK4dtpwo+DzY//8AsIHZI2dY1LwQx521XRSYqHd&#10;yEe6n0IjUgj7AhW0IfSFlL5uyaJfuJ44cRc3WAwJDo3UA44p3HYyz7KNtGg4NbTY01tL9ffpZhWY&#10;2Kzm7/mIa6uvZh5X52i/eqVmT/F1CyJQDP/iP/dBp/nLHH6fSRfI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hkXBAAAA3AAAAA8AAAAAAAAAAAAAAAAAmAIAAGRycy9kb3du&#10;cmV2LnhtbFBLBQYAAAAABAAEAPUAAACGAwAAAAA=&#10;">
                  <v:textbox inset="1.85419mm,.92711mm,1.85419mm,.92711mm">
                    <w:txbxContent>
                      <w:p w14:paraId="2D3AB106" w14:textId="77777777" w:rsidR="00521F47" w:rsidRDefault="00521F47" w:rsidP="00BC6A5F">
                        <w:pPr>
                          <w:autoSpaceDE w:val="0"/>
                          <w:autoSpaceDN w:val="0"/>
                          <w:adjustRightInd w:val="0"/>
                          <w:jc w:val="center"/>
                          <w:rPr>
                            <w:rFonts w:ascii="Tahoma" w:hAnsi="Tahoma" w:cs="Tahoma"/>
                            <w:b/>
                            <w:bCs/>
                            <w:color w:val="000000"/>
                            <w:sz w:val="20"/>
                            <w:szCs w:val="28"/>
                          </w:rPr>
                        </w:pPr>
                      </w:p>
                      <w:p w14:paraId="3FA5EFA6" w14:textId="77777777" w:rsidR="00521F47" w:rsidRPr="005D2ED9" w:rsidRDefault="00521F47" w:rsidP="00BC6A5F">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BE77D2F" w14:textId="77777777" w:rsidR="00521F47" w:rsidRPr="005D2ED9" w:rsidRDefault="00521F47" w:rsidP="00BC6A5F">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v:textbox>
                </v:rect>
                <v:rect id="Rectangle 289" o:spid="_x0000_s1030" style="position:absolute;left:16994;top:6117;width:11645;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VJsMA&#10;AADcAAAADwAAAGRycy9kb3ducmV2LnhtbERPTWsCMRC9C/0PYQreNGuFUlaj2ELFUmhxWwRv42bc&#10;DW4mSxJ1219vBMHbPN7nTOedbcSJfDCOFYyGGQji0mnDlYLfn/fBC4gQkTU2jknBHwWYzx56U8y1&#10;O/OaTkWsRArhkKOCOsY2lzKUNVkMQ9cSJ27vvMWYoK+k9nhO4baRT1n2LC0aTg01tvRWU3kojlaB&#10;8d9fsTTNx2a3/Nzaf7Pm1fZVqf5jt5iAiNTFu/jmXuk0fzSG6zPpA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UVJsMAAADcAAAADwAAAAAAAAAAAAAAAACYAgAAZHJzL2Rv&#10;d25yZXYueG1sUEsFBgAAAAAEAAQA9QAAAIgDAAAAAA==&#10;" fillcolor="#b2b2b2">
                  <v:textbox inset="1.85419mm,.92711mm,1.85419mm,.92711mm">
                    <w:txbxContent>
                      <w:p w14:paraId="38DB9537" w14:textId="77777777" w:rsidR="00521F47" w:rsidRPr="00502438" w:rsidRDefault="00521F47" w:rsidP="00BC6A5F">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AF82A22" w14:textId="77777777" w:rsidR="00521F47" w:rsidRPr="00502438" w:rsidRDefault="00521F47" w:rsidP="00BC6A5F">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v:textbox>
                </v:rect>
                <v:shapetype id="_x0000_t202" coordsize="21600,21600" o:spt="202" path="m,l,21600r21600,l21600,xe">
                  <v:stroke joinstyle="miter"/>
                  <v:path gradientshapeok="t" o:connecttype="rect"/>
                </v:shapetype>
                <v:shape id="Text Box 291" o:spid="_x0000_s1031" type="#_x0000_t202" style="position:absolute;left:32007;top:9972;width:52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kh8cA&#10;AADcAAAADwAAAGRycy9kb3ducmV2LnhtbESPQWvCQBCF70L/wzIFL6XZqLG1MauIIgherLZIb2N2&#10;moRmZ0N21fTfu4WCtxne+968yeadqcWFWldZVjCIYhDEudUVFwo+DuvnCQjnkTXWlknBLzmYzx56&#10;GabaXvmdLntfiBDCLkUFpfdNKqXLSzLoItsQB+3btgZ9WNtC6havIdzUchjHL9JgxeFCiQ0tS8p/&#10;9mcTavDTSI+PyWeyOX3tXnl7OL/FK6X6j91iCsJT5+/mf3qjAzdI4O+ZMIG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3JIfHAAAA3AAAAA8AAAAAAAAAAAAAAAAAmAIAAGRy&#10;cy9kb3ducmV2LnhtbFBLBQYAAAAABAAEAPUAAACMAwAAAAA=&#10;" filled="f" fillcolor="#bbe0e3" stroked="f">
                  <v:textbox inset="1.85419mm,.92711mm,1.85419mm,.92711mm">
                    <w:txbxContent>
                      <w:p w14:paraId="15712131" w14:textId="77777777" w:rsidR="00521F47" w:rsidRDefault="00521F47" w:rsidP="00BC6A5F">
                        <w:pPr>
                          <w:rPr>
                            <w:szCs w:val="18"/>
                          </w:rPr>
                        </w:pPr>
                      </w:p>
                      <w:p w14:paraId="30130009" w14:textId="77777777" w:rsidR="00521F47" w:rsidRDefault="00521F47" w:rsidP="00BC6A5F">
                        <w:pPr>
                          <w:rPr>
                            <w:szCs w:val="18"/>
                          </w:rPr>
                        </w:pPr>
                      </w:p>
                      <w:p w14:paraId="63F52BB0" w14:textId="77777777" w:rsidR="00521F47" w:rsidRPr="00FC6724" w:rsidRDefault="00521F47" w:rsidP="00BC6A5F">
                        <w:pPr>
                          <w:rPr>
                            <w:szCs w:val="18"/>
                          </w:rPr>
                        </w:pPr>
                      </w:p>
                    </w:txbxContent>
                  </v:textbox>
                </v:shape>
                <v:line id="Line 292" o:spid="_x0000_s1032" style="position:absolute;flip:x;visibility:visible;mso-wrap-style:square" from="12129,20240" to="17629,2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tGsIAAADcAAAADwAAAGRycy9kb3ducmV2LnhtbERPS2vCQBC+F/wPywi9FN2oVEJ0FVsN&#10;FHoxPu5DdkyC2dklu2r6791Cobf5+J6zXPemFXfqfGNZwWScgCAurW64UnA65qMUhA/IGlvLpOCH&#10;PKxXg5clZto+uKD7IVQihrDPUEEdgsuk9GVNBv3YOuLIXWxnMETYVVJ3+IjhppXTJJlLgw3Hhhod&#10;fdZUXg83o+Bttts6l6Z5Xmxts3fnXfHxfVLqddhvFiAC9eFf/Of+0nH+5B1+n4kX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OtGsIAAADcAAAADwAAAAAAAAAAAAAA&#10;AAChAgAAZHJzL2Rvd25yZXYueG1sUEsFBgAAAAAEAAQA+QAAAJADAAAAAA==&#10;">
                  <v:stroke startarrow="block" endarrow="block"/>
                </v:line>
                <v:shape id="Text Box 293" o:spid="_x0000_s1033" type="#_x0000_t202" style="position:absolute;left:12053;top:17914;width:5981;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LGcgA&#10;AADcAAAADwAAAGRycy9kb3ducmV2LnhtbESPT2vCQBDF70K/wzIFL0U3/qk2MauIRRB6aaMivY3Z&#10;aRKanQ3ZVdNv3y0UvM3w3u/Nm3TVmVpcqXWVZQWjYQSCOLe64kLBYb8dvIBwHlljbZkU/JCD1fKh&#10;l2Ki7Y0/6Jr5QoQQdgkqKL1vEildXpJBN7QNcdC+bGvQh7UtpG7xFsJNLcdRNJMGKw4XSmxoU1L+&#10;nV1MqMFPE/18mh6nu/Pn+5zf9pc4elWq/9itFyA8df5u/qd3OnCjGP6eCRP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tosZyAAAANwAAAAPAAAAAAAAAAAAAAAAAJgCAABk&#10;cnMvZG93bnJldi54bWxQSwUGAAAAAAQABAD1AAAAjQMAAAAA&#10;" filled="f" fillcolor="#bbe0e3" stroked="f">
                  <v:textbox inset="1.85419mm,.92711mm,1.85419mm,.92711mm">
                    <w:txbxContent>
                      <w:p w14:paraId="60BE66AE" w14:textId="77777777" w:rsidR="00521F47" w:rsidRDefault="00521F47" w:rsidP="00BC6A5F">
                        <w:pPr>
                          <w:autoSpaceDE w:val="0"/>
                          <w:autoSpaceDN w:val="0"/>
                          <w:adjustRightInd w:val="0"/>
                          <w:rPr>
                            <w:color w:val="000000"/>
                            <w:sz w:val="13"/>
                            <w:szCs w:val="18"/>
                          </w:rPr>
                        </w:pPr>
                        <w:r w:rsidRPr="005974C3">
                          <w:rPr>
                            <w:b/>
                            <w:color w:val="000000"/>
                            <w:sz w:val="13"/>
                            <w:szCs w:val="18"/>
                          </w:rPr>
                          <w:t>(1)</w:t>
                        </w:r>
                        <w:r>
                          <w:rPr>
                            <w:color w:val="000000"/>
                            <w:sz w:val="13"/>
                            <w:szCs w:val="18"/>
                          </w:rPr>
                          <w:t xml:space="preserve"> Créditos</w:t>
                        </w:r>
                      </w:p>
                    </w:txbxContent>
                  </v:textbox>
                </v:shape>
                <v:rect id="Rectangle 294" o:spid="_x0000_s1034" style="position:absolute;left:17629;top:31974;width:9558;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B7MYA&#10;AADcAAAADwAAAGRycy9kb3ducmV2LnhtbESPT2sCMRDF74V+hzAFbzWrBymrUVqhRRFa/EPB23Qz&#10;3Q3dTJYk6tpP3zkUvM3w3rz3m9mi9606U0wusIHRsABFXAXruDZw2L8+PoFKGdliG5gMXCnBYn5/&#10;N8PShgtv6bzLtZIQTiUaaHLuSq1T1ZDHNAwdsWjfIXrMssZa24gXCfetHhfFRHt0LA0NdrRsqPrZ&#10;nbwBFz/ec+Xa9efX2+bof92WV8cXYwYP/fMUVKY+38z/1ysr+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tB7MYAAADcAAAADwAAAAAAAAAAAAAAAACYAgAAZHJz&#10;L2Rvd25yZXYueG1sUEsFBgAAAAAEAAQA9QAAAIsDAAAAAA==&#10;" fillcolor="#b2b2b2">
                  <v:textbox inset="1.85419mm,.92711mm,1.85419mm,.92711mm">
                    <w:txbxContent>
                      <w:p w14:paraId="64600306"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v:textbox>
                </v:rect>
                <v:line id="Line 295" o:spid="_x0000_s1035" style="position:absolute;flip:y;visibility:visible;mso-wrap-style:square" from="27187,27400" to="39584,3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296" o:spid="_x0000_s1036" style="position:absolute;flip:x;visibility:visible;mso-wrap-style:square" from="27123,29104" to="40034,3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shape id="Text Box 297" o:spid="_x0000_s1037" type="#_x0000_t202" style="position:absolute;left:31874;top:28553;width:1791;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2TscA&#10;AADcAAAADwAAAGRycy9kb3ducmV2LnhtbESPW2vCQBCF3wv+h2UEX0rdeKsasxGpCEJf6qUU38bs&#10;mASzsyG7avrvu4VC32Y45ztzJlm2phJ3alxpWcGgH4EgzqwuOVdwPGxeZiCcR9ZYWSYF3+RgmXae&#10;Eoy1ffCO7nufixDCLkYFhfd1LKXLCjLo+rYmDtrFNgZ9WJtc6gYfIdxUchhFr9JgyeFCgTW9FZRd&#10;9zcTavDzSE++xp/j7fn0MeX3w20erZXqddvVAoSn1v+b/+itDtxwBL/PhAl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ydk7HAAAA3AAAAA8AAAAAAAAAAAAAAAAAmAIAAGRy&#10;cy9kb3ducmV2LnhtbFBLBQYAAAAABAAEAPUAAACMAwAAAAA=&#10;" filled="f" fillcolor="#bbe0e3" stroked="f">
                  <v:textbox inset="1.85419mm,.92711mm,1.85419mm,.92711mm">
                    <w:txbxContent>
                      <w:p w14:paraId="6CD176B0" w14:textId="77777777" w:rsidR="00521F47" w:rsidRDefault="00521F47" w:rsidP="00BC6A5F">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v:textbox>
                </v:shape>
                <v:shape id="Text Box 298" o:spid="_x0000_s1038" type="#_x0000_t202" style="position:absolute;left:32388;top:33290;width:11180;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uOscA&#10;AADcAAAADwAAAGRycy9kb3ducmV2LnhtbESPQWvCQBCF70L/wzIFL6XZqLG1MauIIgherLZIb2N2&#10;moRmZ0N21fTfu4WCtxne+968yeadqcWFWldZVjCIYhDEudUVFwo+DuvnCQjnkTXWlknBLzmYzx56&#10;GabaXvmdLntfiBDCLkUFpfdNKqXLSzLoItsQB+3btgZ9WNtC6havIdzUchjHL9JgxeFCiQ0tS8p/&#10;9mcTavDTSI+PyWeyOX3tXnl7OL/FK6X6j91iCsJT5+/mf3qjAzdM4O+ZMIG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b7jrHAAAA3AAAAA8AAAAAAAAAAAAAAAAAmAIAAGRy&#10;cy9kb3ducmV2LnhtbFBLBQYAAAAABAAEAPUAAACMAwAAAAA=&#10;" filled="f" fillcolor="#bbe0e3" stroked="f">
                  <v:textbox inset="1.85419mm,.92711mm,1.85419mm,.92711mm">
                    <w:txbxContent>
                      <w:p w14:paraId="6B2EAB1F" w14:textId="5F829B0F" w:rsidR="00521F47" w:rsidRPr="005D2ED9" w:rsidRDefault="00521F47" w:rsidP="00BC6A5F">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Fiduciarios</w:t>
                        </w:r>
                      </w:p>
                    </w:txbxContent>
                  </v:textbox>
                </v:shape>
                <v:line id="Line 299" o:spid="_x0000_s1039" style="position:absolute;flip:y;visibility:visible;mso-wrap-style:square" from="27638,22585" to="40034,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line id="Line 300" o:spid="_x0000_s1040" style="position:absolute;flip:x y;visibility:visible;mso-wrap-style:square" from="27155,24037" to="39584,2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dmRsIAAADcAAAADwAAAGRycy9kb3ducmV2LnhtbERPTYvCMBC9L/gfwgh7W1M9FLcaRQTB&#10;gxd1Wa/TZmyqzaRtYu3+e7OwsLd5vM9Zrgdbi546XzlWMJ0kIIgLpysuFXyddx9zED4ga6wdk4If&#10;8rBejd6WmGn35CP1p1CKGMI+QwUmhCaT0heGLPqJa4gjd3WdxRBhV0rd4TOG21rOkiSVFiuODQYb&#10;2hoq7qeHVdDnj+nt+3C8+/zSfuZz024PbarU+3jYLEAEGsK/+M+913H+LIXfZ+IF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dmRsIAAADcAAAADwAAAAAAAAAAAAAA&#10;AAChAgAAZHJzL2Rvd25yZXYueG1sUEsFBgAAAAAEAAQA+QAAAJADAAAAAA==&#10;">
                  <v:stroke endarrow="block"/>
                </v:line>
                <v:shape id="Text Box 301" o:spid="_x0000_s1041" type="#_x0000_t202" style="position:absolute;left:30819;top:24303;width:4098;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wTcYA&#10;AADcAAAADwAAAGRycy9kb3ducmV2LnhtbESPT2vCQBDF70K/wzKCF6kbrdaauoooBcGLfyneptkx&#10;Cc3Ohuyq8du7guBthvd+b96Mp7UpxIUql1tW0O1EIIgTq3NOFex3P+9fIJxH1lhYJgU3cjCdvDXG&#10;GGt75Q1dtj4VIYRdjAoy78tYSpdkZNB1bEkctJOtDPqwVqnUFV5DuClkL4o+pcGcw4UMS5pnlPxv&#10;zybU4PaHHvz2D/3l33E95NXuPIoWSrWa9ewbhKfav8xPeqkD1xvC45kwgZ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lwTcYAAADcAAAADwAAAAAAAAAAAAAAAACYAgAAZHJz&#10;L2Rvd25yZXYueG1sUEsFBgAAAAAEAAQA9QAAAIsDAAAAAA==&#10;" filled="f" fillcolor="#bbe0e3" stroked="f">
                  <v:textbox inset="1.85419mm,.92711mm,1.85419mm,.92711mm">
                    <w:txbxContent>
                      <w:p w14:paraId="3DC3D39B" w14:textId="77777777" w:rsidR="00521F47" w:rsidRPr="005974C3" w:rsidRDefault="00521F47" w:rsidP="00BC6A5F">
                        <w:pPr>
                          <w:autoSpaceDE w:val="0"/>
                          <w:autoSpaceDN w:val="0"/>
                          <w:adjustRightInd w:val="0"/>
                          <w:rPr>
                            <w:color w:val="000000"/>
                            <w:sz w:val="11"/>
                            <w:szCs w:val="18"/>
                          </w:rPr>
                        </w:pPr>
                        <w:r w:rsidRPr="005974C3">
                          <w:rPr>
                            <w:b/>
                            <w:color w:val="000000"/>
                            <w:sz w:val="14"/>
                            <w:szCs w:val="18"/>
                          </w:rPr>
                          <w:t>(4)</w:t>
                        </w:r>
                        <w:r w:rsidRPr="005974C3">
                          <w:rPr>
                            <w:color w:val="000000"/>
                            <w:sz w:val="14"/>
                            <w:szCs w:val="18"/>
                          </w:rPr>
                          <w:t xml:space="preserve"> $</w:t>
                        </w:r>
                      </w:p>
                    </w:txbxContent>
                  </v:textbox>
                </v:shape>
                <v:shape id="Text Box 302" o:spid="_x0000_s1042" type="#_x0000_t202" style="position:absolute;left:30882;top:19797;width:6371;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kP8YA&#10;AADcAAAADwAAAGRycy9kb3ducmV2LnhtbESPT2vCQBDF74LfYRnBi9SN1v6LriKKIPTSakvpbZod&#10;k2B2NmRXjd++cxC8zWPe782b2aJ1lTpTE0rPBkbDBBRx5m3JuYGv/ebhFVSIyBYrz2TgSgEW825n&#10;hqn1F/6k8y7mSkI4pGigiLFOtQ5ZQQ7D0NfEsjv4xmEU2eTaNniRcFfpcZI8a4cly4UCa1oVlB13&#10;Jyc1ePBon34m35Pt3+/HC7/vT2/J2ph+r11OQUVq4918o7dWuLG0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bkP8YAAADcAAAADwAAAAAAAAAAAAAAAACYAgAAZHJz&#10;L2Rvd25yZXYueG1sUEsFBgAAAAAEAAQA9QAAAIsDAAAAAA==&#10;" filled="f" fillcolor="#bbe0e3" stroked="f">
                  <v:textbox inset="1.85419mm,.92711mm,1.85419mm,.92711mm">
                    <w:txbxContent>
                      <w:p w14:paraId="4DD91311" w14:textId="77777777" w:rsidR="00521F47" w:rsidRDefault="00521F47" w:rsidP="00BC6A5F">
                        <w:pPr>
                          <w:autoSpaceDE w:val="0"/>
                          <w:autoSpaceDN w:val="0"/>
                          <w:adjustRightInd w:val="0"/>
                          <w:rPr>
                            <w:color w:val="000000"/>
                            <w:sz w:val="13"/>
                            <w:szCs w:val="18"/>
                          </w:rPr>
                        </w:pPr>
                        <w:r w:rsidRPr="005974C3">
                          <w:rPr>
                            <w:b/>
                            <w:color w:val="000000"/>
                            <w:sz w:val="13"/>
                            <w:szCs w:val="18"/>
                          </w:rPr>
                          <w:t>(2)</w:t>
                        </w:r>
                        <w:r>
                          <w:rPr>
                            <w:color w:val="000000"/>
                            <w:sz w:val="13"/>
                            <w:szCs w:val="18"/>
                          </w:rPr>
                          <w:t xml:space="preserve"> Créditos</w:t>
                        </w:r>
                      </w:p>
                    </w:txbxContent>
                  </v:textbox>
                </v:shape>
                <v:rect id="Rectangle 303" o:spid="_x0000_s1043" style="position:absolute;left:50;top:17242;width:12022;height:10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ccMA&#10;AADcAAAADwAAAGRycy9kb3ducmV2LnhtbERPTWsCMRC9C/6HMEJvmtVDaVejVMFiKbS4iuBtupnu&#10;hm4mS5Lqtr/eCIK3ebzPmS0624gT+WAcKxiPMhDEpdOGKwX73Xr4BCJEZI2NY1LwRwEW835vhrl2&#10;Z97SqYiVSCEcclRQx9jmUoayJoth5FrixH07bzEm6CupPZ5TuG3kJMsepUXDqaHGllY1lT/Fr1Vg&#10;/OdHLE3zdvh6fT/af7PlzXGp1MOge5mCiNTFu/jm3ug0f/IM12fS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HoccMAAADcAAAADwAAAAAAAAAAAAAAAACYAgAAZHJzL2Rv&#10;d25yZXYueG1sUEsFBgAAAAAEAAQA9QAAAIgDAAAAAA==&#10;" fillcolor="#b2b2b2">
                  <v:textbox inset="1.85419mm,.92711mm,1.85419mm,.92711mm">
                    <w:txbxContent>
                      <w:p w14:paraId="4896A03F" w14:textId="77777777" w:rsidR="00521F47" w:rsidRPr="005D2ED9" w:rsidRDefault="00521F47" w:rsidP="00BC6A5F">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558E61BC" w14:textId="77777777" w:rsidR="00521F47" w:rsidRPr="00F703C6" w:rsidRDefault="00521F47" w:rsidP="00BC6A5F">
                        <w:pPr>
                          <w:autoSpaceDE w:val="0"/>
                          <w:autoSpaceDN w:val="0"/>
                          <w:adjustRightInd w:val="0"/>
                          <w:jc w:val="center"/>
                          <w:rPr>
                            <w:rFonts w:ascii="Tahoma" w:hAnsi="Tahoma" w:cs="Tahoma"/>
                            <w:b/>
                            <w:bCs/>
                            <w:color w:val="FFFFFF"/>
                            <w:sz w:val="18"/>
                            <w:szCs w:val="18"/>
                          </w:rPr>
                        </w:pPr>
                      </w:p>
                    </w:txbxContent>
                  </v:textbox>
                </v:rect>
                <v:line id="Line 306" o:spid="_x0000_s1044" style="position:absolute;flip:x;visibility:visible;mso-wrap-style:square" from="6239,9337" to="17350,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zJN8UAAADcAAAADwAAAGRycy9kb3ducmV2LnhtbESPQWvCQBCF7wX/wzJCb3WjQmijq2iL&#10;0BIvWgWPQ3aapGZnQ3ar8d87B6G3Gd6b976ZL3vXqAt1ofZsYDxKQBEX3tZcGjh8b15eQYWIbLHx&#10;TAZuFGC5GDzNMbP+yju67GOpJIRDhgaqGNtM61BU5DCMfEss2o/vHEZZu1LbDq8S7ho9SZJUO6xZ&#10;Gips6b2i4rz/cwZwcsq3bx9tnm6mX+dVnja/azoa8zzsVzNQkfr4b35cf1rBnwq+PCMT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zJN8UAAADcAAAADwAAAAAAAAAA&#10;AAAAAAChAgAAZHJzL2Rvd25yZXYueG1sUEsFBgAAAAAEAAQA+QAAAJMDAAAAAA==&#10;" strokeweight="2.5pt">
                  <v:stroke startarrow="block"/>
                </v:line>
                <v:line id="Line 307" o:spid="_x0000_s1045" style="position:absolute;flip:y;visibility:visible;mso-wrap-style:square" from="6239,9337" to="6239,1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fMAAAADcAAAADwAAAGRycy9kb3ducmV2LnhtbERPTWvCQBC9F/oflhF6q5tEEImuosWi&#10;V5PS85Adk2B2NuyuSdpf7wqF3ubxPmezm0wnBnK+tawgnScgiCurW64VfJWf7ysQPiBr7CyTgh/y&#10;sNu+vmww13bkCw1FqEUMYZ+jgiaEPpfSVw0Z9HPbE0fuap3BEKGrpXY4xnDTySxJltJgy7GhwZ4+&#10;Gqpuxd0oWJnap5f99+/NHxeH9nSSrswGpd5m034NItAU/sV/7rOO8xcpPJ+JF8jt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1nzAAAAA3AAAAA8AAAAAAAAAAAAAAAAA&#10;oQIAAGRycy9kb3ducmV2LnhtbFBLBQYAAAAABAAEAPkAAACOAwAAAAA=&#10;" strokeweight="2.5pt"/>
                <v:shape id="Text Box 308" o:spid="_x0000_s1046" type="#_x0000_t202" style="position:absolute;left:6714;top:7073;width:7357;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dFCMcA&#10;AADcAAAADwAAAGRycy9kb3ducmV2LnhtbESPW2vCQBCF3wv+h2UEX0rdeKsasxGpCEJf6qUU38bs&#10;mASzsyG7avrvu4VC32Y45ztzJlm2phJ3alxpWcGgH4EgzqwuOVdwPGxeZiCcR9ZYWSYF3+RgmXae&#10;Eoy1ffCO7nufixDCLkYFhfd1LKXLCjLo+rYmDtrFNgZ9WJtc6gYfIdxUchhFr9JgyeFCgTW9FZRd&#10;9zcTavDzSE++xp/j7fn0MeX3w20erZXqddvVAoSn1v+b/+itDtxoCL/PhAl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nRQjHAAAA3AAAAA8AAAAAAAAAAAAAAAAAmAIAAGRy&#10;cy9kb3ducmV2LnhtbFBLBQYAAAAABAAEAPUAAACMAwAAAAA=&#10;" filled="f" fillcolor="#bbe0e3" stroked="f">
                  <v:textbox inset="1.85419mm,.92711mm,1.85419mm,.92711mm">
                    <w:txbxContent>
                      <w:p w14:paraId="39360809" w14:textId="77777777" w:rsidR="00521F47" w:rsidRPr="005D2ED9" w:rsidRDefault="00521F47" w:rsidP="00BC6A5F">
                        <w:pPr>
                          <w:autoSpaceDE w:val="0"/>
                          <w:autoSpaceDN w:val="0"/>
                          <w:adjustRightInd w:val="0"/>
                          <w:jc w:val="center"/>
                          <w:rPr>
                            <w:color w:val="000000"/>
                            <w:sz w:val="13"/>
                            <w:szCs w:val="18"/>
                          </w:rPr>
                        </w:pPr>
                        <w:r w:rsidRPr="005D2ED9">
                          <w:rPr>
                            <w:color w:val="000000"/>
                            <w:sz w:val="13"/>
                            <w:szCs w:val="18"/>
                          </w:rPr>
                          <w:t>Cobranza</w:t>
                        </w:r>
                        <w:r>
                          <w:rPr>
                            <w:color w:val="000000"/>
                            <w:sz w:val="13"/>
                            <w:szCs w:val="18"/>
                          </w:rPr>
                          <w:t xml:space="preserve"> </w:t>
                        </w:r>
                        <w:r w:rsidRPr="005974C3">
                          <w:rPr>
                            <w:b/>
                            <w:color w:val="000000"/>
                            <w:sz w:val="13"/>
                            <w:szCs w:val="18"/>
                          </w:rPr>
                          <w:t>(</w:t>
                        </w:r>
                        <w:r>
                          <w:rPr>
                            <w:b/>
                            <w:color w:val="000000"/>
                            <w:sz w:val="13"/>
                            <w:szCs w:val="18"/>
                          </w:rPr>
                          <w:t>5</w:t>
                        </w:r>
                        <w:r w:rsidRPr="005974C3">
                          <w:rPr>
                            <w:b/>
                            <w:color w:val="000000"/>
                            <w:sz w:val="13"/>
                            <w:szCs w:val="18"/>
                          </w:rPr>
                          <w:t>)</w:t>
                        </w:r>
                      </w:p>
                    </w:txbxContent>
                  </v:textbox>
                </v:shape>
                <v:line id="Line 310" o:spid="_x0000_s1047" style="position:absolute;visibility:visible;mso-wrap-style:square" from="28639,9806" to="45579,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dzcIAAADcAAAADwAAAGRycy9kb3ducmV2LnhtbERPzWrCQBC+F3yHZYTe6ia1SBtdRQKC&#10;9BDR9gGG7JiEZGfj7jYmb98tFLzNx/c7m91oOjGQ841lBekiAUFcWt1wpeD76/DyDsIHZI2dZVIw&#10;kYfddva0wUzbO59puIRKxBD2GSqoQ+gzKX1Zk0G/sD1x5K7WGQwRukpqh/cYbjr5miQrabDh2FBj&#10;T3lNZXv5MQryz7eiSdvzyVHLHzx2p2K6DUo9z8f9GkSgMTzE/+6jjvOXS/h7Jl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SdzcIAAADcAAAADwAAAAAAAAAAAAAA&#10;AAChAgAAZHJzL2Rvd25yZXYueG1sUEsFBgAAAAAEAAQA+QAAAJADAAAAAA==&#10;" strokeweight="2.5pt"/>
                <v:line id="Line 311" o:spid="_x0000_s1048" style="position:absolute;visibility:visible;mso-wrap-style:square" from="45585,9806" to="45585,1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8C0MIAAADcAAAADwAAAGRycy9kb3ducmV2LnhtbERP24rCMBB9F/yHMAu+abpWVKpRRBBk&#10;wUWrHzA2Y1tsJqVJte7XbxYWfJvDuc5y3ZlKPKhxpWUFn6MIBHFmdcm5gst5N5yDcB5ZY2WZFLzI&#10;wXrV7y0x0fbJJ3qkPhchhF2CCgrv60RKlxVk0I1sTRy4m20M+gCbXOoGnyHcVHIcRVNpsOTQUGBN&#10;24Kye9oaBYfv88/X7iI312M7q6K4faXxdKvU4KPbLEB46vxb/O/e6zA/nsDfM+E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8C0MIAAADcAAAADwAAAAAAAAAAAAAA&#10;AAChAgAAZHJzL2Rvd25yZXYueG1sUEsFBgAAAAAEAAQA+QAAAJADAAAAAA==&#10;" strokeweight="2.5pt">
                  <v:stroke endarrow="block"/>
                </v:line>
                <v:shape id="Text Box 315" o:spid="_x0000_s1049" type="#_x0000_t202" style="position:absolute;left:24117;top:13776;width:6765;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dfMcA&#10;AADcAAAADwAAAGRycy9kb3ducmV2LnhtbESPW2vCQBCF3wX/wzJCX6Ru6qVqmo2IUhD64q0U38bs&#10;NAnNzobsqvHfdwsF32Y45ztzJlm0phJXalxpWcHLIAJBnFldcq7geHh/noFwHlljZZkU3MnBIu12&#10;Eoy1vfGOrnufixDCLkYFhfd1LKXLCjLoBrYmDtq3bQz6sDa51A3eQrip5DCKXqXBksOFAmtaFZT9&#10;7C8m1OD+SE++xp/jzfm0nfLH4TKP1ko99drlGwhPrX+Y/+mNDtxoAn/PhAl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O3XzHAAAA3AAAAA8AAAAAAAAAAAAAAAAAmAIAAGRy&#10;cy9kb3ducmV2LnhtbFBLBQYAAAAABAAEAPUAAACMAwAAAAA=&#10;" filled="f" fillcolor="#bbe0e3" stroked="f">
                  <v:textbox inset="1.85419mm,.92711mm,1.85419mm,.92711mm">
                    <w:txbxContent>
                      <w:p w14:paraId="4F655245" w14:textId="77777777" w:rsidR="00521F47" w:rsidRPr="005D2ED9" w:rsidRDefault="00521F47" w:rsidP="00BC6A5F">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v:textbox>
                </v:shape>
                <v:rect id="Rectangle 316" o:spid="_x0000_s1050" style="position:absolute;left:13380;top:29104;width:2788;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vD8AA&#10;AADcAAAADwAAAGRycy9kb3ducmV2LnhtbERP24rCMBB9X/Afwgi+rakKrlajSEUQFgRv70MztsFm&#10;Upuo9e/NgrBvczjXmS9bW4kHNd44VjDoJyCIc6cNFwpOx833BIQPyBorx6TgRR6Wi87XHFPtnryn&#10;xyEUIoawT1FBGUKdSunzkiz6vquJI3dxjcUQYVNI3eAzhttKDpNkLC0ajg0l1pSVlF8Pd6sg/8n0&#10;9tfs7GlfZJPp0GxW69tZqV63Xc1ABGrDv/jj3uo4fzSGv2fiB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3vD8AAAADcAAAADwAAAAAAAAAAAAAAAACYAgAAZHJzL2Rvd25y&#10;ZXYueG1sUEsFBgAAAAAEAAQA9QAAAIUDAAAAAA==&#10;" filled="f" fillcolor="#bbe0e3" stroked="f"/>
                <v:rect id="Rectangle 317" o:spid="_x0000_s1051" style="position:absolute;left:11386;top:20697;width:6243;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cs8IA&#10;AADcAAAADwAAAGRycy9kb3ducmV2LnhtbERPS2sCMRC+C/6HMII3zdZWW1ajiFBrL4LaQ4/DZtxd&#10;upmETfbhvzdCwdt8fM9ZbXpTiZZqX1pW8DJNQBBnVpecK/i5fE4+QPiArLGyTApu5GGzHg5WmGrb&#10;8Ynac8hFDGGfooIiBJdK6bOCDPqpdcSRu9raYIiwzqWusYvhppKzJFlIgyXHhgId7QrK/s6NUdC0&#10;F32ovriRe/d9nLn5W9ndfpUaj/rtEkSgPjzF/+6DjvNf3+Hx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tyzwgAAANwAAAAPAAAAAAAAAAAAAAAAAJgCAABkcnMvZG93&#10;bnJldi54bWxQSwUGAAAAAAQABAD1AAAAhwMAAAAA&#10;" filled="f" fillcolor="#bbe0e3" stroked="f">
                  <v:textbox inset="1.85419mm,.92711mm,1.85419mm,.92711mm">
                    <w:txbxContent>
                      <w:p w14:paraId="365A81E0" w14:textId="77777777" w:rsidR="00521F47" w:rsidRDefault="00521F47" w:rsidP="00BC6A5F">
                        <w:pPr>
                          <w:autoSpaceDE w:val="0"/>
                          <w:autoSpaceDN w:val="0"/>
                          <w:adjustRightInd w:val="0"/>
                          <w:jc w:val="center"/>
                          <w:rPr>
                            <w:color w:val="000000"/>
                            <w:sz w:val="13"/>
                            <w:szCs w:val="18"/>
                          </w:rPr>
                        </w:pPr>
                        <w:r>
                          <w:rPr>
                            <w:color w:val="000000"/>
                            <w:sz w:val="13"/>
                            <w:szCs w:val="18"/>
                          </w:rPr>
                          <w:t>Pagarés</w:t>
                        </w:r>
                      </w:p>
                    </w:txbxContent>
                  </v:textbox>
                </v:rect>
                <v:shape id="Text Box 308" o:spid="_x0000_s1052" type="#_x0000_t202" style="position:absolute;left:20066;top:1977;width:526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y4sYA&#10;AADcAAAADwAAAGRycy9kb3ducmV2LnhtbESPQWvCQBCF70L/wzKFXkQ3Vatt6ipSEQQvVi2lt2l2&#10;moRmZ0N21fjvnYPgbR7zvjdvpvPWVepETSg9G3juJ6CIM29Lzg0c9qveK6gQkS1WnsnAhQLMZw+d&#10;KabWn/mTTruYKwnhkKKBIsY61TpkBTkMfV8Ty+7PNw6jyCbXtsGzhLtKD5JkrB2WLBcKrOmjoOx/&#10;d3RSg7tD+/I9+hqtf3+2E97sj2/J0pinx3bxDipSG+/mG722wg2lrTwjE+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9y4sYAAADcAAAADwAAAAAAAAAAAAAAAACYAgAAZHJz&#10;L2Rvd25yZXYueG1sUEsFBgAAAAAEAAQA9QAAAIsDAAAAAA==&#10;" filled="f" fillcolor="#bbe0e3" stroked="f">
                  <v:textbox inset="1.85419mm,.92711mm,1.85419mm,.92711mm">
                    <w:txbxContent>
                      <w:p w14:paraId="1BC9FB89" w14:textId="77777777" w:rsidR="00521F47" w:rsidRPr="005D2ED9" w:rsidRDefault="00521F47" w:rsidP="00BC6A5F">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v:textbox>
                </v:shape>
                <v:line id="Line 310" o:spid="_x0000_s1053" style="position:absolute;flip:y;visibility:visible;mso-wrap-style:square" from="45579,32435" to="45585,3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aesAAAADcAAAADwAAAGRycy9kb3ducmV2LnhtbERPS4vCMBC+C/6HMII3TVVY3K5pcRdF&#10;rz7Y89DMtsVmUpJYq7/eLAje5uN7zirvTSM6cr62rGA2TUAQF1bXXCo4n7aTJQgfkDU2lknBnTzk&#10;2XCwwlTbGx+oO4ZSxBD2KSqoQmhTKX1RkUE/tS1x5P6sMxgidKXUDm8x3DRyniQf0mDNsaHCln4q&#10;Ki7Hq1GwNKWfHda/j4vfLL7r3U6607xTajzq118gAvXhLX659zrOX3zC/zPxAp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W2nrAAAAA3AAAAA8AAAAAAAAAAAAAAAAA&#10;oQIAAGRycy9kb3ducmV2LnhtbFBLBQYAAAAABAAEAPkAAACOAwAAAAA=&#10;" strokeweight="2.5pt"/>
                <v:line id="Line 311" o:spid="_x0000_s1054" style="position:absolute;flip:x;visibility:visible;mso-wrap-style:square" from="27187,36621" to="45579,3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yDZccAAADcAAAADwAAAGRycy9kb3ducmV2LnhtbESPT2vCQBDF74LfYZlCb7qpFFtSV4mW&#10;gpda/5TS45Adk9TsbMiuJvXTdw4FbzO8N+/9ZrboXa0u1IbKs4GHcQKKOPe24sLA5+Ft9AwqRGSL&#10;tWcy8EsBFvPhYIap9R3v6LKPhZIQDikaKGNsUq1DXpLDMPYNsWhH3zqMsraFti12Eu5qPUmSqXZY&#10;sTSU2NCqpPy0PzsD16evbHOcHlav+FHjd+iy5fvP1pj7uz57ARWpjzfz//XaCv6j4MszMoG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INlxwAAANwAAAAPAAAAAAAA&#10;AAAAAAAAAKECAABkcnMvZG93bnJldi54bWxQSwUGAAAAAAQABAD5AAAAlQMAAAAA&#10;" strokeweight="2.5pt">
                  <v:stroke endarrow="block"/>
                </v:line>
                <v:shape id="Text Box 301" o:spid="_x0000_s1055" type="#_x0000_t202" style="position:absolute;left:34275;top:7614;width:5035;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oAscA&#10;AADcAAAADwAAAGRycy9kb3ducmV2LnhtbESPQWvCQBCF70L/wzIFL6XZqLG1MauIIgherLZIb2N2&#10;moRmZ0N21fTfu4WCtxne+968yeadqcWFWldZVjCIYhDEudUVFwo+DuvnCQjnkTXWlknBLzmYzx56&#10;GabaXvmdLntfiBDCLkUFpfdNKqXLSzLoItsQB+3btgZ9WNtC6havIdzUchjHL9JgxeFCiQ0tS8p/&#10;9mcTavDTSI+PyWeyOX3tXnl7OL/FK6X6j91iCsJT5+/mf3qjA5cM4O+ZMIG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zqALHAAAA3AAAAA8AAAAAAAAAAAAAAAAAmAIAAGRy&#10;cy9kb3ducmV2LnhtbFBLBQYAAAAABAAEAPUAAACMAwAAAAA=&#10;" filled="f" fillcolor="#bbe0e3" stroked="f">
                  <v:textbox inset="1.85419mm,.92711mm,1.85419mm,.92711mm">
                    <w:txbxContent>
                      <w:p w14:paraId="1B063698" w14:textId="77777777" w:rsidR="00521F47" w:rsidRPr="005974C3" w:rsidRDefault="00521F47" w:rsidP="00BC6A5F">
                        <w:pPr>
                          <w:pStyle w:val="NormalWeb"/>
                          <w:spacing w:before="0" w:beforeAutospacing="0" w:after="0" w:afterAutospacing="0"/>
                          <w:jc w:val="both"/>
                          <w:rPr>
                            <w:sz w:val="22"/>
                          </w:rPr>
                        </w:pPr>
                        <w:r w:rsidRPr="005974C3">
                          <w:rPr>
                            <w:rFonts w:ascii="Arial" w:eastAsia="Calibri" w:hAnsi="Arial" w:cs="Arial"/>
                            <w:b/>
                            <w:sz w:val="14"/>
                            <w:szCs w:val="16"/>
                            <w:lang w:val="es-ES_tradnl"/>
                          </w:rPr>
                          <w:t>(6)</w:t>
                        </w:r>
                        <w:r w:rsidRPr="005974C3">
                          <w:rPr>
                            <w:rFonts w:ascii="Arial" w:eastAsia="Calibri" w:hAnsi="Arial" w:cs="Arial"/>
                            <w:sz w:val="14"/>
                            <w:szCs w:val="16"/>
                            <w:u w:val="single"/>
                            <w:lang w:val="es-ES_tradnl"/>
                          </w:rPr>
                          <w:t xml:space="preserve"> $</w:t>
                        </w:r>
                      </w:p>
                    </w:txbxContent>
                  </v:textbox>
                </v:shape>
                <v:shape id="Text Box 301" o:spid="_x0000_s1056" type="#_x0000_t202" style="position:absolute;left:6239;top:6866;width:2978;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2dccA&#10;AADcAAAADwAAAGRycy9kb3ducmV2LnhtbESPQWvCQBCF70L/wzIFL6XZqLG1MauIIgherLZIb2N2&#10;moRmZ0N21fTfu4WCtxne+968yeadqcWFWldZVjCIYhDEudUVFwo+DuvnCQjnkTXWlknBLzmYzx56&#10;GabaXvmdLntfiBDCLkUFpfdNKqXLSzLoItsQB+3btgZ9WNtC6havIdzUchjHL9JgxeFCiQ0tS8p/&#10;9mcTavDTSI+PyWeyOX3tXnl7OL/FK6X6j91iCsJT5+/mf3qjA5cM4e+ZMIG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NnXHAAAA3AAAAA8AAAAAAAAAAAAAAAAAmAIAAGRy&#10;cy9kb3ducmV2LnhtbFBLBQYAAAAABAAEAPUAAACMAwAAAAA=&#10;" filled="f" fillcolor="#bbe0e3" stroked="f">
                  <v:textbox inset="1.85419mm,.92711mm,1.85419mm,.92711mm">
                    <w:txbxContent>
                      <w:p w14:paraId="551E5CBA" w14:textId="77777777" w:rsidR="00521F47" w:rsidRPr="00021CBD" w:rsidRDefault="00521F47" w:rsidP="00BC6A5F">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v:textbox>
                </v:shape>
                <v:shape id="Text Box 301" o:spid="_x0000_s1057" type="#_x0000_t202" style="position:absolute;left:46312;top:34141;width:469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2T7scA&#10;AADcAAAADwAAAGRycy9kb3ducmV2LnhtbESPT2vCQBDF70K/wzJCL2I21rTaNKtIRRC8tP5Beptm&#10;xyQ0Oxuyq6bfvlsQvM3w3u/Nm2zemVpcqHWVZQWjKAZBnFtdcaFgv1sNpyCcR9ZYWyYFv+RgPnvo&#10;ZZhqe+VPumx9IUIIuxQVlN43qZQuL8mgi2xDHLSTbQ36sLaF1C1eQ7ip5VMcv0iDFYcLJTb0XlL+&#10;sz2bUIMHY/18TA7J+vvrY8Kb3fk1Xir12O8WbyA8df5uvtFrHbhkDP/PhAn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tk+7HAAAA3AAAAA8AAAAAAAAAAAAAAAAAmAIAAGRy&#10;cy9kb3ducmV2LnhtbFBLBQYAAAAABAAEAPUAAACMAwAAAAA=&#10;" filled="f" fillcolor="#bbe0e3" stroked="f">
                  <v:textbox inset="1.85419mm,.92711mm,1.85419mm,.92711mm">
                    <w:txbxContent>
                      <w:p w14:paraId="6B41CF39" w14:textId="77777777" w:rsidR="00521F47" w:rsidRPr="005974C3" w:rsidRDefault="00521F47" w:rsidP="00BC6A5F">
                        <w:pPr>
                          <w:pStyle w:val="NormalWeb"/>
                          <w:spacing w:before="0" w:beforeAutospacing="0" w:after="0" w:afterAutospacing="0"/>
                          <w:jc w:val="both"/>
                          <w:rPr>
                            <w:sz w:val="22"/>
                          </w:rPr>
                        </w:pPr>
                        <w:r w:rsidRPr="005974C3">
                          <w:rPr>
                            <w:rFonts w:ascii="Arial" w:eastAsia="Calibri" w:hAnsi="Arial" w:cs="Arial"/>
                            <w:b/>
                            <w:sz w:val="14"/>
                            <w:szCs w:val="16"/>
                            <w:lang w:val="es-ES_tradnl"/>
                          </w:rPr>
                          <w:t>(</w:t>
                        </w:r>
                        <w:r>
                          <w:rPr>
                            <w:rFonts w:ascii="Arial" w:eastAsia="Calibri" w:hAnsi="Arial" w:cs="Arial"/>
                            <w:b/>
                            <w:sz w:val="14"/>
                            <w:szCs w:val="16"/>
                            <w:lang w:val="es-ES_tradnl"/>
                          </w:rPr>
                          <w:t>7</w:t>
                        </w:r>
                        <w:r w:rsidRPr="005974C3">
                          <w:rPr>
                            <w:rFonts w:ascii="Arial" w:eastAsia="Calibri" w:hAnsi="Arial" w:cs="Arial"/>
                            <w:b/>
                            <w:sz w:val="14"/>
                            <w:szCs w:val="16"/>
                            <w:lang w:val="es-ES_tradnl"/>
                          </w:rPr>
                          <w:t xml:space="preserve">) </w:t>
                        </w:r>
                        <w:r w:rsidRPr="005974C3">
                          <w:rPr>
                            <w:rFonts w:ascii="Arial" w:eastAsia="Calibri" w:hAnsi="Arial" w:cs="Arial"/>
                            <w:sz w:val="14"/>
                            <w:szCs w:val="16"/>
                            <w:lang w:val="es-ES_tradnl"/>
                          </w:rPr>
                          <w:t>$</w:t>
                        </w:r>
                      </w:p>
                    </w:txbxContent>
                  </v:textbox>
                </v:shape>
                <v:line id="Line 292" o:spid="_x0000_s1058" style="position:absolute;visibility:visible;mso-wrap-style:square" from="24117,13496" to="24117,1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VzScIAAADcAAAADwAAAGRycy9kb3ducmV2LnhtbERPTWvCQBC9F/wPywje6kaRUqKriKDk&#10;IlJbeh6zYxLNzsbsmk37612h0Ns83ucsVr2pRUetqywrmIwTEMS51RUXCr4+t6/vIJxH1lhbJgU/&#10;5GC1HLwsMNU28Ad1R1+IGMIuRQWl900qpctLMujGtiGO3Nm2Bn2EbSF1iyGGm1pOk+RNGqw4NpTY&#10;0Kak/Hq8GwVJ+N3Ji8yq7pDtb6E5he/pLSg1GvbrOQhPvf8X/7kzHefPZvB8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VzScIAAADcAAAADwAAAAAAAAAAAAAA&#10;AAChAgAAZHJzL2Rvd25yZXYueG1sUEsFBgAAAAAEAAQA+QAAAJADAAAAAA==&#10;">
                  <v:stroke startarrow="block" endarrow="block"/>
                </v:line>
                <v:shape id="Imagen 131" o:spid="_x0000_s1059" type="#_x0000_t75" style="position:absolute;left:17629;top:17242;width:9803;height:13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7ALjEAAAA3AAAAA8AAABkcnMvZG93bnJldi54bWxET0trwkAQvhf8D8sIvdWNYktIXUWUPtBT&#10;oz30NmSn2WB2NsmuGv31rlDobT6+58wWva3FiTpfOVYwHiUgiAunKy4V7HdvTykIH5A11o5JwYU8&#10;LOaDhxlm2p35i055KEUMYZ+hAhNCk0npC0MW/cg1xJH7dZ3FEGFXSt3hOYbbWk6S5EVarDg2GGxo&#10;Zag45EerYMPf6/FqatKPbWvT9+TaHn/KVqnHYb98BRGoD//iP/enjvOnz3B/Jl4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7ALjEAAAA3AAAAA8AAAAAAAAAAAAAAAAA&#10;nwIAAGRycy9kb3ducmV2LnhtbFBLBQYAAAAABAAEAPcAAACQAwAAAAA=&#10;">
                  <v:imagedata r:id="rId75" o:title=""/>
                </v:shape>
                <v:shape id="Text Box 302" o:spid="_x0000_s1060" type="#_x0000_t202" style="position:absolute;left:32551;top:30666;width:2817;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wdscA&#10;AADcAAAADwAAAGRycy9kb3ducmV2LnhtbESPT2vCQBDF74LfYRnBi9SNNlqNriItBcGLf1rE25gd&#10;k2B2NmRXTb99t1DwNsN7vzdv5svGlOJOtSssKxj0IxDEqdUFZwq+Dp8vExDOI2ssLZOCH3KwXLRb&#10;c0y0ffCO7nufiRDCLkEFufdVIqVLczLo+rYiDtrF1gZ9WOtM6hofIdyUchhFY2mw4HAhx4rec0qv&#10;+5sJNbj3qkfH+Dten0/bN94cbtPoQ6lup1nNQHhq/NP8T6914OIx/D0TJp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aMHbHAAAA3AAAAA8AAAAAAAAAAAAAAAAAmAIAAGRy&#10;cy9kb3ducmV2LnhtbFBLBQYAAAAABAAEAPUAAACMAwAAAAA=&#10;" filled="f" fillcolor="#bbe0e3" stroked="f">
                  <v:textbox inset="1.85419mm,.92711mm,1.85419mm,.92711mm">
                    <w:txbxContent>
                      <w:p w14:paraId="5EDE4958" w14:textId="77777777" w:rsidR="00521F47" w:rsidRPr="005974C3" w:rsidRDefault="00521F47" w:rsidP="00BC6A5F">
                        <w:pPr>
                          <w:pStyle w:val="NormalWeb"/>
                          <w:spacing w:before="0" w:beforeAutospacing="0" w:after="0" w:afterAutospacing="0"/>
                          <w:jc w:val="both"/>
                          <w:rPr>
                            <w:b/>
                          </w:rPr>
                        </w:pPr>
                        <w:r w:rsidRPr="005974C3">
                          <w:rPr>
                            <w:rFonts w:ascii="Arial" w:eastAsia="Calibri" w:hAnsi="Arial" w:cs="Arial"/>
                            <w:b/>
                            <w:sz w:val="13"/>
                            <w:szCs w:val="13"/>
                            <w:lang w:val="es-ES_tradnl"/>
                          </w:rPr>
                          <w:t>(3)</w:t>
                        </w:r>
                      </w:p>
                    </w:txbxContent>
                  </v:textbox>
                </v:shape>
                <w10:anchorlock/>
              </v:group>
            </w:pict>
          </mc:Fallback>
        </mc:AlternateContent>
      </w:r>
    </w:p>
    <w:p w14:paraId="39E01117" w14:textId="77777777" w:rsidR="00BC6A5F" w:rsidRDefault="00BC6A5F" w:rsidP="00BC6A5F">
      <w:pPr>
        <w:suppressAutoHyphens/>
        <w:rPr>
          <w:rFonts w:ascii="Times New Roman" w:hAnsi="Times New Roman" w:cs="Times New Roman"/>
          <w:iCs/>
          <w:color w:val="0D0D0D" w:themeColor="text1" w:themeTint="F2"/>
          <w:sz w:val="22"/>
          <w:szCs w:val="22"/>
        </w:rPr>
      </w:pPr>
    </w:p>
    <w:p w14:paraId="63FC7BF7" w14:textId="77777777" w:rsidR="00BC6A5F" w:rsidRPr="005974C3" w:rsidRDefault="00BC6A5F" w:rsidP="00BC6A5F">
      <w:pPr>
        <w:suppressAutoHyphens/>
        <w:rPr>
          <w:rFonts w:ascii="Times New Roman" w:hAnsi="Times New Roman" w:cs="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1. </w:t>
      </w:r>
      <w:r>
        <w:rPr>
          <w:rFonts w:ascii="Times New Roman" w:hAnsi="Times New Roman" w:cs="Times New Roman"/>
          <w:iCs/>
          <w:color w:val="0D0D0D" w:themeColor="text1" w:themeTint="F2"/>
          <w:sz w:val="22"/>
          <w:szCs w:val="22"/>
        </w:rPr>
        <w:t xml:space="preserve">Los </w:t>
      </w:r>
      <w:r w:rsidRPr="005974C3">
        <w:rPr>
          <w:rFonts w:ascii="Times New Roman" w:hAnsi="Times New Roman" w:cs="Times New Roman"/>
          <w:iCs/>
          <w:color w:val="0D0D0D" w:themeColor="text1" w:themeTint="F2"/>
          <w:sz w:val="22"/>
          <w:szCs w:val="22"/>
        </w:rPr>
        <w:t>Fiduciante</w:t>
      </w:r>
      <w:r>
        <w:rPr>
          <w:rFonts w:ascii="Times New Roman" w:hAnsi="Times New Roman" w:cs="Times New Roman"/>
          <w:iCs/>
          <w:color w:val="0D0D0D" w:themeColor="text1" w:themeTint="F2"/>
          <w:sz w:val="22"/>
          <w:szCs w:val="22"/>
        </w:rPr>
        <w:t xml:space="preserve">s originaron </w:t>
      </w:r>
      <w:r w:rsidRPr="005974C3">
        <w:rPr>
          <w:rFonts w:ascii="Times New Roman" w:hAnsi="Times New Roman" w:cs="Times New Roman"/>
          <w:iCs/>
          <w:color w:val="0D0D0D" w:themeColor="text1" w:themeTint="F2"/>
          <w:sz w:val="22"/>
          <w:szCs w:val="22"/>
        </w:rPr>
        <w:t>los Créditos.</w:t>
      </w:r>
    </w:p>
    <w:p w14:paraId="682CA00C" w14:textId="77777777" w:rsidR="00BC6A5F" w:rsidRPr="005974C3" w:rsidRDefault="00BC6A5F" w:rsidP="00BC6A5F">
      <w:pPr>
        <w:suppressAutoHyphens/>
        <w:rPr>
          <w:rFonts w:ascii="Times New Roman" w:hAnsi="Times New Roman" w:cs="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2. </w:t>
      </w:r>
      <w:r>
        <w:rPr>
          <w:rFonts w:ascii="Times New Roman" w:hAnsi="Times New Roman" w:cs="Times New Roman"/>
          <w:iCs/>
          <w:color w:val="0D0D0D" w:themeColor="text1" w:themeTint="F2"/>
          <w:sz w:val="22"/>
          <w:szCs w:val="22"/>
        </w:rPr>
        <w:t>Los</w:t>
      </w:r>
      <w:r w:rsidRPr="005974C3">
        <w:rPr>
          <w:rFonts w:ascii="Times New Roman" w:hAnsi="Times New Roman" w:cs="Times New Roman"/>
          <w:iCs/>
          <w:color w:val="0D0D0D" w:themeColor="text1" w:themeTint="F2"/>
          <w:sz w:val="22"/>
          <w:szCs w:val="22"/>
        </w:rPr>
        <w:t xml:space="preserve"> Fiduciante</w:t>
      </w:r>
      <w:r>
        <w:rPr>
          <w:rFonts w:ascii="Times New Roman" w:hAnsi="Times New Roman" w:cs="Times New Roman"/>
          <w:iCs/>
          <w:color w:val="0D0D0D" w:themeColor="text1" w:themeTint="F2"/>
          <w:sz w:val="22"/>
          <w:szCs w:val="22"/>
        </w:rPr>
        <w:t>s</w:t>
      </w:r>
      <w:r w:rsidRPr="005974C3">
        <w:rPr>
          <w:rFonts w:ascii="Times New Roman" w:hAnsi="Times New Roman" w:cs="Times New Roman"/>
          <w:iCs/>
          <w:color w:val="0D0D0D" w:themeColor="text1" w:themeTint="F2"/>
          <w:sz w:val="22"/>
          <w:szCs w:val="22"/>
        </w:rPr>
        <w:t xml:space="preserve"> cedi</w:t>
      </w:r>
      <w:r>
        <w:rPr>
          <w:rFonts w:ascii="Times New Roman" w:hAnsi="Times New Roman" w:cs="Times New Roman"/>
          <w:iCs/>
          <w:color w:val="0D0D0D" w:themeColor="text1" w:themeTint="F2"/>
          <w:sz w:val="22"/>
          <w:szCs w:val="22"/>
        </w:rPr>
        <w:t>eron</w:t>
      </w:r>
      <w:r w:rsidRPr="005974C3">
        <w:rPr>
          <w:rFonts w:ascii="Times New Roman" w:hAnsi="Times New Roman" w:cs="Times New Roman"/>
          <w:iCs/>
          <w:color w:val="0D0D0D" w:themeColor="text1" w:themeTint="F2"/>
          <w:sz w:val="22"/>
          <w:szCs w:val="22"/>
        </w:rPr>
        <w:t xml:space="preserve"> fiduciariamente los Créditos al Fiduciario.</w:t>
      </w:r>
    </w:p>
    <w:p w14:paraId="1304ED17" w14:textId="66D400F1" w:rsidR="00BC6A5F" w:rsidRDefault="00BC6A5F" w:rsidP="00BC6A5F">
      <w:pPr>
        <w:suppressAutoHyphens/>
        <w:rPr>
          <w:rFonts w:ascii="Times New Roman" w:hAnsi="Times New Roman" w:cs="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3. El Fiduciario emite los </w:t>
      </w:r>
      <w:r w:rsidR="00543695" w:rsidRPr="00AA2014">
        <w:rPr>
          <w:rFonts w:ascii="Times New Roman" w:hAnsi="Times New Roman"/>
          <w:color w:val="0D0D0D" w:themeColor="text1" w:themeTint="F2"/>
          <w:sz w:val="22"/>
          <w:lang w:val="es-AR"/>
        </w:rPr>
        <w:t>Valores de Deuda Fiduciaria</w:t>
      </w:r>
      <w:r w:rsidRPr="005974C3">
        <w:rPr>
          <w:rFonts w:ascii="Times New Roman" w:hAnsi="Times New Roman" w:cs="Times New Roman"/>
          <w:iCs/>
          <w:color w:val="0D0D0D" w:themeColor="text1" w:themeTint="F2"/>
          <w:sz w:val="22"/>
          <w:szCs w:val="22"/>
        </w:rPr>
        <w:t xml:space="preserve"> que son colocados por ofer</w:t>
      </w:r>
      <w:r>
        <w:rPr>
          <w:rFonts w:ascii="Times New Roman" w:hAnsi="Times New Roman" w:cs="Times New Roman"/>
          <w:iCs/>
          <w:color w:val="0D0D0D" w:themeColor="text1" w:themeTint="F2"/>
          <w:sz w:val="22"/>
          <w:szCs w:val="22"/>
        </w:rPr>
        <w:t>ta pública entre los inversores y l</w:t>
      </w:r>
      <w:r w:rsidRPr="005974C3">
        <w:rPr>
          <w:rFonts w:ascii="Times New Roman" w:hAnsi="Times New Roman" w:cs="Times New Roman"/>
          <w:iCs/>
          <w:color w:val="0D0D0D" w:themeColor="text1" w:themeTint="F2"/>
          <w:sz w:val="22"/>
          <w:szCs w:val="22"/>
        </w:rPr>
        <w:t xml:space="preserve">os inversores integran </w:t>
      </w:r>
      <w:r>
        <w:rPr>
          <w:rFonts w:ascii="Times New Roman" w:hAnsi="Times New Roman" w:cs="Times New Roman"/>
          <w:iCs/>
          <w:color w:val="0D0D0D" w:themeColor="text1" w:themeTint="F2"/>
          <w:sz w:val="22"/>
          <w:szCs w:val="22"/>
        </w:rPr>
        <w:t>el precio correspondiente</w:t>
      </w:r>
      <w:r w:rsidRPr="005974C3">
        <w:rPr>
          <w:rFonts w:ascii="Times New Roman" w:hAnsi="Times New Roman" w:cs="Times New Roman"/>
          <w:iCs/>
          <w:color w:val="0D0D0D" w:themeColor="text1" w:themeTint="F2"/>
          <w:sz w:val="22"/>
          <w:szCs w:val="22"/>
        </w:rPr>
        <w:t>.</w:t>
      </w:r>
    </w:p>
    <w:p w14:paraId="3F084114" w14:textId="6E34F8F6" w:rsidR="00BC6A5F" w:rsidRPr="005974C3" w:rsidRDefault="00BC6A5F" w:rsidP="00BC6A5F">
      <w:pPr>
        <w:suppressAutoHyphens/>
        <w:rPr>
          <w:rFonts w:ascii="Times New Roman" w:hAnsi="Times New Roman" w:cs="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4. Los Fiduciantes recibirán el importe producido de la colocación de los </w:t>
      </w:r>
      <w:r w:rsidR="00E00506" w:rsidRPr="00AA2014">
        <w:rPr>
          <w:rFonts w:ascii="Times New Roman" w:hAnsi="Times New Roman"/>
          <w:color w:val="0D0D0D" w:themeColor="text1" w:themeTint="F2"/>
          <w:sz w:val="22"/>
          <w:lang w:val="es-AR"/>
        </w:rPr>
        <w:t>Valores de Deuda Fiduciaria</w:t>
      </w:r>
      <w:r w:rsidRPr="005974C3">
        <w:rPr>
          <w:rFonts w:ascii="Times New Roman" w:hAnsi="Times New Roman" w:cs="Times New Roman"/>
          <w:iCs/>
          <w:color w:val="0D0D0D" w:themeColor="text1" w:themeTint="F2"/>
          <w:sz w:val="22"/>
          <w:szCs w:val="22"/>
        </w:rPr>
        <w:t xml:space="preserve">. </w:t>
      </w:r>
    </w:p>
    <w:p w14:paraId="3AB57F2C" w14:textId="77777777" w:rsidR="00BC6A5F" w:rsidRPr="005974C3" w:rsidRDefault="00BC6A5F" w:rsidP="00BC6A5F">
      <w:pPr>
        <w:suppressAutoHyphens/>
        <w:rPr>
          <w:rFonts w:ascii="Times New Roman" w:hAnsi="Times New Roman" w:cs="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5. Los Deudores abonan los montos adeudados bajo los Créditos al Agente </w:t>
      </w:r>
      <w:r>
        <w:rPr>
          <w:rFonts w:ascii="Times New Roman" w:hAnsi="Times New Roman" w:cs="Times New Roman"/>
          <w:iCs/>
          <w:color w:val="0D0D0D" w:themeColor="text1" w:themeTint="F2"/>
          <w:sz w:val="22"/>
          <w:szCs w:val="22"/>
        </w:rPr>
        <w:t>Recaudador</w:t>
      </w:r>
      <w:r w:rsidRPr="005974C3">
        <w:rPr>
          <w:rFonts w:ascii="Times New Roman" w:hAnsi="Times New Roman" w:cs="Times New Roman"/>
          <w:iCs/>
          <w:color w:val="0D0D0D" w:themeColor="text1" w:themeTint="F2"/>
          <w:sz w:val="22"/>
          <w:szCs w:val="22"/>
        </w:rPr>
        <w:t>.</w:t>
      </w:r>
    </w:p>
    <w:p w14:paraId="5FDC8BD5" w14:textId="77777777" w:rsidR="00BC6A5F" w:rsidRDefault="00BC6A5F" w:rsidP="00BC6A5F">
      <w:pPr>
        <w:rPr>
          <w:rFonts w:ascii="Times New Roman" w:hAnsi="Times New Roman"/>
          <w:iCs/>
          <w:color w:val="0D0D0D" w:themeColor="text1" w:themeTint="F2"/>
          <w:sz w:val="22"/>
          <w:szCs w:val="22"/>
        </w:rPr>
      </w:pPr>
      <w:r w:rsidRPr="005974C3">
        <w:rPr>
          <w:rFonts w:ascii="Times New Roman" w:hAnsi="Times New Roman" w:cs="Times New Roman"/>
          <w:iCs/>
          <w:color w:val="0D0D0D" w:themeColor="text1" w:themeTint="F2"/>
          <w:sz w:val="22"/>
          <w:szCs w:val="22"/>
        </w:rPr>
        <w:t xml:space="preserve">6. El Agente </w:t>
      </w:r>
      <w:r>
        <w:rPr>
          <w:rFonts w:ascii="Times New Roman" w:hAnsi="Times New Roman" w:cs="Times New Roman"/>
          <w:iCs/>
          <w:color w:val="0D0D0D" w:themeColor="text1" w:themeTint="F2"/>
          <w:sz w:val="22"/>
          <w:szCs w:val="22"/>
        </w:rPr>
        <w:t>Recaudador</w:t>
      </w:r>
      <w:r w:rsidRPr="005974C3">
        <w:rPr>
          <w:rFonts w:ascii="Times New Roman" w:hAnsi="Times New Roman" w:cs="Times New Roman"/>
          <w:iCs/>
          <w:color w:val="0D0D0D" w:themeColor="text1" w:themeTint="F2"/>
          <w:sz w:val="22"/>
          <w:szCs w:val="22"/>
        </w:rPr>
        <w:t xml:space="preserve"> transfiere a la Cuenta Fiduciaria las cobranzas.</w:t>
      </w:r>
    </w:p>
    <w:p w14:paraId="2AED43D8" w14:textId="013FE64A" w:rsidR="00BC6A5F" w:rsidRPr="005974C3" w:rsidRDefault="00BC6A5F" w:rsidP="00BC6A5F">
      <w:pPr>
        <w:suppressAutoHyphens/>
        <w:rPr>
          <w:rFonts w:ascii="Times New Roman" w:hAnsi="Times New Roman"/>
          <w:iCs/>
          <w:color w:val="0D0D0D" w:themeColor="text1" w:themeTint="F2"/>
          <w:sz w:val="22"/>
          <w:szCs w:val="22"/>
        </w:rPr>
      </w:pPr>
      <w:r>
        <w:rPr>
          <w:rFonts w:ascii="Times New Roman" w:hAnsi="Times New Roman" w:cs="Times New Roman"/>
          <w:iCs/>
          <w:color w:val="0D0D0D" w:themeColor="text1" w:themeTint="F2"/>
          <w:sz w:val="22"/>
          <w:szCs w:val="22"/>
        </w:rPr>
        <w:t>7</w:t>
      </w:r>
      <w:r w:rsidRPr="005974C3">
        <w:rPr>
          <w:rFonts w:ascii="Times New Roman" w:hAnsi="Times New Roman" w:cs="Times New Roman"/>
          <w:iCs/>
          <w:color w:val="0D0D0D" w:themeColor="text1" w:themeTint="F2"/>
          <w:sz w:val="22"/>
          <w:szCs w:val="22"/>
        </w:rPr>
        <w:t xml:space="preserve">. El Fiduciario aplica las cobranzas recibidas al pago de los servicios de los </w:t>
      </w:r>
      <w:r w:rsidR="00E00506" w:rsidRPr="00AA2014">
        <w:rPr>
          <w:rFonts w:ascii="Times New Roman" w:hAnsi="Times New Roman"/>
          <w:color w:val="0D0D0D" w:themeColor="text1" w:themeTint="F2"/>
          <w:sz w:val="22"/>
          <w:lang w:val="es-AR"/>
        </w:rPr>
        <w:t>Valores de Deuda Fiduciaria</w:t>
      </w:r>
      <w:r w:rsidRPr="005974C3">
        <w:rPr>
          <w:rFonts w:ascii="Times New Roman" w:hAnsi="Times New Roman" w:cs="Times New Roman"/>
          <w:iCs/>
          <w:color w:val="0D0D0D" w:themeColor="text1" w:themeTint="F2"/>
          <w:sz w:val="22"/>
          <w:szCs w:val="22"/>
        </w:rPr>
        <w:t>.</w:t>
      </w:r>
    </w:p>
    <w:p w14:paraId="6A308D1E" w14:textId="77777777" w:rsidR="00BC6A5F" w:rsidRPr="00506990" w:rsidRDefault="00BC6A5F" w:rsidP="000C5F90">
      <w:pPr>
        <w:suppressAutoHyphens/>
        <w:jc w:val="center"/>
        <w:rPr>
          <w:rFonts w:ascii="Times New Roman" w:hAnsi="Times New Roman" w:cs="Times New Roman"/>
          <w:b/>
          <w:bCs/>
          <w:iCs/>
          <w:color w:val="0D0D0D" w:themeColor="text1" w:themeTint="F2"/>
          <w:sz w:val="22"/>
          <w:szCs w:val="22"/>
          <w:u w:val="single"/>
        </w:rPr>
      </w:pPr>
    </w:p>
    <w:p w14:paraId="1A152E65" w14:textId="3B2DA4AF" w:rsidR="000C5F90" w:rsidRPr="00506990" w:rsidRDefault="000C5F90" w:rsidP="00B228F5">
      <w:pPr>
        <w:pStyle w:val="Ttulo1"/>
        <w:jc w:val="center"/>
        <w:rPr>
          <w:rFonts w:ascii="Times New Roman" w:hAnsi="Times New Roman"/>
          <w:sz w:val="22"/>
          <w:szCs w:val="22"/>
        </w:rPr>
      </w:pPr>
      <w:bookmarkStart w:id="91" w:name="_Toc521424876"/>
      <w:bookmarkStart w:id="92" w:name="_Toc20409094"/>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91"/>
      <w:bookmarkEnd w:id="92"/>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2FA2A91F"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r w:rsidR="00F45A69" w:rsidRPr="00F45A69">
        <w:rPr>
          <w:rFonts w:ascii="Times New Roman" w:hAnsi="Times New Roman"/>
          <w:color w:val="0D0D0D" w:themeColor="text1" w:themeTint="F2"/>
          <w:sz w:val="22"/>
          <w:szCs w:val="22"/>
          <w:lang w:val="es-AR"/>
        </w:rPr>
        <w:t xml:space="preserve">StoneX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76"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475B9DFA"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r>
        <w:rPr>
          <w:rFonts w:ascii="Times New Roman" w:eastAsia="Times New Roman" w:hAnsi="Times New Roman" w:cs="Times New Roman"/>
          <w:color w:val="0D0D0D" w:themeColor="text1" w:themeTint="F2"/>
          <w:sz w:val="22"/>
          <w:szCs w:val="22"/>
          <w:lang w:val="es-AR"/>
        </w:rPr>
        <w:t xml:space="preserve"> con </w:t>
      </w:r>
      <w:r w:rsidR="00E4547D">
        <w:rPr>
          <w:rFonts w:ascii="Times New Roman" w:hAnsi="Times New Roman" w:cs="Times New Roman"/>
          <w:color w:val="0D0D0D" w:themeColor="text1" w:themeTint="F2"/>
          <w:sz w:val="22"/>
          <w:szCs w:val="22"/>
        </w:rPr>
        <w:t>Banco Macro</w:t>
      </w:r>
      <w:r w:rsidR="00E4547D" w:rsidRPr="00EE5CF2">
        <w:rPr>
          <w:rFonts w:ascii="Times New Roman" w:hAnsi="Times New Roman"/>
          <w:color w:val="0D0D0D" w:themeColor="text1" w:themeTint="F2"/>
          <w:sz w:val="22"/>
        </w:rPr>
        <w:t xml:space="preserve"> S.A. </w:t>
      </w:r>
      <w:r w:rsidR="00E4547D">
        <w:rPr>
          <w:rFonts w:ascii="Times New Roman" w:hAnsi="Times New Roman" w:cs="Times New Roman"/>
          <w:color w:val="0D0D0D" w:themeColor="text1" w:themeTint="F2"/>
          <w:sz w:val="22"/>
          <w:szCs w:val="22"/>
        </w:rPr>
        <w:t>y Banco de la Provincia de Córdoba S.A.</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934144">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097866">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1DA931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93" w:name="_Toc521424877"/>
      <w:bookmarkStart w:id="94"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93"/>
      <w:bookmarkEnd w:id="94"/>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380C3736" w14:textId="77777777" w:rsidR="00135CC9" w:rsidRPr="00506990" w:rsidRDefault="00135CC9" w:rsidP="00135CC9">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esta sección se efectúa un resumen de las consecuencias fiscales que en general resultan aplicables a la adquisición, tenencia, y disposición de los Valores Fiduciarios por el Inversor. El mismo se basa en una razonable aplicación de la legislación vigente a la fecha del presente Suplemento de Prospecto, sujeta a diferentes interpretaciones y a cambios futuros. Los inversores deben consultar a sus asesores respecto del tratamiento fiscal en el orden nacional, provincial o local, que en particular deberán otorgar a las compras, propiedad y disposición de los Valores Fiduciarios.</w:t>
      </w:r>
    </w:p>
    <w:p w14:paraId="47AEDD8C" w14:textId="77777777" w:rsidR="00135CC9" w:rsidRPr="00506990" w:rsidRDefault="00135CC9" w:rsidP="00135CC9">
      <w:pPr>
        <w:tabs>
          <w:tab w:val="left" w:pos="-1440"/>
        </w:tabs>
        <w:ind w:right="90"/>
        <w:rPr>
          <w:rFonts w:ascii="Times New Roman" w:eastAsia="Times New Roman" w:hAnsi="Times New Roman" w:cs="Times New Roman"/>
          <w:sz w:val="22"/>
          <w:szCs w:val="22"/>
          <w:lang w:val="es-AR"/>
        </w:rPr>
      </w:pPr>
    </w:p>
    <w:p w14:paraId="1A760FEA" w14:textId="77777777" w:rsidR="00135CC9" w:rsidRPr="00506990" w:rsidRDefault="00135CC9" w:rsidP="00135CC9">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La siguiente descripción es un resumen de ciertas consideraciones impositivas de la Argentina vinculadas a una inversión en los Valores Fiduciarios en el presente Fideicomiso Financiero. La descripción sólo tiene propósitos de información general y está fundada en las leyes y regulaciones impositivas locales en vigencia a la fecha de este Suplemento de Prospecto. Asimismo, la descripción no hace referencia a todas las consecuencias impositivas posibles relacionadas a una inversión en los Valores Fiduciarios. </w:t>
      </w:r>
    </w:p>
    <w:p w14:paraId="3E4D457F" w14:textId="77777777" w:rsidR="00135CC9" w:rsidRPr="00506990" w:rsidRDefault="00135CC9" w:rsidP="00135CC9">
      <w:pPr>
        <w:rPr>
          <w:rFonts w:ascii="Times New Roman" w:eastAsia="Times New Roman" w:hAnsi="Times New Roman" w:cs="Times New Roman"/>
          <w:sz w:val="22"/>
          <w:szCs w:val="22"/>
        </w:rPr>
      </w:pPr>
    </w:p>
    <w:p w14:paraId="356FE989" w14:textId="77777777" w:rsidR="00135CC9" w:rsidRPr="00506990" w:rsidRDefault="00135CC9" w:rsidP="00135CC9">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Si bien este resumen se considera una interpretación correcta de la legislación vigente a la fecha de este Suplemento de Prospecto, no puede asegurarse que los tribunales o las autoridades fiscales responsables de la aplicación de dichas leyes concuerden con esta interpretación. Las leyes tributarias argentinas han sufrido numerosas reformas en el pasado, y podrán ser objeto de reformulaciones, derogación de exenciones, restablecimiento de impuestos, y otras clases de modificaciones que podrían disminuir o eliminar el rendimiento de las inversiones. </w:t>
      </w:r>
    </w:p>
    <w:p w14:paraId="215F02CA" w14:textId="77777777" w:rsidR="00135CC9" w:rsidRPr="00883FCC" w:rsidRDefault="00135CC9" w:rsidP="00135CC9">
      <w:pPr>
        <w:rPr>
          <w:rFonts w:ascii="Times New Roman" w:hAnsi="Times New Roman"/>
          <w:b/>
          <w:sz w:val="22"/>
        </w:rPr>
      </w:pPr>
    </w:p>
    <w:p w14:paraId="54FAC6F0" w14:textId="77777777" w:rsidR="00135CC9" w:rsidRPr="00506990" w:rsidRDefault="00135CC9" w:rsidP="00135CC9">
      <w:pPr>
        <w:rPr>
          <w:rFonts w:ascii="Times New Roman" w:eastAsia="Times New Roman" w:hAnsi="Times New Roman" w:cs="Times New Roman"/>
          <w:sz w:val="22"/>
          <w:szCs w:val="22"/>
        </w:rPr>
      </w:pPr>
      <w:r w:rsidRPr="00506990">
        <w:rPr>
          <w:rFonts w:ascii="Times New Roman" w:eastAsia="Times New Roman" w:hAnsi="Times New Roman" w:cs="Times New Roman"/>
          <w:b/>
          <w:bCs/>
          <w:sz w:val="22"/>
          <w:szCs w:val="22"/>
        </w:rPr>
        <w:t>LOS COMPRADORES POTENCIALES DE LOS VALORES FIDUCIARIOS DEBEN CONSULTAR A SUS ASESORES IMPOSITIVOS EN LO QUE RESPECTA A LAS CONSECUENCIAS IMPOSITIVAS APLICABLES DE ACUERDO CON SUS SITUACIONES PARTICULARES, DERIVADAS DE LA ADQUISICIÓN, TENENCIA Y DISPOSICIÓN DE LOS VALORES FIDUCIARIOS.</w:t>
      </w:r>
    </w:p>
    <w:p w14:paraId="33AED0EF" w14:textId="77777777" w:rsidR="00135CC9" w:rsidRPr="00506990" w:rsidRDefault="00135CC9" w:rsidP="00135CC9">
      <w:pPr>
        <w:rPr>
          <w:rFonts w:ascii="Times New Roman" w:eastAsia="Times New Roman" w:hAnsi="Times New Roman" w:cs="Times New Roman"/>
          <w:sz w:val="22"/>
          <w:szCs w:val="22"/>
          <w:lang w:val="es-AR"/>
        </w:rPr>
      </w:pPr>
    </w:p>
    <w:p w14:paraId="5492424E" w14:textId="77777777" w:rsidR="00135CC9" w:rsidRPr="00883FCC" w:rsidRDefault="00135CC9" w:rsidP="00135CC9">
      <w:pPr>
        <w:spacing w:line="360" w:lineRule="auto"/>
        <w:rPr>
          <w:rFonts w:ascii="Times New Roman" w:hAnsi="Times New Roman"/>
          <w:b/>
          <w:sz w:val="22"/>
          <w:u w:val="single"/>
          <w:lang w:val="es-AR"/>
        </w:rPr>
      </w:pPr>
      <w:r w:rsidRPr="00883FCC">
        <w:rPr>
          <w:rFonts w:ascii="Times New Roman" w:hAnsi="Times New Roman"/>
          <w:b/>
          <w:sz w:val="22"/>
          <w:u w:val="single"/>
          <w:lang w:val="es-AR"/>
        </w:rPr>
        <w:t>I. Impuestos que gravan los Fideicomisos</w:t>
      </w:r>
    </w:p>
    <w:p w14:paraId="0A06903E" w14:textId="77777777" w:rsidR="00135CC9" w:rsidRPr="00506990" w:rsidRDefault="00135CC9" w:rsidP="00135CC9">
      <w:pPr>
        <w:spacing w:line="360" w:lineRule="auto"/>
        <w:rPr>
          <w:rFonts w:ascii="Times New Roman" w:hAnsi="Times New Roman" w:cs="Times New Roman"/>
          <w:b/>
          <w:bCs/>
          <w:sz w:val="22"/>
          <w:szCs w:val="22"/>
          <w:lang w:eastAsia="en-US"/>
        </w:rPr>
      </w:pPr>
      <w:r w:rsidRPr="00506990">
        <w:rPr>
          <w:rFonts w:ascii="Times New Roman" w:hAnsi="Times New Roman" w:cs="Times New Roman"/>
          <w:b/>
          <w:bCs/>
          <w:sz w:val="22"/>
          <w:szCs w:val="22"/>
          <w:lang w:eastAsia="en-US"/>
        </w:rPr>
        <w:t>I.1. Impuesto a las Ganancias</w:t>
      </w:r>
    </w:p>
    <w:p w14:paraId="38D84F33" w14:textId="77777777" w:rsidR="00135CC9" w:rsidRPr="00A77A44" w:rsidRDefault="00135CC9" w:rsidP="00135CC9">
      <w:pPr>
        <w:pStyle w:val="BDOtextogeneral"/>
        <w:rPr>
          <w:rFonts w:ascii="Times New Roman" w:hAnsi="Times New Roman" w:cs="Times New Roman"/>
          <w:color w:val="auto"/>
          <w:sz w:val="22"/>
          <w:szCs w:val="22"/>
        </w:rPr>
      </w:pPr>
      <w:r w:rsidRPr="00A77A44">
        <w:rPr>
          <w:rFonts w:ascii="Times New Roman" w:hAnsi="Times New Roman" w:cs="Times New Roman"/>
          <w:color w:val="auto"/>
          <w:sz w:val="22"/>
          <w:szCs w:val="22"/>
        </w:rPr>
        <w:t>Los fideicomisos financieros son sujetos tributarios como sociedades de capital, motivo por el cual sus rendimientos pertenecen a la tercera categoría, denominados generalmente como “rentas de empresas”, reconociendo las rentas en el año calendario en el cual se han devengado conforme a las normas generales definidas para los denominados “sujetos empresa” (“teoría del balance”) con determinadas excepciones (entre las cuales podemos mencionar la inaplicabilidad de las limitaciones previstas para la deducibilidad de los intereses de determinadas deudas)</w:t>
      </w:r>
      <w:r w:rsidRPr="00A77A44">
        <w:rPr>
          <w:rStyle w:val="Refdenotaalpie"/>
          <w:rFonts w:ascii="Times New Roman" w:hAnsi="Times New Roman"/>
          <w:color w:val="auto"/>
          <w:sz w:val="22"/>
          <w:szCs w:val="22"/>
        </w:rPr>
        <w:t xml:space="preserve"> </w:t>
      </w:r>
      <w:r w:rsidRPr="00A77A44">
        <w:rPr>
          <w:rFonts w:ascii="Times New Roman" w:hAnsi="Times New Roman" w:cs="Times New Roman"/>
          <w:color w:val="auto"/>
          <w:sz w:val="22"/>
          <w:szCs w:val="22"/>
        </w:rPr>
        <w:t>pudiéndose deducir todos los gastos necesarios para obtener, mantener y conservar la fuente productora de ganancia gravada, dentro de lo cual no se incluyen los importes que bajo cualquier denominación corresponda asignar en concepto de distribución de utilidades.</w:t>
      </w:r>
    </w:p>
    <w:p w14:paraId="5D63259A" w14:textId="77777777" w:rsidR="00135CC9" w:rsidRPr="00A77A44" w:rsidRDefault="00135CC9" w:rsidP="00135CC9">
      <w:pPr>
        <w:pStyle w:val="BDOtextogeneral"/>
        <w:rPr>
          <w:rFonts w:ascii="Times New Roman" w:hAnsi="Times New Roman" w:cs="Times New Roman"/>
          <w:color w:val="auto"/>
          <w:sz w:val="22"/>
          <w:szCs w:val="22"/>
        </w:rPr>
      </w:pPr>
    </w:p>
    <w:p w14:paraId="3FA66920" w14:textId="77777777" w:rsidR="00135CC9" w:rsidRPr="00A77A44" w:rsidRDefault="00135CC9" w:rsidP="00135CC9">
      <w:pPr>
        <w:autoSpaceDE w:val="0"/>
        <w:autoSpaceDN w:val="0"/>
        <w:adjustRightInd w:val="0"/>
        <w:rPr>
          <w:rFonts w:ascii="Times New Roman" w:hAnsi="Times New Roman" w:cs="Times New Roman"/>
          <w:sz w:val="22"/>
          <w:szCs w:val="22"/>
        </w:rPr>
      </w:pPr>
      <w:r w:rsidRPr="00A77A44">
        <w:rPr>
          <w:rFonts w:ascii="Times New Roman" w:hAnsi="Times New Roman" w:cs="Times New Roman"/>
          <w:sz w:val="22"/>
          <w:szCs w:val="22"/>
        </w:rPr>
        <w:t xml:space="preserve">No obstante lo expuesto, a partir de la publicación de </w:t>
      </w:r>
      <w:r w:rsidRPr="00A77A44">
        <w:rPr>
          <w:rFonts w:ascii="Times New Roman" w:hAnsi="Times New Roman" w:cs="Times New Roman"/>
          <w:b/>
          <w:bCs/>
          <w:sz w:val="22"/>
          <w:szCs w:val="22"/>
        </w:rPr>
        <w:t>la Ley de Financiamiento Productivo Ley N° 27.440 (B.O. 11/05/2018),</w:t>
      </w:r>
      <w:r w:rsidRPr="00A77A44">
        <w:rPr>
          <w:rFonts w:ascii="Times New Roman" w:hAnsi="Times New Roman" w:cs="Times New Roman"/>
          <w:sz w:val="22"/>
          <w:szCs w:val="22"/>
        </w:rPr>
        <w:t xml:space="preserve"> con vigencia a partir de las utilidades generadas en los ejercicios iniciados a partir del 01/01/2018, reglamentada por Decreto N° 382/2019 y Resolución General (AFIP) N° 4.498/2019, se introdujeron importantes modificaciones en el encuadre fiscal de la presente estructura.</w:t>
      </w:r>
    </w:p>
    <w:p w14:paraId="6E1BC4D8" w14:textId="77777777" w:rsidR="00135CC9" w:rsidRPr="00A77A44" w:rsidRDefault="00135CC9" w:rsidP="00135CC9">
      <w:pPr>
        <w:autoSpaceDE w:val="0"/>
        <w:autoSpaceDN w:val="0"/>
        <w:adjustRightInd w:val="0"/>
        <w:rPr>
          <w:rFonts w:ascii="Times New Roman" w:hAnsi="Times New Roman" w:cs="Times New Roman"/>
          <w:sz w:val="22"/>
          <w:szCs w:val="22"/>
        </w:rPr>
      </w:pPr>
    </w:p>
    <w:p w14:paraId="3A5B729A" w14:textId="77777777" w:rsidR="00135CC9" w:rsidRPr="00A77A44" w:rsidRDefault="00135CC9" w:rsidP="00135CC9">
      <w:pPr>
        <w:pStyle w:val="Encabezado"/>
        <w:rPr>
          <w:rFonts w:ascii="Times New Roman" w:hAnsi="Times New Roman"/>
          <w:i/>
          <w:sz w:val="22"/>
          <w:szCs w:val="22"/>
        </w:rPr>
      </w:pPr>
      <w:r w:rsidRPr="00A77A44">
        <w:rPr>
          <w:rFonts w:ascii="Times New Roman" w:hAnsi="Times New Roman"/>
          <w:sz w:val="22"/>
          <w:szCs w:val="22"/>
        </w:rPr>
        <w:t>Ello así, en un todo conforme con lo dispuesto por su artículo 205° y “En</w:t>
      </w:r>
      <w:r w:rsidRPr="00A77A44">
        <w:rPr>
          <w:rFonts w:ascii="Times New Roman" w:hAnsi="Times New Roman"/>
          <w:i/>
          <w:sz w:val="22"/>
          <w:szCs w:val="22"/>
        </w:rPr>
        <w:t xml:space="preserve"> pos de transparentar el tratamiento impositivo vigente, los fideicomisos y los fondos comunes de inversión a que aluden los apartados 6 y 7  del inciso a) del artículo 69</w:t>
      </w:r>
      <w:r w:rsidRPr="00A77A44">
        <w:rPr>
          <w:rStyle w:val="Refdenotaalpie"/>
          <w:rFonts w:ascii="Times New Roman" w:hAnsi="Times New Roman"/>
          <w:i/>
          <w:sz w:val="22"/>
          <w:szCs w:val="22"/>
        </w:rPr>
        <w:footnoteReference w:id="2"/>
      </w:r>
      <w:r w:rsidRPr="00A77A44">
        <w:rPr>
          <w:rFonts w:ascii="Times New Roman" w:hAnsi="Times New Roman"/>
          <w:i/>
          <w:sz w:val="22"/>
          <w:szCs w:val="22"/>
        </w:rPr>
        <w:t xml:space="preserve"> de la Ley de Impuesto a las Ganancias, </w:t>
      </w:r>
      <w:r w:rsidRPr="00A77A44">
        <w:rPr>
          <w:rFonts w:ascii="Times New Roman" w:hAnsi="Times New Roman"/>
          <w:b/>
          <w:i/>
          <w:sz w:val="22"/>
          <w:szCs w:val="22"/>
        </w:rPr>
        <w:t>tributarán el impuesto a las ganancias en la medida en que los certificados de participación y/o títulos de deuda o las cuotapartes que emitieran no hubieren sido colocados por oferta pública con autorización de la Comisión Nacional de Valores</w:t>
      </w:r>
      <w:r w:rsidRPr="00A77A44">
        <w:rPr>
          <w:rFonts w:ascii="Times New Roman" w:hAnsi="Times New Roman"/>
          <w:i/>
          <w:sz w:val="22"/>
          <w:szCs w:val="22"/>
        </w:rPr>
        <w:t>. De existir tal colocación tributarán sólo en la proporción a las inversiones no realizadas en la República Argentina</w:t>
      </w:r>
      <w:r w:rsidRPr="00A77A44">
        <w:rPr>
          <w:rStyle w:val="Refdenotaalpie"/>
          <w:rFonts w:ascii="Times New Roman" w:hAnsi="Times New Roman"/>
          <w:i/>
          <w:sz w:val="22"/>
          <w:szCs w:val="22"/>
        </w:rPr>
        <w:footnoteReference w:id="3"/>
      </w:r>
      <w:r w:rsidRPr="00A77A44">
        <w:rPr>
          <w:rFonts w:ascii="Times New Roman" w:hAnsi="Times New Roman"/>
          <w:i/>
          <w:sz w:val="22"/>
          <w:szCs w:val="22"/>
        </w:rPr>
        <w:t>”.</w:t>
      </w:r>
    </w:p>
    <w:p w14:paraId="61485995" w14:textId="77777777" w:rsidR="00135CC9" w:rsidRPr="00A77A44" w:rsidRDefault="00135CC9" w:rsidP="00135CC9">
      <w:pPr>
        <w:pStyle w:val="Encabezado"/>
        <w:rPr>
          <w:rFonts w:ascii="Times New Roman" w:hAnsi="Times New Roman"/>
          <w:i/>
          <w:sz w:val="22"/>
          <w:szCs w:val="22"/>
          <w:highlight w:val="yellow"/>
        </w:rPr>
      </w:pPr>
    </w:p>
    <w:p w14:paraId="2FA18897"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Luego, la reglamentación aclaró que en el caso de que los certificados de participación y títulos de deuda fueran colocados por Oferta Pública con autorización de la Comisión Nacional de Valores, el Fideicomiso Financiero sólo tributará el presente impuesto por los resultados comprendidos en el Título IX de la Ley del Tributo (renta de fuente extranjera).</w:t>
      </w:r>
    </w:p>
    <w:p w14:paraId="6301CC10" w14:textId="77777777" w:rsidR="00135CC9" w:rsidRPr="00A77A44" w:rsidRDefault="00135CC9" w:rsidP="00135CC9">
      <w:pPr>
        <w:pStyle w:val="Encabezado"/>
        <w:rPr>
          <w:rFonts w:ascii="Times New Roman" w:hAnsi="Times New Roman"/>
          <w:sz w:val="22"/>
          <w:szCs w:val="22"/>
        </w:rPr>
      </w:pPr>
    </w:p>
    <w:p w14:paraId="56FE7F64"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Cuando por aplicación de lo dispuesto anteriormente </w:t>
      </w:r>
      <w:r w:rsidRPr="00A77A44">
        <w:rPr>
          <w:rFonts w:ascii="Times New Roman" w:hAnsi="Times New Roman"/>
          <w:b/>
          <w:bCs/>
          <w:sz w:val="22"/>
          <w:szCs w:val="22"/>
          <w:u w:val="single"/>
        </w:rPr>
        <w:t>los fideicomisos no deban tributar el impuesto</w:t>
      </w:r>
      <w:r w:rsidRPr="00A77A44">
        <w:rPr>
          <w:rFonts w:ascii="Times New Roman" w:hAnsi="Times New Roman"/>
          <w:b/>
          <w:bCs/>
          <w:sz w:val="22"/>
          <w:szCs w:val="22"/>
        </w:rPr>
        <w:t>, debiendo</w:t>
      </w:r>
      <w:r w:rsidRPr="00A77A44">
        <w:rPr>
          <w:rFonts w:ascii="Times New Roman" w:hAnsi="Times New Roman"/>
          <w:sz w:val="22"/>
          <w:szCs w:val="22"/>
        </w:rPr>
        <w:t xml:space="preserve"> </w:t>
      </w:r>
      <w:r w:rsidRPr="00A77A44">
        <w:rPr>
          <w:rFonts w:ascii="Times New Roman" w:hAnsi="Times New Roman"/>
          <w:b/>
          <w:sz w:val="22"/>
          <w:szCs w:val="22"/>
        </w:rPr>
        <w:t>el inversor perceptor de las ganancias que aquéllos distribuyan incorporar dichas ganancias en su propia declaración jurada de manera directa</w:t>
      </w:r>
      <w:r w:rsidRPr="00A77A44">
        <w:rPr>
          <w:rFonts w:ascii="Times New Roman" w:hAnsi="Times New Roman"/>
          <w:sz w:val="22"/>
          <w:szCs w:val="22"/>
        </w:rPr>
        <w:t xml:space="preserve">, siendo de aplicación las normas generales de la ley para el tipo de ganancia que se trate, de no haber mediado tal vehículo, dependiendo siempre de su condición de persona humana, persona jurídica o beneficiario del exterior, </w:t>
      </w:r>
      <w:r w:rsidRPr="00A77A44">
        <w:rPr>
          <w:rFonts w:ascii="Times New Roman" w:hAnsi="Times New Roman"/>
          <w:b/>
          <w:sz w:val="22"/>
          <w:szCs w:val="22"/>
        </w:rPr>
        <w:t>debiendo imputarla en el periodo fiscal en que esta sea percibida, vale decir, en el momento de la distribución que el fideicomiso realice en su favor</w:t>
      </w:r>
      <w:r w:rsidRPr="00A77A44">
        <w:rPr>
          <w:rFonts w:ascii="Times New Roman" w:hAnsi="Times New Roman"/>
          <w:sz w:val="22"/>
          <w:szCs w:val="22"/>
        </w:rPr>
        <w:t>. La capitalización de utilidades mediante la entrega al inversor de certificados de participación implica asimismo la distribución y percepción de la ganancia, en su medida</w:t>
      </w:r>
      <w:r w:rsidRPr="00A77A44">
        <w:rPr>
          <w:rStyle w:val="Refdenotaalpie"/>
          <w:rFonts w:ascii="Times New Roman" w:hAnsi="Times New Roman"/>
          <w:sz w:val="22"/>
          <w:szCs w:val="22"/>
        </w:rPr>
        <w:footnoteReference w:id="4"/>
      </w:r>
      <w:r w:rsidRPr="00A77A44">
        <w:rPr>
          <w:rFonts w:ascii="Times New Roman" w:hAnsi="Times New Roman"/>
          <w:sz w:val="22"/>
          <w:szCs w:val="22"/>
        </w:rPr>
        <w:t>.</w:t>
      </w:r>
    </w:p>
    <w:p w14:paraId="7C6A09A6" w14:textId="77777777" w:rsidR="00135CC9" w:rsidRPr="00A77A44" w:rsidRDefault="00135CC9" w:rsidP="00135CC9">
      <w:pPr>
        <w:pStyle w:val="Encabezado"/>
        <w:rPr>
          <w:rFonts w:ascii="Times New Roman" w:hAnsi="Times New Roman"/>
          <w:sz w:val="22"/>
          <w:szCs w:val="22"/>
        </w:rPr>
      </w:pPr>
    </w:p>
    <w:p w14:paraId="0B011BD8"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4495EEBB" w14:textId="77777777" w:rsidR="00135CC9" w:rsidRPr="00A77A44" w:rsidRDefault="00135CC9" w:rsidP="00135CC9">
      <w:pPr>
        <w:pStyle w:val="Encabezado"/>
        <w:rPr>
          <w:rFonts w:ascii="Times New Roman" w:hAnsi="Times New Roman"/>
          <w:sz w:val="22"/>
          <w:szCs w:val="22"/>
        </w:rPr>
      </w:pPr>
    </w:p>
    <w:p w14:paraId="46F45DCA"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27BEF0C4" w14:textId="77777777" w:rsidR="00135CC9" w:rsidRPr="00A77A44" w:rsidRDefault="00135CC9" w:rsidP="00135CC9">
      <w:pPr>
        <w:pStyle w:val="Encabezado"/>
        <w:rPr>
          <w:rFonts w:ascii="Times New Roman" w:hAnsi="Times New Roman"/>
          <w:sz w:val="22"/>
          <w:szCs w:val="22"/>
        </w:rPr>
      </w:pPr>
    </w:p>
    <w:p w14:paraId="632755A2" w14:textId="77777777" w:rsidR="00135CC9" w:rsidRDefault="00135CC9" w:rsidP="00135CC9">
      <w:pPr>
        <w:pStyle w:val="Encabezado"/>
        <w:rPr>
          <w:rFonts w:ascii="Times New Roman" w:eastAsia="Times New Roman" w:hAnsi="Times New Roman"/>
          <w:sz w:val="22"/>
          <w:szCs w:val="22"/>
        </w:rPr>
      </w:pPr>
      <w:r w:rsidRPr="00A77A44">
        <w:rPr>
          <w:rFonts w:ascii="Times New Roman" w:hAnsi="Times New Roman"/>
          <w:sz w:val="22"/>
          <w:szCs w:val="22"/>
        </w:rPr>
        <w:t>Cuando los titulares de Certificados de Participación fueran beneficiarios del exterior, el fiduciario procederá a efectuar la retención con carácter de pago único y definitivo a la alícuota que hubiere resultado aplicable a esos beneficiarios de haber obtenido estas de forma directa, aplicando las presunciones previstas en el artículo 104 de la Ley de Impuesto a las Ganancias, conforme la categoría de renta de que se trate.</w:t>
      </w:r>
    </w:p>
    <w:p w14:paraId="770D1E29" w14:textId="77777777" w:rsidR="00135CC9" w:rsidRPr="00883FCC" w:rsidRDefault="00135CC9" w:rsidP="00135CC9">
      <w:pPr>
        <w:tabs>
          <w:tab w:val="center" w:pos="4252"/>
          <w:tab w:val="right" w:pos="8504"/>
        </w:tabs>
        <w:rPr>
          <w:rFonts w:ascii="Times New Roman" w:hAnsi="Times New Roman"/>
          <w:b/>
          <w:sz w:val="22"/>
          <w:u w:val="single"/>
          <w:lang w:val="es-AR"/>
        </w:rPr>
      </w:pPr>
    </w:p>
    <w:p w14:paraId="4D4B03D4"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w:t>
      </w:r>
      <w:r>
        <w:rPr>
          <w:rFonts w:ascii="Times New Roman" w:eastAsia="Times New Roman" w:hAnsi="Times New Roman" w:cs="Times New Roman"/>
          <w:b/>
          <w:bCs/>
          <w:sz w:val="22"/>
          <w:szCs w:val="22"/>
          <w:lang w:val="es-ES"/>
        </w:rPr>
        <w:t>2</w:t>
      </w:r>
      <w:r w:rsidRPr="00506990">
        <w:rPr>
          <w:rFonts w:ascii="Times New Roman" w:eastAsia="Times New Roman" w:hAnsi="Times New Roman" w:cs="Times New Roman"/>
          <w:b/>
          <w:bCs/>
          <w:sz w:val="22"/>
          <w:szCs w:val="22"/>
          <w:lang w:val="es-ES"/>
        </w:rPr>
        <w:t>. Impuesto al Valor Agregado</w:t>
      </w:r>
    </w:p>
    <w:p w14:paraId="51DEBC73"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68F058D9" w14:textId="77777777" w:rsidR="00135CC9"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el Impuesto al Valor Agregado, el artículo 4 de la ley establece que son sujetos pasivos del gravamen, entre otros “cualquier ente individual o colectivo” , en tanto se encuentren en alguna de las situaciones previstas en el primer párrafo del artículo 4 de la ley, es decir, que realicen alguna de las actividades gravadas en dicho párrafo.</w:t>
      </w:r>
    </w:p>
    <w:p w14:paraId="678D6B33"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375672B9" w14:textId="77777777" w:rsidR="00135CC9"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base a lo expuesto, el Fideicomiso Financiero será sujeto del tributo si realizare actos gravados por el impuesto, en cuyo caso los ingresos así obtenidos estarán sujetos al gravamen a la alícuota general del 21% (veintiún por ciento), salvo que resulte procedente alguna alícuota reducida o exención.</w:t>
      </w:r>
    </w:p>
    <w:p w14:paraId="0A7BEBF7"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4F182484" w14:textId="77777777" w:rsidR="00135CC9"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Asimismo, el artículo 84 de la ley 24.441 dispone que a los efectos del I.V.A., cuando los Bienes Fideicomitidos fuesen créditos, las transmisiones a favor del Fideicomiso no constituirán prestaciones o colocaciones financieras gravadas. Es decir, la transferencia onerosa de los Fiduciantes hacia el Fideicomiso de las cuentas por cobrar, no estará alcanzada por este gravamen.  </w:t>
      </w:r>
    </w:p>
    <w:p w14:paraId="6C3DC839"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19371E9B"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 su vez, el citado artículo establece que cuando el crédito cedido incluya intereses de financiación, el sujeto pasivo del impuesto por la prestación correspondiente a estos últimos continuará siendo los Fiduciantes, salvo que la cancelación de dichos créditos deba efectuarse a otra persona, en cuyo caso será quien lo reciba el que asumirá la calidad de sujeto pasi</w:t>
      </w:r>
    </w:p>
    <w:p w14:paraId="729DE95C"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el caso del presente Fideicomiso, dado que la gestión de cobro será llevada a cabo por los Fiduciantes, en su carácter de Agentes de Cobro, éste se constituirá como sujeto pasivo del tributo. </w:t>
      </w:r>
    </w:p>
    <w:p w14:paraId="2F0E7272"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p>
    <w:p w14:paraId="58495B5A"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w:t>
      </w:r>
      <w:r>
        <w:rPr>
          <w:rFonts w:ascii="Times New Roman" w:eastAsia="Times New Roman" w:hAnsi="Times New Roman" w:cs="Times New Roman"/>
          <w:b/>
          <w:bCs/>
          <w:sz w:val="22"/>
          <w:szCs w:val="22"/>
          <w:lang w:val="es-ES"/>
        </w:rPr>
        <w:t>3</w:t>
      </w:r>
      <w:r w:rsidRPr="00506990">
        <w:rPr>
          <w:rFonts w:ascii="Times New Roman" w:eastAsia="Times New Roman" w:hAnsi="Times New Roman" w:cs="Times New Roman"/>
          <w:b/>
          <w:bCs/>
          <w:sz w:val="22"/>
          <w:szCs w:val="22"/>
          <w:lang w:val="es-ES"/>
        </w:rPr>
        <w:t>. Impuesto sobre los Ingresos Brutos</w:t>
      </w:r>
    </w:p>
    <w:p w14:paraId="114260AB"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3A8332D9"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Este es un impuesto de carácter local, es decir provincial o de la Ciudad de Buenos Aires. En el caso de la Provincia de Santa Fe recae sobre el ejercicio habitual de una actividad a título oneroso, cualquiera sea el resultado obtenido y la naturaleza del sujeto que la realice. En general, las legislaciones fiscales locales no contienen normas específicas relacionadas con el tratamiento a dispensar a los fideicomisos financieros.</w:t>
      </w:r>
    </w:p>
    <w:p w14:paraId="5642878C"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5156E218"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el caso de la Provincia de Santa Fe, el Código Fiscal no posee previsiones expresas respecto de los Fideicomisos Financieros. No obstante, la Administración Provincial de Impuestos de la provincia les ha reconocido el carácter de sujetos de las obligaciones tributarias respecto de la determinación e ingreso del tributo que corresponda a la naturaleza de la actividad desarrollada. </w:t>
      </w:r>
    </w:p>
    <w:p w14:paraId="0D2CA390"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048B93EC"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Organismo interpretó a través de la Resolución Nº 17/05 de la Administración Provincial de Impuestos de la Provincia de Santa Fe (API) que las operaciones realizadas por los fideicomisos financieros, tienen el tratamiento previsto para las entidades financieras comprendidas en el régimen de la Ley Nacional 21.526, debiendo tributar el impuesto sobre los Ingresos Brutos según lo dispuesto en el artículo 140 del Código Fiscal (t.o. 1997 y sus mod.).</w:t>
      </w:r>
    </w:p>
    <w:p w14:paraId="79B67895"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683CE0A4"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artículo dispone que en las operaciones realizadas por las entidades financieras comprendidas en el régimen de la Ley Nº 21.526 y sus modificaciones, se considerará ingreso bruto a los importes devengados en función del tiempo en cada período.</w:t>
      </w:r>
    </w:p>
    <w:p w14:paraId="0282DECE"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71AA3589"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Agrega que en tales casos la base imponible estará constituida por el total de la suma del haber de las cuentas de resultado, no admitiéndose deducciones de ningún tipo, excepto que se trate de bancos de carácter público con domicilio fiscal en la Provincia de Santa Fe, para los cuales la base imponible estará constituida por la diferencia que resulte entre el total de la suma del haber de las cuentas de resultados y los intereses y actualizaciones pasivas. Asimismo para éste último caso se computarán como intereses acreedores y deudores respectivamente, las compensaciones establecidas por el Artículo 3 de la Ley Nro. 21.572 y los cargos determinados de acuerdo con el Artículo 2 inciso a) del citado texto legal. Los intereses y actualizaciones aludidos serán por financiaciones, mora o punitorios. </w:t>
      </w:r>
    </w:p>
    <w:p w14:paraId="29D4CB86"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63909CBC" w14:textId="77777777" w:rsidR="00135CC9"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consecuencia, el fideicomiso deberá tributar el impuesto sobre los ingresos brutos tomando como base imponible la suma del haber de las cuentas de resultado, no admitiéndose deducciones de ningún tipo.</w:t>
      </w:r>
    </w:p>
    <w:p w14:paraId="3DD9B5F5" w14:textId="77777777" w:rsidR="00135CC9" w:rsidRDefault="00135CC9" w:rsidP="00135CC9">
      <w:pPr>
        <w:tabs>
          <w:tab w:val="center" w:pos="4252"/>
          <w:tab w:val="right" w:pos="8504"/>
        </w:tabs>
        <w:rPr>
          <w:rFonts w:ascii="Times New Roman" w:eastAsia="Times New Roman" w:hAnsi="Times New Roman" w:cs="Times New Roman"/>
          <w:sz w:val="22"/>
          <w:szCs w:val="22"/>
          <w:lang w:val="es-ES"/>
        </w:rPr>
      </w:pPr>
    </w:p>
    <w:p w14:paraId="642653CA" w14:textId="77777777" w:rsidR="00135CC9" w:rsidRPr="00166F81" w:rsidRDefault="00135CC9" w:rsidP="00135CC9">
      <w:pPr>
        <w:tabs>
          <w:tab w:val="center" w:pos="4252"/>
          <w:tab w:val="right" w:pos="8504"/>
        </w:tabs>
        <w:rPr>
          <w:rFonts w:ascii="Times New Roman" w:eastAsia="Times New Roman" w:hAnsi="Times New Roman" w:cs="Times New Roman"/>
          <w:sz w:val="22"/>
          <w:szCs w:val="22"/>
        </w:rPr>
      </w:pPr>
      <w:r w:rsidRPr="00166F81">
        <w:rPr>
          <w:rFonts w:ascii="Times New Roman" w:eastAsia="Times New Roman" w:hAnsi="Times New Roman" w:cs="Times New Roman"/>
          <w:sz w:val="22"/>
          <w:szCs w:val="22"/>
        </w:rPr>
        <w:t xml:space="preserve">En el caso de la Ciudad Autónoma de Buenos Aires, </w:t>
      </w:r>
      <w:r>
        <w:rPr>
          <w:rFonts w:ascii="Times New Roman" w:eastAsia="Times New Roman" w:hAnsi="Times New Roman" w:cs="Times New Roman"/>
          <w:sz w:val="22"/>
          <w:szCs w:val="22"/>
        </w:rPr>
        <w:t xml:space="preserve">y conforme con las disposiciones del artículo 10° del Código Fiscal, </w:t>
      </w:r>
      <w:r w:rsidRPr="004C5E1E">
        <w:rPr>
          <w:rFonts w:ascii="Times New Roman" w:eastAsia="Times New Roman" w:hAnsi="Times New Roman" w:cs="Times New Roman"/>
          <w:b/>
          <w:bCs/>
          <w:sz w:val="22"/>
          <w:szCs w:val="22"/>
        </w:rPr>
        <w:t>son contribuyentes</w:t>
      </w:r>
      <w:r>
        <w:rPr>
          <w:rFonts w:ascii="Times New Roman" w:eastAsia="Times New Roman" w:hAnsi="Times New Roman" w:cs="Times New Roman"/>
          <w:sz w:val="22"/>
          <w:szCs w:val="22"/>
        </w:rPr>
        <w:t>, entre otros,</w:t>
      </w:r>
      <w:r w:rsidRPr="00166F81">
        <w:rPr>
          <w:rFonts w:ascii="Times New Roman" w:eastAsia="Times New Roman" w:hAnsi="Times New Roman" w:cs="Times New Roman"/>
          <w:sz w:val="22"/>
          <w:szCs w:val="22"/>
        </w:rPr>
        <w:t xml:space="preserve"> </w:t>
      </w:r>
      <w:r w:rsidRPr="004C5E1E">
        <w:rPr>
          <w:rFonts w:ascii="Times New Roman" w:eastAsia="Times New Roman" w:hAnsi="Times New Roman" w:cs="Times New Roman"/>
          <w:b/>
          <w:bCs/>
          <w:sz w:val="22"/>
          <w:szCs w:val="22"/>
        </w:rPr>
        <w:t>los fideicomisos que se constituyan de acuerdo a lo establecido en el Código Civil y Comercial de la Nación</w:t>
      </w:r>
      <w:r w:rsidRPr="00166F81">
        <w:rPr>
          <w:rFonts w:ascii="Times New Roman" w:eastAsia="Times New Roman" w:hAnsi="Times New Roman" w:cs="Times New Roman"/>
          <w:sz w:val="22"/>
          <w:szCs w:val="22"/>
        </w:rPr>
        <w:t xml:space="preserve">, excepto los constituidos con fines de garantía. </w:t>
      </w:r>
      <w:r>
        <w:rPr>
          <w:rFonts w:ascii="Times New Roman" w:eastAsia="Times New Roman" w:hAnsi="Times New Roman" w:cs="Times New Roman"/>
          <w:sz w:val="22"/>
          <w:szCs w:val="22"/>
        </w:rPr>
        <w:t>Por lo tanto, será e</w:t>
      </w:r>
      <w:r w:rsidRPr="00166F81">
        <w:rPr>
          <w:rFonts w:ascii="Times New Roman" w:eastAsia="Times New Roman" w:hAnsi="Times New Roman" w:cs="Times New Roman"/>
          <w:sz w:val="22"/>
          <w:szCs w:val="22"/>
        </w:rPr>
        <w:t>l Fiduciario</w:t>
      </w:r>
      <w:r>
        <w:rPr>
          <w:rFonts w:ascii="Times New Roman" w:eastAsia="Times New Roman" w:hAnsi="Times New Roman" w:cs="Times New Roman"/>
          <w:sz w:val="22"/>
          <w:szCs w:val="22"/>
        </w:rPr>
        <w:t xml:space="preserve"> </w:t>
      </w:r>
      <w:r w:rsidRPr="00166F81">
        <w:rPr>
          <w:rFonts w:ascii="Times New Roman" w:eastAsia="Times New Roman" w:hAnsi="Times New Roman" w:cs="Times New Roman"/>
          <w:sz w:val="22"/>
          <w:szCs w:val="22"/>
        </w:rPr>
        <w:t>el responsable por la determinación e ingreso del impuesto</w:t>
      </w:r>
      <w:r>
        <w:rPr>
          <w:rFonts w:ascii="Times New Roman" w:eastAsia="Times New Roman" w:hAnsi="Times New Roman" w:cs="Times New Roman"/>
          <w:sz w:val="22"/>
          <w:szCs w:val="22"/>
        </w:rPr>
        <w:t xml:space="preserve"> que corresponda</w:t>
      </w:r>
      <w:r w:rsidRPr="00166F81">
        <w:rPr>
          <w:rFonts w:ascii="Times New Roman" w:eastAsia="Times New Roman" w:hAnsi="Times New Roman" w:cs="Times New Roman"/>
          <w:sz w:val="22"/>
          <w:szCs w:val="22"/>
        </w:rPr>
        <w:t>.</w:t>
      </w:r>
    </w:p>
    <w:p w14:paraId="2D6959C8" w14:textId="77777777" w:rsidR="00135CC9" w:rsidRPr="00166F81" w:rsidRDefault="00135CC9" w:rsidP="00135CC9">
      <w:pPr>
        <w:tabs>
          <w:tab w:val="center" w:pos="4252"/>
          <w:tab w:val="right" w:pos="8504"/>
        </w:tabs>
        <w:rPr>
          <w:rFonts w:ascii="Times New Roman" w:eastAsia="Times New Roman" w:hAnsi="Times New Roman" w:cs="Times New Roman"/>
          <w:sz w:val="22"/>
          <w:szCs w:val="22"/>
        </w:rPr>
      </w:pPr>
    </w:p>
    <w:p w14:paraId="3DA608A0" w14:textId="77777777" w:rsidR="00135CC9" w:rsidRDefault="00135CC9" w:rsidP="00135CC9">
      <w:pPr>
        <w:tabs>
          <w:tab w:val="center" w:pos="4252"/>
          <w:tab w:val="right" w:pos="8504"/>
        </w:tabs>
        <w:rPr>
          <w:rFonts w:ascii="Times New Roman" w:eastAsia="Times New Roman" w:hAnsi="Times New Roman" w:cs="Times New Roman"/>
          <w:sz w:val="22"/>
          <w:szCs w:val="22"/>
        </w:rPr>
      </w:pPr>
      <w:r>
        <w:rPr>
          <w:rFonts w:ascii="Times New Roman" w:eastAsia="Times New Roman" w:hAnsi="Times New Roman" w:cs="Times New Roman"/>
          <w:sz w:val="22"/>
          <w:szCs w:val="22"/>
        </w:rPr>
        <w:t>A su vez, y en relación con lo mencionado en el párrafo precedente, de acuerdo con las disposiciones d</w:t>
      </w:r>
      <w:r w:rsidRPr="00166F81">
        <w:rPr>
          <w:rFonts w:ascii="Times New Roman" w:eastAsia="Times New Roman" w:hAnsi="Times New Roman" w:cs="Times New Roman"/>
          <w:sz w:val="22"/>
          <w:szCs w:val="22"/>
        </w:rPr>
        <w:t>el artículo 212° del Código Fiscal –t.o. 2022-, en los fideicomisos, los ingresos brutos obtenidos y la base imponible del gravamen recibirán el tratamiento tributario que corresponda a la naturaleza de la actividad económica que realicen.</w:t>
      </w:r>
    </w:p>
    <w:p w14:paraId="25A5BA18" w14:textId="77777777" w:rsidR="00135CC9" w:rsidRDefault="00135CC9" w:rsidP="00135CC9">
      <w:pPr>
        <w:tabs>
          <w:tab w:val="center" w:pos="4252"/>
          <w:tab w:val="right" w:pos="8504"/>
        </w:tabs>
        <w:rPr>
          <w:rFonts w:ascii="Times New Roman" w:eastAsia="Times New Roman" w:hAnsi="Times New Roman" w:cs="Times New Roman"/>
          <w:sz w:val="22"/>
          <w:szCs w:val="22"/>
        </w:rPr>
      </w:pPr>
    </w:p>
    <w:p w14:paraId="61E0E7A2" w14:textId="77777777" w:rsidR="00135CC9" w:rsidRPr="00D160A5" w:rsidRDefault="00135CC9" w:rsidP="00135CC9">
      <w:pPr>
        <w:tabs>
          <w:tab w:val="center" w:pos="4252"/>
          <w:tab w:val="right" w:pos="8504"/>
        </w:tabs>
        <w:rPr>
          <w:rFonts w:ascii="Times New Roman" w:eastAsia="Times New Roman" w:hAnsi="Times New Roman" w:cs="Times New Roman"/>
          <w:sz w:val="22"/>
          <w:szCs w:val="22"/>
        </w:rPr>
      </w:pPr>
      <w:r>
        <w:rPr>
          <w:rFonts w:ascii="Times New Roman" w:eastAsia="Times New Roman" w:hAnsi="Times New Roman" w:cs="Times New Roman"/>
          <w:sz w:val="22"/>
          <w:szCs w:val="22"/>
        </w:rPr>
        <w:t>Por lo tanto en CABA en caso de corresponder, deberá, -el fideicomiso- deberá solicitar la inscripción en esta jurisdicción, y efectuar la respectiva determinación e ingreso del tributo.</w:t>
      </w:r>
    </w:p>
    <w:p w14:paraId="0C23258B"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3B640A5B"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Por último, en el caso de obtener ingresos o realizar gastos en distintas jurisdicciones locales, correspondería la aplicación de las normas del Convenio Multilateral, que instruye el procedimiento de distribución de los ingresos obtenidos entre todos los fiscos involucrados, debiéndose analizar el tratamiento fiscal aplicable que disponga cada jurisdicción involucrada.</w:t>
      </w:r>
    </w:p>
    <w:p w14:paraId="07EE1C21"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54B9D403"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b/>
          <w:bCs/>
          <w:sz w:val="22"/>
          <w:szCs w:val="22"/>
          <w:lang w:val="es-ES"/>
        </w:rPr>
        <w:t>I.</w:t>
      </w:r>
      <w:r>
        <w:rPr>
          <w:rFonts w:ascii="Times New Roman" w:eastAsia="Times New Roman" w:hAnsi="Times New Roman" w:cs="Times New Roman"/>
          <w:b/>
          <w:bCs/>
          <w:sz w:val="22"/>
          <w:szCs w:val="22"/>
          <w:lang w:val="es-ES"/>
        </w:rPr>
        <w:t>4</w:t>
      </w:r>
      <w:r w:rsidRPr="00506990">
        <w:rPr>
          <w:rFonts w:ascii="Times New Roman" w:eastAsia="Times New Roman" w:hAnsi="Times New Roman" w:cs="Times New Roman"/>
          <w:b/>
          <w:bCs/>
          <w:sz w:val="22"/>
          <w:szCs w:val="22"/>
          <w:lang w:val="es-ES"/>
        </w:rPr>
        <w:t>. Impuesto sobre los Créditos y Débitos en Cuenta Corriente Bancaria</w:t>
      </w:r>
    </w:p>
    <w:p w14:paraId="78074F81"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4B81EE97" w14:textId="77777777" w:rsidR="00135CC9" w:rsidRPr="00506990" w:rsidRDefault="00135CC9" w:rsidP="00135CC9">
      <w:pPr>
        <w:pStyle w:val="Encabezado"/>
        <w:rPr>
          <w:rFonts w:ascii="Times New Roman" w:hAnsi="Times New Roman"/>
          <w:sz w:val="22"/>
          <w:szCs w:val="22"/>
          <w:lang w:val="es-ES"/>
        </w:rPr>
      </w:pPr>
      <w:r w:rsidRPr="00506990">
        <w:rPr>
          <w:rFonts w:ascii="Times New Roman" w:hAnsi="Times New Roman"/>
          <w:sz w:val="22"/>
          <w:szCs w:val="22"/>
          <w:lang w:val="es-ES"/>
        </w:rPr>
        <w:t xml:space="preserve">Con fecha 08/02/2019 se publicó en el Boletín Oficial el Decreto 117/2019, mediante el cual el Poder Ejecutivo, haciendo uso de las facultades otorgadas por el art. 2do, de la Ley 25413, ha sustituido el texto de la exención contenida en el Art 10, inc c del Decreto 380/01. </w:t>
      </w:r>
    </w:p>
    <w:p w14:paraId="52AAF1E4" w14:textId="77777777" w:rsidR="00135CC9" w:rsidRPr="00506990" w:rsidRDefault="00135CC9" w:rsidP="00135CC9">
      <w:pPr>
        <w:pStyle w:val="Encabezado"/>
        <w:rPr>
          <w:rFonts w:ascii="Times New Roman" w:hAnsi="Times New Roman"/>
          <w:sz w:val="22"/>
          <w:szCs w:val="22"/>
          <w:lang w:val="es-ES"/>
        </w:rPr>
      </w:pPr>
    </w:p>
    <w:p w14:paraId="030EAC45" w14:textId="77777777" w:rsidR="00135CC9" w:rsidRPr="00506990" w:rsidRDefault="00135CC9" w:rsidP="00135CC9">
      <w:pPr>
        <w:pStyle w:val="Encabezado"/>
        <w:rPr>
          <w:rFonts w:ascii="Times New Roman" w:hAnsi="Times New Roman"/>
          <w:sz w:val="22"/>
          <w:szCs w:val="22"/>
          <w:lang w:val="es-ES"/>
        </w:rPr>
      </w:pPr>
      <w:r w:rsidRPr="00506990">
        <w:rPr>
          <w:rFonts w:ascii="Times New Roman" w:hAnsi="Times New Roman"/>
          <w:sz w:val="22"/>
          <w:szCs w:val="22"/>
          <w:lang w:val="es-ES"/>
        </w:rPr>
        <w:t>La nueva redacción dispone que la exención comprende a las cuentas utilizadas en forma exclusiva en el desarrollo específico de su actividad por los fideicomisos financieros en tanto cumplan los siguientes requisitos: a) los bienes fideicomitidos se constituyan con activos homogéneos que consistan en títulos valores públicos o privados o derechos creditorios provenientes de operaciones de financiación evidenciados en instrumentos públicos o privados y b)la totalidad de los valores fiduciarios cuenten con oferta pública.</w:t>
      </w:r>
    </w:p>
    <w:p w14:paraId="64F390E1" w14:textId="77777777" w:rsidR="00135CC9" w:rsidRPr="00506990" w:rsidRDefault="00135CC9" w:rsidP="00135CC9">
      <w:pPr>
        <w:tabs>
          <w:tab w:val="center" w:pos="4252"/>
          <w:tab w:val="right" w:pos="8504"/>
        </w:tabs>
        <w:rPr>
          <w:rFonts w:ascii="Times New Roman" w:eastAsia="Times New Roman" w:hAnsi="Times New Roman" w:cs="Times New Roman"/>
          <w:color w:val="0D0D0D"/>
          <w:sz w:val="22"/>
          <w:szCs w:val="22"/>
          <w:lang w:val="es-AR"/>
        </w:rPr>
      </w:pPr>
    </w:p>
    <w:p w14:paraId="6F0A0252" w14:textId="77777777" w:rsidR="00135CC9" w:rsidRPr="00506990" w:rsidRDefault="00135CC9" w:rsidP="00135CC9">
      <w:pPr>
        <w:tabs>
          <w:tab w:val="center" w:pos="4252"/>
          <w:tab w:val="right" w:pos="8504"/>
        </w:tabs>
        <w:rPr>
          <w:rFonts w:ascii="Times New Roman" w:eastAsia="Times New Roman" w:hAnsi="Times New Roman" w:cs="Times New Roman"/>
          <w:color w:val="0D0D0D"/>
          <w:sz w:val="22"/>
          <w:szCs w:val="22"/>
          <w:lang w:val="es-ES"/>
        </w:rPr>
      </w:pPr>
      <w:r w:rsidRPr="00506990">
        <w:rPr>
          <w:rFonts w:ascii="Times New Roman" w:eastAsia="Times New Roman" w:hAnsi="Times New Roman" w:cs="Times New Roman"/>
          <w:color w:val="0D0D0D"/>
          <w:sz w:val="22"/>
          <w:szCs w:val="22"/>
          <w:lang w:val="es-ES"/>
        </w:rPr>
        <w:t>En cumplimiento de las disposiciones de la RG AFIP Nº 3900/2016,  a los fines del reconocimiento de la exención señalada, se procederá a la inscripción de las cuentas bancarias de las que resulte titular el fideicomiso en el  “Registro de Beneficios Fiscales en el Impuesto sobre los Créditos y Débitos en Cuentas Bancarias y otras Operatorias”.</w:t>
      </w:r>
    </w:p>
    <w:p w14:paraId="6E07FAEC" w14:textId="77777777" w:rsidR="00135CC9" w:rsidRPr="00506990" w:rsidRDefault="00135CC9" w:rsidP="00135CC9">
      <w:pPr>
        <w:tabs>
          <w:tab w:val="center" w:pos="4252"/>
          <w:tab w:val="right" w:pos="8504"/>
        </w:tabs>
        <w:rPr>
          <w:rFonts w:ascii="Times New Roman" w:eastAsia="Times New Roman" w:hAnsi="Times New Roman" w:cs="Times New Roman"/>
          <w:color w:val="0D0D0D"/>
          <w:sz w:val="22"/>
          <w:szCs w:val="22"/>
          <w:lang w:val="es-ES"/>
        </w:rPr>
      </w:pPr>
    </w:p>
    <w:p w14:paraId="433228BE"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p>
    <w:p w14:paraId="7651E859"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ES"/>
        </w:rPr>
        <w:t>I.</w:t>
      </w:r>
      <w:r>
        <w:rPr>
          <w:rFonts w:ascii="Times New Roman" w:eastAsia="Times New Roman" w:hAnsi="Times New Roman" w:cs="Times New Roman"/>
          <w:b/>
          <w:bCs/>
          <w:sz w:val="22"/>
          <w:szCs w:val="22"/>
          <w:lang w:val="es-ES"/>
        </w:rPr>
        <w:t>5</w:t>
      </w:r>
      <w:r w:rsidRPr="00506990">
        <w:rPr>
          <w:rFonts w:ascii="Times New Roman" w:eastAsia="Times New Roman" w:hAnsi="Times New Roman" w:cs="Times New Roman"/>
          <w:b/>
          <w:bCs/>
          <w:sz w:val="22"/>
          <w:szCs w:val="22"/>
          <w:lang w:val="es-ES"/>
        </w:rPr>
        <w:t xml:space="preserve">. </w:t>
      </w:r>
      <w:r w:rsidRPr="00506990">
        <w:rPr>
          <w:rFonts w:ascii="Times New Roman" w:eastAsia="Times New Roman" w:hAnsi="Times New Roman" w:cs="Times New Roman"/>
          <w:b/>
          <w:bCs/>
          <w:sz w:val="22"/>
          <w:szCs w:val="22"/>
          <w:lang w:val="es-AR"/>
        </w:rPr>
        <w:t>Impuesto sobre los Bienes Personales</w:t>
      </w:r>
    </w:p>
    <w:p w14:paraId="3F4B8AAE"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AR"/>
        </w:rPr>
      </w:pPr>
    </w:p>
    <w:p w14:paraId="501401DD"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virtud de que los fideicomisos financieros no son sujetos del Impuesto sobre los Bienes Personales, y de lo dispuesto en el segundo párrafo del artículo 13 del Decreto 780/95, el Fiduciario no será responsable por el ingreso del gravamen correspondiente a los activos fideicomitidos.  </w:t>
      </w:r>
    </w:p>
    <w:p w14:paraId="2A984E28" w14:textId="77777777" w:rsidR="00135CC9" w:rsidRPr="00506990" w:rsidRDefault="00135CC9" w:rsidP="00135CC9">
      <w:pPr>
        <w:tabs>
          <w:tab w:val="left" w:pos="-1440"/>
        </w:tabs>
        <w:ind w:right="90"/>
        <w:rPr>
          <w:rFonts w:ascii="Times New Roman" w:eastAsia="Times New Roman" w:hAnsi="Times New Roman" w:cs="Times New Roman"/>
          <w:b/>
          <w:bCs/>
          <w:sz w:val="22"/>
          <w:szCs w:val="22"/>
          <w:lang w:val="es-AR"/>
        </w:rPr>
      </w:pPr>
    </w:p>
    <w:p w14:paraId="2FFB2A53" w14:textId="77777777" w:rsidR="00135CC9" w:rsidRPr="00506990" w:rsidRDefault="00135CC9" w:rsidP="00135CC9">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b/>
          <w:bCs/>
          <w:sz w:val="22"/>
          <w:szCs w:val="22"/>
          <w:lang w:val="es-AR"/>
        </w:rPr>
        <w:t>I.</w:t>
      </w:r>
      <w:r>
        <w:rPr>
          <w:rFonts w:ascii="Times New Roman" w:eastAsia="Times New Roman" w:hAnsi="Times New Roman" w:cs="Times New Roman"/>
          <w:b/>
          <w:bCs/>
          <w:sz w:val="22"/>
          <w:szCs w:val="22"/>
          <w:lang w:val="es-AR"/>
        </w:rPr>
        <w:t>6</w:t>
      </w:r>
      <w:r w:rsidRPr="00506990">
        <w:rPr>
          <w:rFonts w:ascii="Times New Roman" w:eastAsia="Times New Roman" w:hAnsi="Times New Roman" w:cs="Times New Roman"/>
          <w:b/>
          <w:bCs/>
          <w:sz w:val="22"/>
          <w:szCs w:val="22"/>
          <w:lang w:val="es-AR"/>
        </w:rPr>
        <w:t>. Tasa de Justicia</w:t>
      </w:r>
    </w:p>
    <w:p w14:paraId="51938B2B" w14:textId="77777777" w:rsidR="00135CC9" w:rsidRPr="00506990" w:rsidRDefault="00135CC9" w:rsidP="00135CC9">
      <w:pPr>
        <w:tabs>
          <w:tab w:val="left" w:pos="-1440"/>
        </w:tabs>
        <w:ind w:right="90"/>
        <w:rPr>
          <w:rFonts w:ascii="Times New Roman" w:eastAsia="Times New Roman" w:hAnsi="Times New Roman" w:cs="Times New Roman"/>
          <w:sz w:val="22"/>
          <w:szCs w:val="22"/>
          <w:lang w:val="es-AR"/>
        </w:rPr>
      </w:pPr>
    </w:p>
    <w:p w14:paraId="244EC25F" w14:textId="77777777" w:rsidR="00135CC9" w:rsidRPr="00506990" w:rsidRDefault="00135CC9" w:rsidP="00135CC9">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que se inicien procedimientos ante un tribunal nacional para exigir el cumplimiento de cualquiera de los términos de los Títulos, en su calidad de tal y no a título personal, el demandante estará obligado a pagar una tasa de justicia por una suma equivalente al 3% del monto pretendido en dicho procedimiento.</w:t>
      </w:r>
    </w:p>
    <w:p w14:paraId="7C837081"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597FF554" w14:textId="77777777" w:rsidR="00135CC9" w:rsidRPr="00506990" w:rsidRDefault="00135CC9" w:rsidP="00135CC9">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w:t>
      </w:r>
      <w:r>
        <w:rPr>
          <w:rFonts w:ascii="Times New Roman" w:eastAsia="Times New Roman" w:hAnsi="Times New Roman" w:cs="Times New Roman"/>
          <w:b/>
          <w:bCs/>
          <w:sz w:val="22"/>
          <w:szCs w:val="22"/>
          <w:lang w:val="es-AR"/>
        </w:rPr>
        <w:t>7</w:t>
      </w:r>
      <w:r w:rsidRPr="00506990">
        <w:rPr>
          <w:rFonts w:ascii="Times New Roman" w:eastAsia="Times New Roman" w:hAnsi="Times New Roman" w:cs="Times New Roman"/>
          <w:b/>
          <w:bCs/>
          <w:sz w:val="22"/>
          <w:szCs w:val="22"/>
          <w:lang w:val="es-AR"/>
        </w:rPr>
        <w:t>. Impuesto de Sellos</w:t>
      </w:r>
    </w:p>
    <w:p w14:paraId="1CF38A15" w14:textId="77777777" w:rsidR="00135CC9" w:rsidRPr="00506990" w:rsidRDefault="00135CC9" w:rsidP="00135CC9">
      <w:pPr>
        <w:rPr>
          <w:rFonts w:ascii="Times New Roman" w:eastAsia="Times New Roman" w:hAnsi="Times New Roman" w:cs="Times New Roman"/>
          <w:sz w:val="22"/>
          <w:szCs w:val="22"/>
          <w:lang w:val="es-AR"/>
        </w:rPr>
      </w:pPr>
    </w:p>
    <w:p w14:paraId="4605170E" w14:textId="77777777" w:rsidR="00135CC9" w:rsidRPr="00506990" w:rsidRDefault="00135CC9" w:rsidP="00135CC9">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En materia de impuesto de sellos, los antecedentes remiten a consultas en las que la Administración Provincial de Impuestos (A.P.I.) ha entendido que el contrato de fideicomiso se encuentra gravado a la tasa del </w:t>
      </w:r>
      <w:r>
        <w:rPr>
          <w:rFonts w:ascii="Times New Roman" w:eastAsia="Times New Roman" w:hAnsi="Times New Roman" w:cs="Times New Roman"/>
          <w:spacing w:val="-5"/>
          <w:sz w:val="22"/>
          <w:szCs w:val="22"/>
        </w:rPr>
        <w:t>7,5</w:t>
      </w:r>
      <w:r w:rsidRPr="00506990">
        <w:rPr>
          <w:rFonts w:ascii="Times New Roman" w:eastAsia="Times New Roman" w:hAnsi="Times New Roman" w:cs="Times New Roman"/>
          <w:spacing w:val="-5"/>
          <w:sz w:val="22"/>
          <w:szCs w:val="22"/>
        </w:rPr>
        <w:t xml:space="preserve"> por mil sobre el 100% de las remuneraciones atribuibles al fiduciario, mientras que consideró exenta del gravamen la transferencia fiduciaria de los bienes al fideicomiso financiero con Oferta Pública. </w:t>
      </w:r>
    </w:p>
    <w:p w14:paraId="4C523C3E" w14:textId="77777777" w:rsidR="00135CC9" w:rsidRPr="00506990" w:rsidRDefault="00135CC9" w:rsidP="00135CC9">
      <w:pPr>
        <w:rPr>
          <w:rFonts w:ascii="Times New Roman" w:eastAsia="Times New Roman" w:hAnsi="Times New Roman" w:cs="Times New Roman"/>
          <w:spacing w:val="-5"/>
          <w:sz w:val="22"/>
          <w:szCs w:val="22"/>
        </w:rPr>
      </w:pPr>
    </w:p>
    <w:p w14:paraId="09DDED4B" w14:textId="77777777" w:rsidR="00135CC9" w:rsidRDefault="00135CC9" w:rsidP="00135CC9">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Así la Administración Provincial de Impuestos de la Provincia de Santa Fe ha interpretado que los instrumentos relacionados para posibilitar la negociación y emisión de los Valores Fiduciarios para su Oferta Pública, encuadran en la exención prevista en el inciso 39) a) del artículo </w:t>
      </w:r>
      <w:r>
        <w:rPr>
          <w:rFonts w:ascii="Times New Roman" w:eastAsia="Times New Roman" w:hAnsi="Times New Roman" w:cs="Times New Roman"/>
          <w:spacing w:val="-5"/>
          <w:sz w:val="22"/>
          <w:szCs w:val="22"/>
        </w:rPr>
        <w:t>236</w:t>
      </w:r>
      <w:r w:rsidRPr="00506990">
        <w:rPr>
          <w:rFonts w:ascii="Times New Roman" w:eastAsia="Times New Roman" w:hAnsi="Times New Roman" w:cs="Times New Roman"/>
          <w:spacing w:val="-5"/>
          <w:sz w:val="22"/>
          <w:szCs w:val="22"/>
        </w:rPr>
        <w:t xml:space="preserve"> del Código Fiscal, que eximen a los instrumentos, actos y operaciones de cualquier naturaleza, vinculados y/o necesarios para posibilitar la emisión de títulos valores representativos de deuda de sus emisoras, cualesquiera otros títulos valores destinados a la oferta pública en los términos de la Ley 26.831 de Mercado de Capitales, por parte de sociedades debidamente autorizadas por la Comisión Nacional de Valores a hacer oferta pública de dichos valores. No obstante tal criterio no está incluido en el texto del Código Fiscal.</w:t>
      </w:r>
    </w:p>
    <w:p w14:paraId="21E516C3" w14:textId="77777777" w:rsidR="00135CC9" w:rsidRDefault="00135CC9" w:rsidP="00135CC9">
      <w:pPr>
        <w:rPr>
          <w:rFonts w:ascii="Times New Roman" w:eastAsia="Times New Roman" w:hAnsi="Times New Roman" w:cs="Times New Roman"/>
          <w:spacing w:val="-5"/>
          <w:sz w:val="22"/>
          <w:szCs w:val="22"/>
        </w:rPr>
      </w:pPr>
    </w:p>
    <w:p w14:paraId="6CA6F960" w14:textId="77777777" w:rsidR="00135CC9" w:rsidRPr="00506990" w:rsidRDefault="00135CC9" w:rsidP="00135CC9">
      <w:pPr>
        <w:rPr>
          <w:rFonts w:ascii="Times New Roman" w:eastAsia="Times New Roman" w:hAnsi="Times New Roman" w:cs="Times New Roman"/>
          <w:spacing w:val="-5"/>
          <w:sz w:val="22"/>
          <w:szCs w:val="22"/>
        </w:rPr>
      </w:pPr>
      <w:r w:rsidRPr="0000185D">
        <w:rPr>
          <w:rFonts w:ascii="Times New Roman" w:eastAsia="Times New Roman" w:hAnsi="Times New Roman" w:cs="Times New Roman"/>
          <w:spacing w:val="-5"/>
          <w:sz w:val="22"/>
          <w:szCs w:val="22"/>
        </w:rPr>
        <w:t xml:space="preserve">Es importante destacar que el mencionado </w:t>
      </w:r>
      <w:r w:rsidRPr="00796C23">
        <w:rPr>
          <w:rFonts w:ascii="Times New Roman" w:eastAsia="Times New Roman" w:hAnsi="Times New Roman" w:cs="Times New Roman"/>
          <w:spacing w:val="-5"/>
          <w:sz w:val="22"/>
          <w:szCs w:val="22"/>
        </w:rPr>
        <w:t>artículo</w:t>
      </w:r>
      <w:r w:rsidRPr="0000185D">
        <w:rPr>
          <w:rFonts w:ascii="Times New Roman" w:eastAsia="Times New Roman" w:hAnsi="Times New Roman" w:cs="Times New Roman"/>
          <w:spacing w:val="-5"/>
          <w:sz w:val="22"/>
          <w:szCs w:val="22"/>
        </w:rPr>
        <w:t xml:space="preserve"> 236 inciso 39) del </w:t>
      </w:r>
      <w:r w:rsidRPr="00796C23">
        <w:rPr>
          <w:rFonts w:ascii="Times New Roman" w:eastAsia="Times New Roman" w:hAnsi="Times New Roman" w:cs="Times New Roman"/>
          <w:spacing w:val="-5"/>
          <w:sz w:val="22"/>
          <w:szCs w:val="22"/>
        </w:rPr>
        <w:t>Código</w:t>
      </w:r>
      <w:r w:rsidRPr="0000185D">
        <w:rPr>
          <w:rFonts w:ascii="Times New Roman" w:eastAsia="Times New Roman" w:hAnsi="Times New Roman" w:cs="Times New Roman"/>
          <w:spacing w:val="-5"/>
          <w:sz w:val="22"/>
          <w:szCs w:val="22"/>
        </w:rPr>
        <w:t xml:space="preserve"> Fiscal de la Pcia</w:t>
      </w:r>
      <w:r>
        <w:rPr>
          <w:rFonts w:ascii="Times New Roman" w:eastAsia="Times New Roman" w:hAnsi="Times New Roman" w:cs="Times New Roman"/>
          <w:spacing w:val="-5"/>
          <w:sz w:val="22"/>
          <w:szCs w:val="22"/>
        </w:rPr>
        <w:t>.</w:t>
      </w:r>
      <w:r w:rsidRPr="0000185D">
        <w:rPr>
          <w:rFonts w:ascii="Times New Roman" w:eastAsia="Times New Roman" w:hAnsi="Times New Roman" w:cs="Times New Roman"/>
          <w:spacing w:val="-5"/>
          <w:sz w:val="22"/>
          <w:szCs w:val="22"/>
        </w:rPr>
        <w:t xml:space="preserve"> de Santa Fe en su </w:t>
      </w:r>
      <w:r w:rsidRPr="00796C23">
        <w:rPr>
          <w:rFonts w:ascii="Times New Roman" w:eastAsia="Times New Roman" w:hAnsi="Times New Roman" w:cs="Times New Roman"/>
          <w:spacing w:val="-5"/>
          <w:sz w:val="22"/>
          <w:szCs w:val="22"/>
        </w:rPr>
        <w:t>último</w:t>
      </w:r>
      <w:r w:rsidRPr="0000185D">
        <w:rPr>
          <w:rFonts w:ascii="Times New Roman" w:eastAsia="Times New Roman" w:hAnsi="Times New Roman" w:cs="Times New Roman"/>
          <w:spacing w:val="-5"/>
          <w:sz w:val="22"/>
          <w:szCs w:val="22"/>
        </w:rPr>
        <w:t xml:space="preserve"> párrafo dispone que “los hechos imponibles calificados originalmente de exentos de acuerdo con los apartados precedentes, como consecuencia de su vinculación con las futuras emisiones de títulos valores comprendidos en el mismo, estarán gravados con el impuesto si en un plazo de 90 (noventa) días corridos no se solicita la autorización para la oferta pública de dichos títulos valores ante la Comisión Nacional de Valores o si la colocación de los mismos no se realiza en un plazo de 180 días a partir de ser concedida la autorización solicitada</w:t>
      </w:r>
      <w:r>
        <w:rPr>
          <w:rFonts w:ascii="Times New Roman" w:eastAsia="Times New Roman" w:hAnsi="Times New Roman" w:cs="Times New Roman"/>
          <w:spacing w:val="-5"/>
          <w:sz w:val="22"/>
          <w:szCs w:val="22"/>
        </w:rPr>
        <w:t>”</w:t>
      </w:r>
      <w:r w:rsidRPr="0000185D">
        <w:rPr>
          <w:rFonts w:ascii="Times New Roman" w:eastAsia="Times New Roman" w:hAnsi="Times New Roman" w:cs="Times New Roman"/>
          <w:spacing w:val="-5"/>
          <w:sz w:val="22"/>
          <w:szCs w:val="22"/>
        </w:rPr>
        <w:t>.</w:t>
      </w:r>
    </w:p>
    <w:p w14:paraId="5CB9BD1A" w14:textId="77777777" w:rsidR="00135CC9" w:rsidRPr="00506990" w:rsidRDefault="00135CC9" w:rsidP="00135CC9">
      <w:pPr>
        <w:rPr>
          <w:rFonts w:ascii="Times New Roman" w:eastAsia="Times New Roman" w:hAnsi="Times New Roman" w:cs="Times New Roman"/>
          <w:spacing w:val="-5"/>
          <w:sz w:val="22"/>
          <w:szCs w:val="22"/>
        </w:rPr>
      </w:pPr>
    </w:p>
    <w:p w14:paraId="5C987791" w14:textId="77777777" w:rsidR="00135CC9" w:rsidRDefault="00135CC9" w:rsidP="00135CC9">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Asimismo, la Administración Provincial de Impuestos de la Provincia de Santa Fe mediante la Resolución Nº 44/14 del 1º de diciembre de 2014 estableció que la transmisión de la propiedad fiduciaria de los fiduciantes al fiduciario, incluida en los contratos de fideicomisos, queda fuera del ámbito del impuesto de sellos solo en caso que dicha transmisión no conlleve contraprestación ni liberalidad alguna del fiduciario al fiduciante, ratificando que los contratos de fideicomisos deberán tributar el impuesto de sellos aplicando la alícuota contemplada en el artículo 19 inciso 4.d) de la ley impositiva anual, sobre la base imponible constituida por la retribución correspondiente al fiduciario, incluido el denominado honorario de éxito o de resultado, cualquiera fuere la denominación con la que a este se lo designe en el contrato, con exclusión del importe que constituya el reembolso de gastos, debidamente acreditado como tales.</w:t>
      </w:r>
    </w:p>
    <w:p w14:paraId="602FEFCF" w14:textId="77777777" w:rsidR="00135CC9" w:rsidRDefault="00135CC9" w:rsidP="00135CC9">
      <w:pPr>
        <w:rPr>
          <w:rFonts w:ascii="Times New Roman" w:eastAsia="Times New Roman" w:hAnsi="Times New Roman" w:cs="Times New Roman"/>
          <w:spacing w:val="-5"/>
          <w:sz w:val="22"/>
          <w:szCs w:val="22"/>
        </w:rPr>
      </w:pPr>
    </w:p>
    <w:p w14:paraId="2A0FB4E3" w14:textId="77777777" w:rsidR="00135CC9" w:rsidRPr="00D10E1B" w:rsidRDefault="00135CC9" w:rsidP="00135CC9">
      <w:pPr>
        <w:rPr>
          <w:rFonts w:ascii="Times New Roman" w:hAnsi="Times New Roman" w:cs="Times New Roman"/>
          <w:sz w:val="22"/>
          <w:szCs w:val="22"/>
        </w:rPr>
      </w:pPr>
      <w:r w:rsidRPr="00D10E1B">
        <w:rPr>
          <w:rFonts w:ascii="Times New Roman" w:hAnsi="Times New Roman" w:cs="Times New Roman"/>
          <w:spacing w:val="-5"/>
          <w:sz w:val="22"/>
          <w:szCs w:val="22"/>
        </w:rPr>
        <w:t xml:space="preserve">Por su parte y al solo efecto de mencionar el tratamiento en otra jurisdicción, </w:t>
      </w:r>
      <w:r>
        <w:rPr>
          <w:rFonts w:ascii="Times New Roman" w:hAnsi="Times New Roman" w:cs="Times New Roman"/>
          <w:spacing w:val="-5"/>
          <w:sz w:val="22"/>
          <w:szCs w:val="22"/>
        </w:rPr>
        <w:t>el</w:t>
      </w:r>
      <w:r w:rsidRPr="00D10E1B">
        <w:rPr>
          <w:rFonts w:ascii="Times New Roman" w:hAnsi="Times New Roman" w:cs="Times New Roman"/>
          <w:spacing w:val="-5"/>
          <w:sz w:val="22"/>
          <w:szCs w:val="22"/>
        </w:rPr>
        <w:t xml:space="preserve"> artículo 364 punto 32</w:t>
      </w:r>
      <w:r w:rsidRPr="00D10E1B">
        <w:rPr>
          <w:rFonts w:ascii="Times New Roman" w:hAnsi="Times New Roman" w:cs="Times New Roman"/>
          <w:sz w:val="22"/>
          <w:szCs w:val="22"/>
        </w:rPr>
        <w:t xml:space="preserve"> del Código de la Ciudad</w:t>
      </w:r>
      <w:r>
        <w:rPr>
          <w:rFonts w:ascii="Times New Roman" w:hAnsi="Times New Roman" w:cs="Times New Roman"/>
          <w:sz w:val="22"/>
          <w:szCs w:val="22"/>
        </w:rPr>
        <w:t xml:space="preserve"> Autónoma de Buenos Aires</w:t>
      </w:r>
      <w:r w:rsidRPr="00D10E1B">
        <w:rPr>
          <w:rFonts w:ascii="Times New Roman" w:hAnsi="Times New Roman" w:cs="Times New Roman"/>
          <w:sz w:val="22"/>
          <w:szCs w:val="22"/>
        </w:rPr>
        <w:t xml:space="preserve"> –texto ordenado 2022-, dispone que no están alcanzados por el impuesto los actos, contratos y operaciones de disposición o administración que realice el fideicomiso</w:t>
      </w:r>
      <w:r>
        <w:rPr>
          <w:rFonts w:ascii="Times New Roman" w:hAnsi="Times New Roman" w:cs="Times New Roman"/>
          <w:sz w:val="22"/>
          <w:szCs w:val="22"/>
        </w:rPr>
        <w:t>.</w:t>
      </w:r>
      <w:r w:rsidRPr="00D10E1B">
        <w:rPr>
          <w:rFonts w:ascii="Times New Roman" w:hAnsi="Times New Roman" w:cs="Times New Roman"/>
          <w:sz w:val="22"/>
          <w:szCs w:val="22"/>
        </w:rPr>
        <w:t xml:space="preserve"> </w:t>
      </w:r>
    </w:p>
    <w:p w14:paraId="379B3664" w14:textId="77777777" w:rsidR="00135CC9" w:rsidRPr="00D10E1B" w:rsidRDefault="00135CC9" w:rsidP="00135CC9">
      <w:pPr>
        <w:rPr>
          <w:rFonts w:ascii="Times New Roman" w:hAnsi="Times New Roman" w:cs="Times New Roman"/>
          <w:sz w:val="22"/>
          <w:szCs w:val="22"/>
        </w:rPr>
      </w:pPr>
    </w:p>
    <w:p w14:paraId="58827092" w14:textId="77777777" w:rsidR="00135CC9" w:rsidRPr="00D10E1B" w:rsidRDefault="00135CC9" w:rsidP="00135CC9">
      <w:pPr>
        <w:rPr>
          <w:rFonts w:ascii="Times New Roman" w:hAnsi="Times New Roman" w:cs="Times New Roman"/>
          <w:sz w:val="22"/>
          <w:szCs w:val="22"/>
        </w:rPr>
      </w:pPr>
      <w:r w:rsidRPr="00D10E1B">
        <w:rPr>
          <w:rFonts w:ascii="Times New Roman" w:hAnsi="Times New Roman" w:cs="Times New Roman"/>
          <w:color w:val="000000"/>
          <w:sz w:val="22"/>
          <w:szCs w:val="22"/>
        </w:rPr>
        <w:t xml:space="preserve">Los actos, contratos y operaciones de cualquier naturaleza, vinculados con la emisión de títulos valores representativos de deuda de sus emisoras y cualesquiera otros valores negociables destinados a la oferta pública en los términos de la Ley Nacional Nº 26.831, </w:t>
      </w:r>
      <w:r w:rsidRPr="00D10E1B">
        <w:rPr>
          <w:rFonts w:ascii="Times New Roman" w:hAnsi="Times New Roman" w:cs="Times New Roman"/>
          <w:sz w:val="22"/>
          <w:szCs w:val="22"/>
        </w:rPr>
        <w:t xml:space="preserve">(conforme ésta fuera modificada por la Ley N° 27.440), </w:t>
      </w:r>
      <w:r w:rsidRPr="00D10E1B">
        <w:rPr>
          <w:rFonts w:ascii="Times New Roman" w:hAnsi="Times New Roman" w:cs="Times New Roman"/>
          <w:color w:val="000000"/>
          <w:sz w:val="22"/>
          <w:szCs w:val="22"/>
        </w:rPr>
        <w:t xml:space="preserve">por parte, entre otros, de fideicomisos financieros debidamente autorizados por la Comisión Nacional de Valores </w:t>
      </w:r>
      <w:r w:rsidRPr="00D10E1B">
        <w:rPr>
          <w:rFonts w:ascii="Times New Roman" w:hAnsi="Times New Roman" w:cs="Times New Roman"/>
          <w:sz w:val="22"/>
          <w:szCs w:val="22"/>
        </w:rPr>
        <w:t>a hacer oferta pública de dichos títulos valores. La exención incluye también a los instrumentos, actos, contratos, operaciones y garantías vinculadas con las emisiones mencionadas sean aquellos anteriores, simultáneos o posteriores a las mismas. La exención precedente quedará sin efecto si en un plazo de 90 días corridos no se solicita la autorización de oferta pública de dichos títulos valores ante la CNV y/o en caso de que la colocación de los mismos no se realice en un plazo de 180 días corridos contados a partir de la autorización de Oferta pública</w:t>
      </w:r>
      <w:r>
        <w:rPr>
          <w:rFonts w:ascii="Times New Roman" w:hAnsi="Times New Roman" w:cs="Times New Roman"/>
          <w:sz w:val="22"/>
          <w:szCs w:val="22"/>
        </w:rPr>
        <w:t>.</w:t>
      </w:r>
    </w:p>
    <w:p w14:paraId="1F256D81" w14:textId="77777777" w:rsidR="00135CC9" w:rsidRPr="00506990" w:rsidRDefault="00135CC9" w:rsidP="00135CC9">
      <w:pPr>
        <w:rPr>
          <w:rFonts w:ascii="Times New Roman" w:eastAsia="Times New Roman" w:hAnsi="Times New Roman" w:cs="Times New Roman"/>
          <w:spacing w:val="-5"/>
          <w:sz w:val="22"/>
          <w:szCs w:val="22"/>
        </w:rPr>
      </w:pPr>
    </w:p>
    <w:p w14:paraId="79E6A6E1" w14:textId="77777777" w:rsidR="00135CC9" w:rsidRPr="00506990" w:rsidRDefault="00135CC9" w:rsidP="00135CC9">
      <w:pPr>
        <w:rPr>
          <w:rFonts w:ascii="Times New Roman" w:eastAsia="Times New Roman" w:hAnsi="Times New Roman" w:cs="Times New Roman"/>
          <w:spacing w:val="-5"/>
          <w:sz w:val="22"/>
          <w:szCs w:val="22"/>
        </w:rPr>
      </w:pPr>
    </w:p>
    <w:p w14:paraId="209D0EB6" w14:textId="77777777" w:rsidR="00135CC9" w:rsidRPr="00883FCC" w:rsidRDefault="00135CC9" w:rsidP="00135CC9">
      <w:pPr>
        <w:rPr>
          <w:rFonts w:ascii="Times New Roman" w:hAnsi="Times New Roman"/>
          <w:b/>
          <w:spacing w:val="-5"/>
          <w:sz w:val="22"/>
          <w:u w:val="single"/>
        </w:rPr>
      </w:pPr>
      <w:r w:rsidRPr="00883FCC">
        <w:rPr>
          <w:rFonts w:ascii="Times New Roman" w:hAnsi="Times New Roman"/>
          <w:b/>
          <w:spacing w:val="-5"/>
          <w:sz w:val="22"/>
          <w:u w:val="single"/>
        </w:rPr>
        <w:t>II. Impuestos que gravan los Valores Fiduciarios</w:t>
      </w:r>
    </w:p>
    <w:p w14:paraId="444A1117" w14:textId="77777777" w:rsidR="00135CC9" w:rsidRPr="00506990" w:rsidRDefault="00135CC9" w:rsidP="00135CC9">
      <w:pPr>
        <w:rPr>
          <w:rFonts w:ascii="Times New Roman" w:eastAsia="Times New Roman" w:hAnsi="Times New Roman" w:cs="Times New Roman"/>
          <w:spacing w:val="-5"/>
          <w:sz w:val="22"/>
          <w:szCs w:val="22"/>
        </w:rPr>
      </w:pPr>
    </w:p>
    <w:p w14:paraId="687E894D" w14:textId="77777777" w:rsidR="00135CC9" w:rsidRPr="00883FCC" w:rsidRDefault="00135CC9" w:rsidP="00135CC9">
      <w:pPr>
        <w:keepNext/>
        <w:outlineLvl w:val="1"/>
        <w:rPr>
          <w:rFonts w:ascii="Times New Roman" w:hAnsi="Times New Roman"/>
          <w:b/>
          <w:sz w:val="22"/>
        </w:rPr>
      </w:pPr>
      <w:bookmarkStart w:id="95" w:name="_Toc521424878"/>
      <w:bookmarkStart w:id="96" w:name="_Toc20409096"/>
      <w:r w:rsidRPr="00883FCC">
        <w:rPr>
          <w:rFonts w:ascii="Times New Roman" w:hAnsi="Times New Roman"/>
          <w:b/>
          <w:sz w:val="22"/>
        </w:rPr>
        <w:t>II.1. Impuesto a las Ganancias</w:t>
      </w:r>
      <w:bookmarkEnd w:id="95"/>
      <w:bookmarkEnd w:id="96"/>
    </w:p>
    <w:p w14:paraId="59664908" w14:textId="77777777" w:rsidR="00135CC9" w:rsidRPr="00C957F6" w:rsidRDefault="00135CC9" w:rsidP="00135CC9">
      <w:pPr>
        <w:tabs>
          <w:tab w:val="center" w:pos="4252"/>
          <w:tab w:val="right" w:pos="8504"/>
        </w:tabs>
        <w:rPr>
          <w:rFonts w:ascii="Times New Roman" w:eastAsia="Times New Roman" w:hAnsi="Times New Roman" w:cs="Times New Roman"/>
          <w:sz w:val="22"/>
          <w:szCs w:val="22"/>
          <w:lang w:val="es-AR"/>
        </w:rPr>
      </w:pPr>
    </w:p>
    <w:p w14:paraId="440C8DA0" w14:textId="77777777" w:rsidR="00135CC9" w:rsidRPr="00506990" w:rsidRDefault="00135CC9" w:rsidP="00135CC9">
      <w:pPr>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30A2052C" w14:textId="77777777" w:rsidR="00135CC9" w:rsidRPr="00506990" w:rsidRDefault="00135CC9" w:rsidP="00135CC9">
      <w:pPr>
        <w:rPr>
          <w:rFonts w:ascii="Times New Roman" w:eastAsia="Times New Roman" w:hAnsi="Times New Roman" w:cs="Times New Roman"/>
          <w:sz w:val="22"/>
          <w:szCs w:val="22"/>
          <w:lang w:val="es-AR"/>
        </w:rPr>
      </w:pPr>
    </w:p>
    <w:p w14:paraId="52AD3EDA"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El rendimiento obtenido por quienes posean los Valores Fiduciarios queda alcanzado por el tributo cualquiera sea el sujeto residente en nuestro país (persona humana o jurídica) que resulte beneficiario de aquellos; excepto que el perceptor se encuentre amparado por una exención subjetiva del gravamen (por ejemplo, cooperativas, mutuales, fundaciones y otros entes sin fines de lucro)</w:t>
      </w:r>
    </w:p>
    <w:p w14:paraId="5B51112D" w14:textId="77777777" w:rsidR="00135CC9" w:rsidRPr="00506990" w:rsidRDefault="00135CC9" w:rsidP="00135CC9">
      <w:pPr>
        <w:rPr>
          <w:rFonts w:ascii="Times New Roman" w:eastAsia="Times New Roman" w:hAnsi="Times New Roman" w:cs="Times New Roman"/>
          <w:sz w:val="22"/>
          <w:szCs w:val="22"/>
          <w:lang w:val="es-AR"/>
        </w:rPr>
      </w:pPr>
    </w:p>
    <w:p w14:paraId="500CDF56" w14:textId="77777777" w:rsidR="00135CC9" w:rsidRPr="00506990" w:rsidRDefault="00135CC9" w:rsidP="00135CC9">
      <w:pPr>
        <w:rPr>
          <w:rFonts w:ascii="Times New Roman" w:eastAsia="Times New Roman" w:hAnsi="Times New Roman" w:cs="Times New Roman"/>
          <w:sz w:val="22"/>
          <w:szCs w:val="22"/>
          <w:lang w:val="es-AR"/>
        </w:rPr>
      </w:pPr>
    </w:p>
    <w:p w14:paraId="18E0C6FA" w14:textId="77777777" w:rsidR="00135CC9" w:rsidRDefault="00135CC9" w:rsidP="00135CC9">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humanas residentes</w:t>
      </w:r>
    </w:p>
    <w:p w14:paraId="023E2B68" w14:textId="77777777" w:rsidR="00135CC9" w:rsidRDefault="00135CC9" w:rsidP="00135CC9">
      <w:pPr>
        <w:rPr>
          <w:rFonts w:ascii="Times New Roman" w:eastAsia="Times New Roman" w:hAnsi="Times New Roman" w:cs="Times New Roman"/>
          <w:i/>
          <w:iCs/>
          <w:sz w:val="22"/>
          <w:szCs w:val="22"/>
          <w:lang w:val="es-AR"/>
        </w:rPr>
      </w:pPr>
    </w:p>
    <w:p w14:paraId="2613EC4E"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A partir de la publicación de la Ley N° 27.430, las ganancias provenientes de la tenencia y enajenación de certificados de participación de fideicomisos financieros y cualquier otro derecho sobre fideicomisos y demás valores, se considerarán íntegramente de fuente argentina cuando el emisor se encuentre domiciliado, establecido o radicado en la República Argentina</w:t>
      </w:r>
      <w:r w:rsidRPr="00A77A44">
        <w:rPr>
          <w:rStyle w:val="Refdenotaalpie"/>
          <w:rFonts w:ascii="Times New Roman" w:hAnsi="Times New Roman"/>
          <w:sz w:val="22"/>
          <w:szCs w:val="22"/>
        </w:rPr>
        <w:footnoteReference w:id="5"/>
      </w:r>
      <w:r w:rsidRPr="00A77A44">
        <w:rPr>
          <w:rFonts w:ascii="Times New Roman" w:hAnsi="Times New Roman"/>
          <w:sz w:val="22"/>
          <w:szCs w:val="22"/>
        </w:rPr>
        <w:t>. En el caso de que la misma produzca un quebranto, el mismo será considerado de naturaleza específica, debiendo compensarse con ganancias futuras de su misma clase y especie en un plazo de cinco años inmediatos siguientes, computados de acuerdo al CCCN.</w:t>
      </w:r>
    </w:p>
    <w:p w14:paraId="655D36AA" w14:textId="77777777" w:rsidR="00135CC9" w:rsidRPr="00A77A44" w:rsidRDefault="00135CC9" w:rsidP="00135CC9">
      <w:pPr>
        <w:pStyle w:val="Encabezado"/>
        <w:rPr>
          <w:rFonts w:ascii="Times New Roman" w:hAnsi="Times New Roman"/>
          <w:sz w:val="22"/>
          <w:szCs w:val="22"/>
        </w:rPr>
      </w:pPr>
    </w:p>
    <w:p w14:paraId="44070FCB"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Por su parte, los intereses o rendimientos de títulos y demás valores se imputarán en el ejercicio en que hayan sido i) puestos a disposición o pagados, lo que ocurra primero; o ii) capitalizados, siempre que los valores prevean pagos de intereses o rendimientos en plazos de hasta un año. Respecto de valores que prevean plazos de pago superiores a un año, la imputación se realizará de acuerdo con su devengamiento en función del tiempo.</w:t>
      </w:r>
    </w:p>
    <w:p w14:paraId="5DF5B822" w14:textId="77777777" w:rsidR="00135CC9" w:rsidRPr="00A77A44" w:rsidRDefault="00135CC9" w:rsidP="00135CC9">
      <w:pPr>
        <w:pStyle w:val="Encabezado"/>
        <w:rPr>
          <w:rFonts w:ascii="Times New Roman" w:hAnsi="Times New Roman"/>
          <w:sz w:val="22"/>
          <w:szCs w:val="22"/>
        </w:rPr>
      </w:pPr>
    </w:p>
    <w:p w14:paraId="36A5E4F1" w14:textId="77777777" w:rsidR="00135CC9" w:rsidRDefault="00135CC9" w:rsidP="00476E40">
      <w:pPr>
        <w:autoSpaceDE w:val="0"/>
        <w:autoSpaceDN w:val="0"/>
        <w:adjustRightInd w:val="0"/>
        <w:rPr>
          <w:rFonts w:ascii="Times New Roman" w:hAnsi="Times New Roman" w:cs="Times New Roman"/>
          <w:b/>
          <w:bCs/>
          <w:sz w:val="22"/>
          <w:szCs w:val="22"/>
        </w:rPr>
      </w:pPr>
      <w:r w:rsidRPr="00A77A44">
        <w:rPr>
          <w:rFonts w:ascii="Times New Roman" w:hAnsi="Times New Roman" w:cs="Times New Roman"/>
          <w:b/>
          <w:bCs/>
          <w:sz w:val="22"/>
          <w:szCs w:val="22"/>
        </w:rPr>
        <w:t>Conforme la publicación de la Ley 27.541 de Solidaridad Social y Reactivación Productiva, el Impuesto a la Renta Financiera que rigió durante 2018 y 2019 ha sido derogado para el ejercicio fiscal 2020</w:t>
      </w:r>
      <w:r w:rsidRPr="00A77A44">
        <w:rPr>
          <w:rStyle w:val="Refdenotaalpie"/>
          <w:rFonts w:ascii="Times New Roman" w:hAnsi="Times New Roman"/>
          <w:b/>
          <w:bCs/>
          <w:sz w:val="22"/>
          <w:szCs w:val="22"/>
        </w:rPr>
        <w:footnoteReference w:id="6"/>
      </w:r>
      <w:r w:rsidRPr="00A77A44">
        <w:rPr>
          <w:rFonts w:ascii="Times New Roman" w:hAnsi="Times New Roman" w:cs="Times New Roman"/>
          <w:b/>
          <w:bCs/>
          <w:sz w:val="22"/>
          <w:szCs w:val="22"/>
        </w:rPr>
        <w:t>, restituyéndose las anteriores exenciones para todos los resultados obtenidos por personas físicas, sucesiones indivisas y beneficiarios del exterior provenientes de rendimientos producto de la colocación de capital en valores, en la medida que coticen en bolsas o mercados de valores autorizados por la Comisión Nacional de Valores, conforme inciso b) del artículo 83 de la Ley 24.441, hoy restablecida su vigencia.</w:t>
      </w:r>
    </w:p>
    <w:p w14:paraId="154CBD4E" w14:textId="77777777" w:rsidR="00135CC9" w:rsidRDefault="00135CC9" w:rsidP="00135CC9">
      <w:pPr>
        <w:autoSpaceDE w:val="0"/>
        <w:autoSpaceDN w:val="0"/>
        <w:adjustRightInd w:val="0"/>
        <w:rPr>
          <w:rFonts w:ascii="Times New Roman" w:hAnsi="Times New Roman" w:cs="Times New Roman"/>
          <w:b/>
          <w:bCs/>
          <w:sz w:val="22"/>
          <w:szCs w:val="22"/>
        </w:rPr>
      </w:pPr>
    </w:p>
    <w:p w14:paraId="3C072550" w14:textId="77777777" w:rsidR="00135CC9" w:rsidRPr="00A90903" w:rsidRDefault="00135CC9" w:rsidP="00135CC9">
      <w:pPr>
        <w:rPr>
          <w:rFonts w:ascii="Times New Roman" w:hAnsi="Times New Roman" w:cs="Times New Roman"/>
          <w:color w:val="000000"/>
          <w:sz w:val="22"/>
          <w:szCs w:val="20"/>
          <w:lang w:eastAsia="es-AR"/>
        </w:rPr>
      </w:pPr>
      <w:r w:rsidRPr="00A90903">
        <w:rPr>
          <w:rFonts w:ascii="Times New Roman" w:hAnsi="Times New Roman" w:cs="Times New Roman"/>
          <w:color w:val="000000"/>
          <w:sz w:val="22"/>
          <w:szCs w:val="20"/>
          <w:lang w:eastAsia="es-AR"/>
        </w:rPr>
        <w:t>Por otro lado, recientemente por medio de las publicaciones de la Ley 27.638 y su reglamentación Decreto 621/2021, amplían la exención para las personas humanas y sucesiones indivisas residentes en el país mencionada en el inciso h) del artículo 26 de la Ley del Impuesto a las Ganancias sobre los intereses o la denominación que tuviere el rendimiento producto de la colocación de capital en los instrumentos emitidos en moneda nacional destinados al fomento de la inversión productiva en la REPÚBLICA ARGENTINA, entendiéndose por ello la inversión y/o el financiamiento directo o indirecto en proyectos productivos, inmobiliarios y/o de infraestructura destinados a distintas actividades económicas comprendidas en los sectores productores de bienes y servicios, tales como agropecuarios, ganaderos, forestales, inmobiliarios, telecomunicaciones, infraestructura, energía, logística, economías sustentables, promoción del capital emprendedor, pesca, desarrollo de tecnología y bienes de capital, investigación y aplicación de tecnología a la medicina y salud, ciencia e investigación aplicada, extracción, producción, procesamiento y/o transporte de materias primas, desarrollo de productos y servicios informáticos, como así también al financiamiento de las Micro, Pequeñas y Medianas Empresas comprendidas en los términos del artículo 2° de la Ley N° 24.467 y sus modificatorias, siempre que no estén incluidas en el primer párrafo de dicho inciso.</w:t>
      </w:r>
    </w:p>
    <w:p w14:paraId="792F4EF1" w14:textId="77777777" w:rsidR="00135CC9" w:rsidRPr="00A90903" w:rsidRDefault="00135CC9" w:rsidP="00135CC9">
      <w:pPr>
        <w:rPr>
          <w:rFonts w:ascii="Times New Roman" w:hAnsi="Times New Roman" w:cs="Times New Roman"/>
          <w:color w:val="000000"/>
          <w:sz w:val="22"/>
          <w:szCs w:val="20"/>
          <w:lang w:eastAsia="es-AR"/>
        </w:rPr>
      </w:pPr>
    </w:p>
    <w:p w14:paraId="26F46E6F" w14:textId="77777777" w:rsidR="00135CC9" w:rsidRPr="00A90903" w:rsidRDefault="00135CC9" w:rsidP="00135CC9">
      <w:pPr>
        <w:rPr>
          <w:rFonts w:ascii="Times New Roman" w:hAnsi="Times New Roman" w:cs="Times New Roman"/>
          <w:color w:val="000000"/>
          <w:sz w:val="22"/>
          <w:szCs w:val="20"/>
          <w:lang w:eastAsia="es-AR"/>
        </w:rPr>
      </w:pPr>
      <w:r w:rsidRPr="00A90903">
        <w:rPr>
          <w:rFonts w:ascii="Times New Roman" w:hAnsi="Times New Roman" w:cs="Times New Roman"/>
          <w:color w:val="000000"/>
          <w:sz w:val="22"/>
          <w:szCs w:val="20"/>
          <w:lang w:eastAsia="es-AR"/>
        </w:rPr>
        <w:t>En el caso que nos ocupa, siendo que aplica el primer párrafo del artículo 26 inciso h (restitución de exenciones), la exención opera con anterioridad en virtud de esto, y no de las nuevas disposiciones.</w:t>
      </w:r>
    </w:p>
    <w:p w14:paraId="0A3D6DF9" w14:textId="77777777" w:rsidR="00135CC9" w:rsidRPr="00A90903" w:rsidRDefault="00135CC9" w:rsidP="00135CC9">
      <w:pPr>
        <w:autoSpaceDE w:val="0"/>
        <w:autoSpaceDN w:val="0"/>
        <w:adjustRightInd w:val="0"/>
        <w:rPr>
          <w:rFonts w:ascii="Times New Roman" w:hAnsi="Times New Roman" w:cs="Times New Roman"/>
          <w:b/>
          <w:bCs/>
          <w:sz w:val="24"/>
          <w:szCs w:val="22"/>
        </w:rPr>
      </w:pPr>
    </w:p>
    <w:p w14:paraId="71B08E2B" w14:textId="77777777" w:rsidR="00135CC9" w:rsidRPr="00A77A44" w:rsidRDefault="00135CC9" w:rsidP="00135CC9">
      <w:pPr>
        <w:rPr>
          <w:rFonts w:ascii="Times New Roman" w:hAnsi="Times New Roman" w:cs="Times New Roman"/>
          <w:sz w:val="22"/>
          <w:szCs w:val="22"/>
        </w:rPr>
      </w:pPr>
    </w:p>
    <w:p w14:paraId="1D4B07FA" w14:textId="77777777" w:rsidR="00135CC9" w:rsidRPr="00A77A44" w:rsidRDefault="00135CC9" w:rsidP="00135CC9">
      <w:pPr>
        <w:rPr>
          <w:rFonts w:ascii="Times New Roman" w:hAnsi="Times New Roman" w:cs="Times New Roman"/>
          <w:i/>
          <w:iCs/>
          <w:sz w:val="22"/>
          <w:szCs w:val="22"/>
        </w:rPr>
      </w:pPr>
      <w:r w:rsidRPr="00A77A44">
        <w:rPr>
          <w:rFonts w:ascii="Times New Roman" w:hAnsi="Times New Roman" w:cs="Times New Roman"/>
          <w:i/>
          <w:iCs/>
          <w:sz w:val="22"/>
          <w:szCs w:val="22"/>
        </w:rPr>
        <w:t>Personas jurídicas residentes</w:t>
      </w:r>
    </w:p>
    <w:p w14:paraId="627DBB24" w14:textId="77777777" w:rsidR="00135CC9" w:rsidRPr="00A77A44" w:rsidRDefault="00135CC9" w:rsidP="00135CC9">
      <w:pPr>
        <w:rPr>
          <w:rFonts w:ascii="Times New Roman" w:hAnsi="Times New Roman" w:cs="Times New Roman"/>
          <w:sz w:val="22"/>
          <w:szCs w:val="22"/>
        </w:rPr>
      </w:pPr>
    </w:p>
    <w:p w14:paraId="0C812C32" w14:textId="77777777" w:rsidR="00135CC9" w:rsidRDefault="00135CC9" w:rsidP="00135CC9">
      <w:pPr>
        <w:pStyle w:val="Encabezado"/>
        <w:rPr>
          <w:rFonts w:ascii="Times New Roman" w:hAnsi="Times New Roman"/>
          <w:sz w:val="22"/>
          <w:szCs w:val="22"/>
        </w:rPr>
      </w:pPr>
      <w:r>
        <w:rPr>
          <w:rFonts w:ascii="Times New Roman" w:hAnsi="Times New Roman"/>
          <w:sz w:val="22"/>
          <w:szCs w:val="22"/>
        </w:rPr>
        <w:t>Por su parte l</w:t>
      </w:r>
      <w:r w:rsidRPr="00A77A44">
        <w:rPr>
          <w:rFonts w:ascii="Times New Roman" w:hAnsi="Times New Roman"/>
          <w:sz w:val="22"/>
          <w:szCs w:val="22"/>
        </w:rPr>
        <w:t xml:space="preserve">as personas jurídicas tributarán el gravamen a las </w:t>
      </w:r>
      <w:r>
        <w:rPr>
          <w:rFonts w:ascii="Times New Roman" w:hAnsi="Times New Roman"/>
          <w:sz w:val="22"/>
          <w:szCs w:val="22"/>
        </w:rPr>
        <w:t>siguientes</w:t>
      </w:r>
      <w:r w:rsidRPr="00A77A44">
        <w:rPr>
          <w:rFonts w:ascii="Times New Roman" w:hAnsi="Times New Roman"/>
          <w:sz w:val="22"/>
          <w:szCs w:val="22"/>
        </w:rPr>
        <w:t xml:space="preserve"> alícuotas </w:t>
      </w:r>
      <w:r>
        <w:rPr>
          <w:rFonts w:ascii="Times New Roman" w:hAnsi="Times New Roman"/>
          <w:sz w:val="22"/>
          <w:szCs w:val="22"/>
        </w:rPr>
        <w:t>actualizadas conforme el Índice de Precios al Consumidor  -IPC- tal cual lo dispone el artículo 73° de la Ley del Impuesto a las Ganancias , publicadas por la AFIP, las cuales resultan de aplicación a partir del 01/01/2023, según el siguiente detalle:</w:t>
      </w:r>
    </w:p>
    <w:p w14:paraId="52894504" w14:textId="77777777" w:rsidR="00135CC9" w:rsidRDefault="00135CC9" w:rsidP="00135CC9">
      <w:pPr>
        <w:pStyle w:val="Encabezado"/>
        <w:spacing w:line="360" w:lineRule="auto"/>
        <w:rPr>
          <w:rFonts w:ascii="Times New Roman" w:hAnsi="Times New Roman"/>
          <w:sz w:val="18"/>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3"/>
        <w:gridCol w:w="1701"/>
        <w:gridCol w:w="1985"/>
        <w:gridCol w:w="1276"/>
        <w:gridCol w:w="1569"/>
      </w:tblGrid>
      <w:tr w:rsidR="00135CC9" w:rsidRPr="00077418" w14:paraId="583F9A88" w14:textId="77777777" w:rsidTr="00FA326B">
        <w:trPr>
          <w:trHeight w:val="675"/>
        </w:trPr>
        <w:tc>
          <w:tcPr>
            <w:tcW w:w="3954" w:type="dxa"/>
            <w:gridSpan w:val="2"/>
            <w:shd w:val="clear" w:color="auto" w:fill="AEAAAA"/>
            <w:vAlign w:val="center"/>
            <w:hideMark/>
          </w:tcPr>
          <w:p w14:paraId="772995E6" w14:textId="77777777" w:rsidR="00135CC9" w:rsidRPr="004E3394" w:rsidRDefault="00135CC9" w:rsidP="00FA326B">
            <w:pPr>
              <w:jc w:val="center"/>
              <w:rPr>
                <w:rFonts w:ascii="Times New Roman" w:hAnsi="Times New Roman" w:cs="Times New Roman"/>
                <w:b/>
                <w:bCs/>
                <w:color w:val="000000"/>
                <w:sz w:val="20"/>
                <w:szCs w:val="22"/>
                <w:lang w:val="es-AR" w:eastAsia="es-AR"/>
              </w:rPr>
            </w:pPr>
            <w:r w:rsidRPr="004E3394">
              <w:rPr>
                <w:rFonts w:ascii="Times New Roman" w:hAnsi="Times New Roman" w:cs="Times New Roman"/>
                <w:b/>
                <w:bCs/>
                <w:color w:val="000000"/>
                <w:sz w:val="20"/>
                <w:szCs w:val="22"/>
              </w:rPr>
              <w:t>GANANCIA NETA IMPONIBLE ACUMULADA</w:t>
            </w:r>
          </w:p>
        </w:tc>
        <w:tc>
          <w:tcPr>
            <w:tcW w:w="1985" w:type="dxa"/>
            <w:vMerge w:val="restart"/>
            <w:shd w:val="clear" w:color="auto" w:fill="AEAAAA"/>
            <w:noWrap/>
            <w:vAlign w:val="center"/>
            <w:hideMark/>
          </w:tcPr>
          <w:p w14:paraId="11688488"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PAGARÁN</w:t>
            </w:r>
          </w:p>
        </w:tc>
        <w:tc>
          <w:tcPr>
            <w:tcW w:w="1276" w:type="dxa"/>
            <w:vMerge w:val="restart"/>
            <w:shd w:val="clear" w:color="auto" w:fill="AEAAAA"/>
            <w:noWrap/>
            <w:vAlign w:val="center"/>
            <w:hideMark/>
          </w:tcPr>
          <w:p w14:paraId="71B0FF23"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EL %</w:t>
            </w:r>
          </w:p>
        </w:tc>
        <w:tc>
          <w:tcPr>
            <w:tcW w:w="1569" w:type="dxa"/>
            <w:vMerge w:val="restart"/>
            <w:shd w:val="clear" w:color="auto" w:fill="AEAAAA"/>
            <w:noWrap/>
            <w:vAlign w:val="center"/>
            <w:hideMark/>
          </w:tcPr>
          <w:p w14:paraId="2E38E896"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SOBRE EL EXCEDENTE DE $</w:t>
            </w:r>
          </w:p>
        </w:tc>
      </w:tr>
      <w:tr w:rsidR="00135CC9" w:rsidRPr="00077418" w14:paraId="634558D6" w14:textId="77777777" w:rsidTr="00FA326B">
        <w:trPr>
          <w:trHeight w:val="315"/>
        </w:trPr>
        <w:tc>
          <w:tcPr>
            <w:tcW w:w="2253" w:type="dxa"/>
            <w:shd w:val="clear" w:color="auto" w:fill="AEAAAA"/>
            <w:vAlign w:val="center"/>
            <w:hideMark/>
          </w:tcPr>
          <w:p w14:paraId="1B183DA8"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DE $</w:t>
            </w:r>
          </w:p>
        </w:tc>
        <w:tc>
          <w:tcPr>
            <w:tcW w:w="1701" w:type="dxa"/>
            <w:shd w:val="clear" w:color="auto" w:fill="AEAAAA"/>
            <w:vAlign w:val="center"/>
            <w:hideMark/>
          </w:tcPr>
          <w:p w14:paraId="0C021F3D"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A $</w:t>
            </w:r>
          </w:p>
        </w:tc>
        <w:tc>
          <w:tcPr>
            <w:tcW w:w="0" w:type="auto"/>
            <w:vMerge/>
            <w:vAlign w:val="center"/>
            <w:hideMark/>
          </w:tcPr>
          <w:p w14:paraId="48752C65" w14:textId="77777777" w:rsidR="00135CC9" w:rsidRPr="004E3394" w:rsidRDefault="00135CC9" w:rsidP="00FA326B">
            <w:pPr>
              <w:rPr>
                <w:rFonts w:ascii="Times New Roman" w:eastAsia="Times New Roman" w:hAnsi="Times New Roman" w:cs="Times New Roman"/>
                <w:b/>
                <w:bCs/>
                <w:color w:val="000000"/>
                <w:sz w:val="20"/>
                <w:szCs w:val="22"/>
              </w:rPr>
            </w:pPr>
          </w:p>
        </w:tc>
        <w:tc>
          <w:tcPr>
            <w:tcW w:w="0" w:type="auto"/>
            <w:vMerge/>
            <w:vAlign w:val="center"/>
            <w:hideMark/>
          </w:tcPr>
          <w:p w14:paraId="5234F23C" w14:textId="77777777" w:rsidR="00135CC9" w:rsidRPr="004E3394" w:rsidRDefault="00135CC9" w:rsidP="00FA326B">
            <w:pPr>
              <w:rPr>
                <w:rFonts w:ascii="Times New Roman" w:eastAsia="Times New Roman" w:hAnsi="Times New Roman" w:cs="Times New Roman"/>
                <w:b/>
                <w:bCs/>
                <w:color w:val="000000"/>
                <w:sz w:val="20"/>
                <w:szCs w:val="22"/>
              </w:rPr>
            </w:pPr>
          </w:p>
        </w:tc>
        <w:tc>
          <w:tcPr>
            <w:tcW w:w="1569" w:type="dxa"/>
            <w:vMerge/>
            <w:vAlign w:val="center"/>
            <w:hideMark/>
          </w:tcPr>
          <w:p w14:paraId="543DD5F1" w14:textId="77777777" w:rsidR="00135CC9" w:rsidRPr="004E3394" w:rsidRDefault="00135CC9" w:rsidP="00FA326B">
            <w:pPr>
              <w:rPr>
                <w:rFonts w:ascii="Times New Roman" w:eastAsia="Times New Roman" w:hAnsi="Times New Roman" w:cs="Times New Roman"/>
                <w:b/>
                <w:bCs/>
                <w:color w:val="000000"/>
                <w:sz w:val="20"/>
                <w:szCs w:val="22"/>
              </w:rPr>
            </w:pPr>
          </w:p>
        </w:tc>
      </w:tr>
      <w:tr w:rsidR="00135CC9" w:rsidRPr="00077418" w14:paraId="256D2509" w14:textId="77777777" w:rsidTr="00FA326B">
        <w:trPr>
          <w:trHeight w:val="315"/>
        </w:trPr>
        <w:tc>
          <w:tcPr>
            <w:tcW w:w="2253" w:type="dxa"/>
            <w:shd w:val="clear" w:color="auto" w:fill="FAFBFC"/>
            <w:vAlign w:val="center"/>
            <w:hideMark/>
          </w:tcPr>
          <w:p w14:paraId="766E0539"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701" w:type="dxa"/>
            <w:shd w:val="clear" w:color="auto" w:fill="FAFBFC"/>
            <w:vAlign w:val="center"/>
            <w:hideMark/>
          </w:tcPr>
          <w:p w14:paraId="75CB42BB"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985" w:type="dxa"/>
            <w:shd w:val="clear" w:color="auto" w:fill="FAFBFC"/>
            <w:vAlign w:val="center"/>
            <w:hideMark/>
          </w:tcPr>
          <w:p w14:paraId="11CBF6D9"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276" w:type="dxa"/>
            <w:shd w:val="clear" w:color="auto" w:fill="FAFBFC"/>
            <w:vAlign w:val="center"/>
            <w:hideMark/>
          </w:tcPr>
          <w:p w14:paraId="58C9A07F"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25%</w:t>
            </w:r>
          </w:p>
        </w:tc>
        <w:tc>
          <w:tcPr>
            <w:tcW w:w="1569" w:type="dxa"/>
            <w:shd w:val="clear" w:color="auto" w:fill="FAFBFC"/>
            <w:vAlign w:val="center"/>
            <w:hideMark/>
          </w:tcPr>
          <w:p w14:paraId="4A1F14C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r>
      <w:tr w:rsidR="00135CC9" w:rsidRPr="00077418" w14:paraId="1F76089D" w14:textId="77777777" w:rsidTr="00FA326B">
        <w:trPr>
          <w:trHeight w:val="300"/>
        </w:trPr>
        <w:tc>
          <w:tcPr>
            <w:tcW w:w="2253" w:type="dxa"/>
            <w:shd w:val="clear" w:color="auto" w:fill="FAFBFC"/>
            <w:vAlign w:val="center"/>
            <w:hideMark/>
          </w:tcPr>
          <w:p w14:paraId="67327EB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701" w:type="dxa"/>
            <w:shd w:val="clear" w:color="auto" w:fill="FAFBFC"/>
            <w:vAlign w:val="center"/>
            <w:hideMark/>
          </w:tcPr>
          <w:p w14:paraId="17343861"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985" w:type="dxa"/>
            <w:shd w:val="clear" w:color="auto" w:fill="FAFBFC"/>
            <w:vAlign w:val="center"/>
            <w:hideMark/>
          </w:tcPr>
          <w:p w14:paraId="4963AB6B"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$ 3.575.302,30</w:t>
            </w:r>
          </w:p>
        </w:tc>
        <w:tc>
          <w:tcPr>
            <w:tcW w:w="1276" w:type="dxa"/>
            <w:shd w:val="clear" w:color="auto" w:fill="FAFBFC"/>
            <w:vAlign w:val="center"/>
            <w:hideMark/>
          </w:tcPr>
          <w:p w14:paraId="0FB3FAF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30%</w:t>
            </w:r>
          </w:p>
        </w:tc>
        <w:tc>
          <w:tcPr>
            <w:tcW w:w="1569" w:type="dxa"/>
            <w:shd w:val="clear" w:color="auto" w:fill="FAFBFC"/>
            <w:vAlign w:val="center"/>
            <w:hideMark/>
          </w:tcPr>
          <w:p w14:paraId="06AFC06F"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r>
      <w:tr w:rsidR="00135CC9" w:rsidRPr="00077418" w14:paraId="414E9E15" w14:textId="77777777" w:rsidTr="00FA326B">
        <w:trPr>
          <w:trHeight w:val="315"/>
        </w:trPr>
        <w:tc>
          <w:tcPr>
            <w:tcW w:w="2253" w:type="dxa"/>
            <w:shd w:val="clear" w:color="auto" w:fill="FAFBFC"/>
            <w:vAlign w:val="center"/>
            <w:hideMark/>
          </w:tcPr>
          <w:p w14:paraId="0E3541E9"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701" w:type="dxa"/>
            <w:shd w:val="clear" w:color="auto" w:fill="FAFBFC"/>
            <w:vAlign w:val="center"/>
            <w:hideMark/>
          </w:tcPr>
          <w:p w14:paraId="2C2E3713"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En adelante</w:t>
            </w:r>
          </w:p>
        </w:tc>
        <w:tc>
          <w:tcPr>
            <w:tcW w:w="1985" w:type="dxa"/>
            <w:shd w:val="clear" w:color="auto" w:fill="FAFBFC"/>
            <w:vAlign w:val="center"/>
            <w:hideMark/>
          </w:tcPr>
          <w:p w14:paraId="0403ACEC"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$ 42.188.567,16</w:t>
            </w:r>
          </w:p>
        </w:tc>
        <w:tc>
          <w:tcPr>
            <w:tcW w:w="1276" w:type="dxa"/>
            <w:shd w:val="clear" w:color="auto" w:fill="FAFBFC"/>
            <w:vAlign w:val="center"/>
            <w:hideMark/>
          </w:tcPr>
          <w:p w14:paraId="1C0D851F"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35%</w:t>
            </w:r>
          </w:p>
        </w:tc>
        <w:tc>
          <w:tcPr>
            <w:tcW w:w="1569" w:type="dxa"/>
            <w:shd w:val="clear" w:color="auto" w:fill="FAFBFC"/>
            <w:vAlign w:val="center"/>
            <w:hideMark/>
          </w:tcPr>
          <w:p w14:paraId="4DB8B041"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r>
    </w:tbl>
    <w:p w14:paraId="001357C3" w14:textId="77777777" w:rsidR="00135CC9" w:rsidRPr="00A77A44" w:rsidRDefault="00135CC9" w:rsidP="00135CC9">
      <w:pPr>
        <w:pStyle w:val="Encabezado"/>
        <w:rPr>
          <w:rFonts w:ascii="Times New Roman" w:hAnsi="Times New Roman"/>
          <w:sz w:val="22"/>
          <w:szCs w:val="22"/>
        </w:rPr>
      </w:pPr>
    </w:p>
    <w:p w14:paraId="011A75F0" w14:textId="77777777" w:rsidR="00135CC9" w:rsidRPr="00A77A44" w:rsidRDefault="00135CC9" w:rsidP="00135CC9">
      <w:pPr>
        <w:pStyle w:val="Encabezado"/>
        <w:rPr>
          <w:rFonts w:ascii="Times New Roman" w:hAnsi="Times New Roman"/>
          <w:sz w:val="22"/>
          <w:szCs w:val="22"/>
        </w:rPr>
      </w:pPr>
    </w:p>
    <w:p w14:paraId="6F2B1E1A" w14:textId="77777777" w:rsidR="00135CC9" w:rsidRDefault="00135CC9" w:rsidP="00135CC9">
      <w:pPr>
        <w:pStyle w:val="Encabezado"/>
        <w:rPr>
          <w:rFonts w:ascii="Times New Roman" w:hAnsi="Times New Roman"/>
          <w:sz w:val="22"/>
          <w:szCs w:val="22"/>
        </w:rPr>
      </w:pPr>
      <w:r w:rsidRPr="00A77A44">
        <w:rPr>
          <w:rFonts w:ascii="Times New Roman" w:hAnsi="Times New Roman"/>
          <w:sz w:val="22"/>
          <w:szCs w:val="22"/>
        </w:rPr>
        <w:t>Los citados montos se ajustarán anualmente, considerando la variación anual del Índice de Precios al Consumidor (IPC), correspondiente al mes de octubre del año anterior al del ajuste, respecto del mismo mes del año anterior. Los montos determinados por aplicación del mecanismo descripto resultarán de aplicación para los ejercicios fiscales que se inicien con posterioridad a cada actualización.</w:t>
      </w:r>
    </w:p>
    <w:p w14:paraId="642EAF7E" w14:textId="77777777" w:rsidR="00135CC9" w:rsidRPr="00A77A44" w:rsidRDefault="00135CC9" w:rsidP="00135CC9">
      <w:pPr>
        <w:rPr>
          <w:rFonts w:ascii="Times New Roman" w:hAnsi="Times New Roman" w:cs="Times New Roman"/>
          <w:sz w:val="22"/>
          <w:szCs w:val="22"/>
        </w:rPr>
      </w:pPr>
    </w:p>
    <w:p w14:paraId="6E0F4E29"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Cuando se trate de beneficiarios del exterior comprendidos en el Título V de la Ley del Impuesto a las Ganancias, en la medida de que tales beneficiarios no residan en jurisdicciones no cooperantes o los fondos invertidos no provengan de jurisdicciones no cooperantes, los intereses o rendimientos y los resultados provenientes de la compraventa, cambio, permuta o disposición de títulos de deuda de fideicomisos financieros constituidos en el país conforme a las disposiciones del CCCN, colocados</w:t>
      </w:r>
      <w:r>
        <w:rPr>
          <w:rFonts w:ascii="Times New Roman" w:hAnsi="Times New Roman"/>
          <w:sz w:val="22"/>
          <w:szCs w:val="22"/>
        </w:rPr>
        <w:t xml:space="preserve"> </w:t>
      </w:r>
      <w:r w:rsidRPr="00A77A44">
        <w:rPr>
          <w:rFonts w:ascii="Times New Roman" w:hAnsi="Times New Roman"/>
          <w:sz w:val="22"/>
          <w:szCs w:val="22"/>
        </w:rPr>
        <w:t>por oferta pública mantendrán la exención en el Impuesto a las Ganancias</w:t>
      </w:r>
      <w:r w:rsidRPr="00A77A44">
        <w:rPr>
          <w:rStyle w:val="Refdenotaalpie"/>
          <w:rFonts w:ascii="Times New Roman" w:hAnsi="Times New Roman"/>
          <w:sz w:val="22"/>
          <w:szCs w:val="22"/>
        </w:rPr>
        <w:footnoteReference w:id="7"/>
      </w:r>
      <w:r w:rsidRPr="00A77A44">
        <w:rPr>
          <w:rFonts w:ascii="Times New Roman" w:hAnsi="Times New Roman"/>
          <w:sz w:val="22"/>
          <w:szCs w:val="22"/>
        </w:rPr>
        <w:t xml:space="preserve">. </w:t>
      </w:r>
    </w:p>
    <w:p w14:paraId="5C366F7B" w14:textId="77777777" w:rsidR="00135CC9" w:rsidRPr="00506990" w:rsidRDefault="00135CC9" w:rsidP="00135CC9">
      <w:pPr>
        <w:rPr>
          <w:rFonts w:ascii="Times New Roman" w:eastAsia="Times New Roman" w:hAnsi="Times New Roman" w:cs="Times New Roman"/>
          <w:i/>
          <w:iCs/>
          <w:sz w:val="22"/>
          <w:szCs w:val="22"/>
          <w:lang w:val="es-AR"/>
        </w:rPr>
      </w:pPr>
    </w:p>
    <w:p w14:paraId="2F5FB3CD" w14:textId="77777777" w:rsidR="00135CC9" w:rsidRPr="00506990" w:rsidRDefault="00135CC9" w:rsidP="00135CC9">
      <w:pPr>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color w:val="000000"/>
          <w:sz w:val="22"/>
          <w:szCs w:val="22"/>
          <w:lang w:val="es-AR"/>
        </w:rPr>
        <w:t>El concepto de “jurisdicción no cooperante” surge del artículo 1</w:t>
      </w:r>
      <w:r>
        <w:rPr>
          <w:rFonts w:ascii="Times New Roman" w:eastAsia="Times New Roman" w:hAnsi="Times New Roman" w:cs="Times New Roman"/>
          <w:color w:val="000000"/>
          <w:sz w:val="22"/>
          <w:szCs w:val="22"/>
          <w:lang w:val="es-AR"/>
        </w:rPr>
        <w:t>9</w:t>
      </w:r>
      <w:r w:rsidRPr="00506990">
        <w:rPr>
          <w:rFonts w:ascii="Times New Roman" w:eastAsia="Times New Roman" w:hAnsi="Times New Roman" w:cs="Times New Roman"/>
          <w:color w:val="000000"/>
          <w:sz w:val="22"/>
          <w:szCs w:val="22"/>
          <w:lang w:val="es-AR"/>
        </w:rPr>
        <w:t xml:space="preserve"> de la LIG</w:t>
      </w:r>
      <w:r>
        <w:rPr>
          <w:rFonts w:ascii="Times New Roman" w:eastAsia="Times New Roman" w:hAnsi="Times New Roman" w:cs="Times New Roman"/>
          <w:color w:val="000000"/>
          <w:sz w:val="22"/>
          <w:szCs w:val="22"/>
          <w:lang w:val="es-AR"/>
        </w:rPr>
        <w:t xml:space="preserve"> –t.o. 2019- </w:t>
      </w:r>
      <w:r w:rsidRPr="00506990">
        <w:rPr>
          <w:rFonts w:ascii="Times New Roman" w:eastAsia="Times New Roman" w:hAnsi="Times New Roman" w:cs="Times New Roman"/>
          <w:color w:val="000000"/>
          <w:sz w:val="22"/>
          <w:szCs w:val="22"/>
          <w:lang w:val="es-AR"/>
        </w:rPr>
        <w:t xml:space="preserve"> incorporado por el artículo 12 de la Ley 27.430 el cual expresa: “A todos los efectos previstos en esta ley, cualquier referencia efectuada a </w:t>
      </w:r>
      <w:r w:rsidRPr="00506990">
        <w:rPr>
          <w:rFonts w:ascii="Times New Roman" w:eastAsia="Times New Roman" w:hAnsi="Times New Roman" w:cs="Times New Roman"/>
          <w:i/>
          <w:iCs/>
          <w:color w:val="000000"/>
          <w:sz w:val="22"/>
          <w:szCs w:val="22"/>
          <w:lang w:val="es-AR"/>
        </w:rPr>
        <w:t>jurisdicciones no cooperantes</w:t>
      </w:r>
      <w:r w:rsidRPr="00506990">
        <w:rPr>
          <w:rFonts w:ascii="Times New Roman" w:eastAsia="Times New Roman" w:hAnsi="Times New Roman" w:cs="Times New Roman"/>
          <w:color w:val="000000"/>
          <w:sz w:val="22"/>
          <w:szCs w:val="22"/>
          <w:lang w:val="es-AR"/>
        </w:rPr>
        <w:t>, 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 Asimismo, se considerarán como no cooperantes aquellos países que, teniendo vigente un acuerdo con los alcances definidos en el párrafo anterior, no cumplan efectivamente con el intercambio de información. El Poder Ejecutivo nacional elaborará un listado de las jurisdicciones no cooperantes con base en el criterio contenido en este artículo”.</w:t>
      </w:r>
    </w:p>
    <w:p w14:paraId="05818B74" w14:textId="77777777" w:rsidR="00135CC9" w:rsidRPr="00506990" w:rsidRDefault="00135CC9" w:rsidP="00135CC9">
      <w:pPr>
        <w:rPr>
          <w:rFonts w:ascii="Times New Roman" w:eastAsia="Times New Roman" w:hAnsi="Times New Roman" w:cs="Times New Roman"/>
          <w:color w:val="000000"/>
          <w:sz w:val="22"/>
          <w:szCs w:val="22"/>
          <w:lang w:val="es-AR"/>
        </w:rPr>
      </w:pPr>
    </w:p>
    <w:p w14:paraId="55CF9BA9"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color w:val="000000"/>
          <w:sz w:val="22"/>
          <w:szCs w:val="22"/>
          <w:lang w:val="es-AR"/>
        </w:rPr>
        <w:t xml:space="preserve">Por medio del Decreto 279/18 (Boletín Oficial 09/04/18) el Poder Ejecutivo ha dispuesto que hasta tanto </w:t>
      </w:r>
      <w:r w:rsidRPr="00506990">
        <w:rPr>
          <w:rFonts w:ascii="Times New Roman" w:eastAsia="Times New Roman" w:hAnsi="Times New Roman" w:cs="Times New Roman"/>
          <w:sz w:val="22"/>
          <w:szCs w:val="22"/>
          <w:lang w:val="es-AR"/>
        </w:rPr>
        <w:t>se reglamente el  artículo 1</w:t>
      </w:r>
      <w:r>
        <w:rPr>
          <w:rFonts w:ascii="Times New Roman" w:eastAsia="Times New Roman" w:hAnsi="Times New Roman" w:cs="Times New Roman"/>
          <w:sz w:val="22"/>
          <w:szCs w:val="22"/>
          <w:lang w:val="es-AR"/>
        </w:rPr>
        <w:t>9</w:t>
      </w:r>
      <w:r w:rsidRPr="00506990">
        <w:rPr>
          <w:rFonts w:ascii="Times New Roman" w:eastAsia="Times New Roman" w:hAnsi="Times New Roman" w:cs="Times New Roman"/>
          <w:sz w:val="22"/>
          <w:szCs w:val="22"/>
          <w:lang w:val="es-AR"/>
        </w:rPr>
        <w:t xml:space="preserve"> de la Ley de Impuesto a las Ganancias</w:t>
      </w:r>
      <w:r>
        <w:rPr>
          <w:rFonts w:ascii="Times New Roman" w:eastAsia="Times New Roman" w:hAnsi="Times New Roman" w:cs="Times New Roman"/>
          <w:sz w:val="22"/>
          <w:szCs w:val="22"/>
          <w:lang w:val="es-AR"/>
        </w:rPr>
        <w:t xml:space="preserve"> –t.o. 2019-</w:t>
      </w:r>
      <w:r w:rsidRPr="00506990">
        <w:rPr>
          <w:rFonts w:ascii="Times New Roman" w:eastAsia="Times New Roman" w:hAnsi="Times New Roman" w:cs="Times New Roman"/>
          <w:sz w:val="22"/>
          <w:szCs w:val="22"/>
          <w:lang w:val="es-AR"/>
        </w:rPr>
        <w:t xml:space="preserve">, para determinar si una jurisdicción es “cooperante” se verificará si está incluida en el listado vigente publicado por la ADMINISTRACIÓN FEDERAL DE INGRESOS PÚBLICOS en el marco del Decreto Nº 589 del 27 de mayo de 2013. El listado vigente puede consultarse en el link </w:t>
      </w:r>
      <w:hyperlink r:id="rId77" w:anchor="ver" w:history="1">
        <w:r w:rsidRPr="00506990">
          <w:rPr>
            <w:rStyle w:val="Hipervnculo"/>
            <w:rFonts w:ascii="Times New Roman" w:hAnsi="Times New Roman"/>
            <w:sz w:val="20"/>
            <w:szCs w:val="20"/>
          </w:rPr>
          <w:t>http://www.afip.gob.ar/jurisdiccionesCooperantes/#ver</w:t>
        </w:r>
      </w:hyperlink>
      <w:r w:rsidRPr="00506990">
        <w:rPr>
          <w:rFonts w:ascii="Times New Roman" w:hAnsi="Times New Roman" w:cs="Times New Roman"/>
          <w:sz w:val="20"/>
          <w:szCs w:val="20"/>
        </w:rPr>
        <w:t>.</w:t>
      </w:r>
    </w:p>
    <w:p w14:paraId="189376EB" w14:textId="77777777" w:rsidR="00135CC9"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consecuencia deberán considerarse “no cooperantes” a aquellos países, dominios, jurisdicciones, territorios, estados asociados y regímenes tributarios, que no figuren en el listado.</w:t>
      </w:r>
    </w:p>
    <w:p w14:paraId="6C45C4A6" w14:textId="77777777" w:rsidR="00135CC9" w:rsidRDefault="00135CC9" w:rsidP="00135CC9">
      <w:pPr>
        <w:pStyle w:val="Encabezado"/>
        <w:rPr>
          <w:rFonts w:ascii="Times New Roman" w:hAnsi="Times New Roman"/>
          <w:sz w:val="22"/>
          <w:szCs w:val="22"/>
        </w:rPr>
      </w:pPr>
    </w:p>
    <w:p w14:paraId="4B9605BF"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Tampoco regirá lo dispuesto en su artículo 28 ni en el artículo 106 de la Ley de Procedimiento Fiscal -Ley Nº 11.683-, en cuanto subordinan los efectos de exenciones o desgravaciones (totales o parciales) del Impuesto a las Ganancias, en la medida que de ello pudiera resultar una transferencia de ingresos a fiscos extranjeros. </w:t>
      </w:r>
    </w:p>
    <w:p w14:paraId="55674A86" w14:textId="77777777" w:rsidR="00135CC9" w:rsidRPr="00A77A44" w:rsidRDefault="00135CC9" w:rsidP="00135CC9">
      <w:pPr>
        <w:rPr>
          <w:rFonts w:ascii="Times New Roman" w:hAnsi="Times New Roman" w:cs="Times New Roman"/>
          <w:sz w:val="22"/>
          <w:szCs w:val="22"/>
        </w:rPr>
      </w:pPr>
    </w:p>
    <w:p w14:paraId="76A2E439" w14:textId="77777777" w:rsidR="00135CC9" w:rsidRPr="00A77A44" w:rsidRDefault="00135CC9" w:rsidP="00135CC9">
      <w:pPr>
        <w:tabs>
          <w:tab w:val="center" w:pos="4252"/>
          <w:tab w:val="right" w:pos="8504"/>
        </w:tabs>
        <w:rPr>
          <w:rFonts w:ascii="Times New Roman" w:hAnsi="Times New Roman" w:cs="Times New Roman"/>
          <w:sz w:val="22"/>
          <w:szCs w:val="22"/>
          <w:u w:val="single"/>
        </w:rPr>
      </w:pPr>
      <w:r w:rsidRPr="00A77A44">
        <w:rPr>
          <w:rFonts w:ascii="Times New Roman" w:hAnsi="Times New Roman" w:cs="Times New Roman"/>
          <w:sz w:val="22"/>
          <w:szCs w:val="22"/>
          <w:u w:val="single"/>
        </w:rPr>
        <w:t>Resultados derivados de la compraventa de los Valores Fiduciarios.</w:t>
      </w:r>
    </w:p>
    <w:p w14:paraId="621A4DF9" w14:textId="77777777" w:rsidR="00135CC9" w:rsidRPr="00A77A44" w:rsidRDefault="00135CC9" w:rsidP="00135CC9">
      <w:pPr>
        <w:tabs>
          <w:tab w:val="center" w:pos="4252"/>
          <w:tab w:val="right" w:pos="8504"/>
        </w:tabs>
        <w:rPr>
          <w:rFonts w:ascii="Times New Roman" w:hAnsi="Times New Roman" w:cs="Times New Roman"/>
          <w:sz w:val="22"/>
          <w:szCs w:val="22"/>
        </w:rPr>
      </w:pPr>
    </w:p>
    <w:p w14:paraId="262E3F9F" w14:textId="77777777" w:rsidR="00135CC9" w:rsidRPr="00A90903" w:rsidRDefault="00135CC9" w:rsidP="00135CC9">
      <w:pPr>
        <w:rPr>
          <w:rFonts w:ascii="Times New Roman" w:hAnsi="Times New Roman" w:cs="Times New Roman"/>
          <w:i/>
          <w:iCs/>
          <w:sz w:val="22"/>
          <w:szCs w:val="22"/>
        </w:rPr>
      </w:pPr>
      <w:r w:rsidRPr="00A90903">
        <w:rPr>
          <w:rFonts w:ascii="Times New Roman" w:hAnsi="Times New Roman" w:cs="Times New Roman"/>
          <w:i/>
          <w:iCs/>
          <w:sz w:val="22"/>
          <w:szCs w:val="22"/>
        </w:rPr>
        <w:t>Personas humanas residentes</w:t>
      </w:r>
    </w:p>
    <w:p w14:paraId="574B7B65" w14:textId="77777777" w:rsidR="00135CC9" w:rsidRPr="00A90903" w:rsidRDefault="00135CC9" w:rsidP="00135CC9">
      <w:pPr>
        <w:rPr>
          <w:rFonts w:ascii="Times New Roman" w:hAnsi="Times New Roman" w:cs="Times New Roman"/>
          <w:color w:val="000000"/>
          <w:sz w:val="22"/>
          <w:szCs w:val="22"/>
          <w:lang w:eastAsia="es-AR"/>
        </w:rPr>
      </w:pPr>
    </w:p>
    <w:p w14:paraId="05C9BA38" w14:textId="77777777" w:rsidR="00135CC9" w:rsidRPr="00A90903" w:rsidRDefault="00135CC9" w:rsidP="00135CC9">
      <w:pPr>
        <w:rPr>
          <w:rFonts w:ascii="Times New Roman" w:hAnsi="Times New Roman" w:cs="Times New Roman"/>
          <w:color w:val="000000"/>
          <w:sz w:val="22"/>
          <w:szCs w:val="22"/>
          <w:lang w:eastAsia="es-AR"/>
        </w:rPr>
      </w:pPr>
      <w:r w:rsidRPr="00A90903">
        <w:rPr>
          <w:rFonts w:ascii="Times New Roman" w:hAnsi="Times New Roman" w:cs="Times New Roman"/>
          <w:color w:val="000000"/>
          <w:sz w:val="22"/>
          <w:szCs w:val="22"/>
          <w:lang w:eastAsia="es-AR"/>
        </w:rPr>
        <w:t>A partir de la publicación de la Ley 27.541 de Solidaridad Social y Reactivación Productiva, el Impuesto a la Renta Financiera aplicable durante los periodos fiscales 2018 y 2019 ha sido derogado para el ejercicio fiscal 2020</w:t>
      </w:r>
      <w:r w:rsidRPr="008A3A16">
        <w:rPr>
          <w:rFonts w:ascii="Times New Roman" w:hAnsi="Times New Roman" w:cs="Times New Roman"/>
          <w:snapToGrid w:val="0"/>
          <w:sz w:val="22"/>
          <w:szCs w:val="22"/>
          <w:vertAlign w:val="superscript"/>
        </w:rPr>
        <w:footnoteReference w:id="8"/>
      </w:r>
      <w:r w:rsidRPr="00A90903">
        <w:rPr>
          <w:rFonts w:ascii="Times New Roman" w:hAnsi="Times New Roman" w:cs="Times New Roman"/>
          <w:color w:val="000000"/>
          <w:sz w:val="22"/>
          <w:szCs w:val="22"/>
          <w:lang w:eastAsia="es-AR"/>
        </w:rPr>
        <w:t>, motivo por el cual se restableció la exención para el caso de los resultados por compraventa, cambio, permuta o disposición de Certificados de Participación obtenidos por personas físicas, sucesiones indivisas y beneficiarios del exterior, en la medida que coticen en bolsas o mercados de valores autorizados por la Comisión Nacional de Valores, sin que resulte de aplicación el art. 109 de la Ley del Impuesto a las Ganancias.</w:t>
      </w:r>
    </w:p>
    <w:p w14:paraId="26F9B8BB" w14:textId="77777777" w:rsidR="00135CC9" w:rsidRPr="00A90903" w:rsidRDefault="00135CC9" w:rsidP="00135CC9">
      <w:pPr>
        <w:autoSpaceDE w:val="0"/>
        <w:autoSpaceDN w:val="0"/>
        <w:adjustRightInd w:val="0"/>
        <w:spacing w:line="360" w:lineRule="auto"/>
        <w:rPr>
          <w:rFonts w:ascii="Times New Roman" w:hAnsi="Times New Roman" w:cs="Times New Roman"/>
          <w:sz w:val="22"/>
          <w:szCs w:val="22"/>
        </w:rPr>
      </w:pPr>
    </w:p>
    <w:p w14:paraId="5530B539" w14:textId="77777777" w:rsidR="00135CC9" w:rsidRPr="00A90903" w:rsidRDefault="00135CC9" w:rsidP="00135CC9">
      <w:pPr>
        <w:rPr>
          <w:rFonts w:ascii="Times New Roman" w:hAnsi="Times New Roman" w:cs="Times New Roman"/>
          <w:color w:val="000000"/>
          <w:sz w:val="22"/>
          <w:szCs w:val="22"/>
          <w:lang w:eastAsia="es-AR"/>
        </w:rPr>
      </w:pPr>
      <w:r w:rsidRPr="00A90903">
        <w:rPr>
          <w:rFonts w:ascii="Times New Roman" w:hAnsi="Times New Roman" w:cs="Times New Roman"/>
          <w:color w:val="000000"/>
          <w:sz w:val="22"/>
          <w:szCs w:val="22"/>
          <w:lang w:eastAsia="es-AR"/>
        </w:rPr>
        <w:t>Por otro lado, recientemente por medio de las publicaciones de la Ley 27.638 y su reglamentación Decreto 621/2021, amplían la exención para las personas humanas y sucesiones indivisas residentes en el país mencionada en el inciso h) del artículo 26 de la Ley del Impuesto a las Ganancias sobre los intereses o la denominación que tuviere el rendimiento producto de la colocación de capital en los instrumentos emitidos en moneda nacional destinados al fomento de la inversión productiva en la REPÚBLICA ARGENTINA, entendiéndose por ello la inversión y/o el financiamiento directo o indirecto en proyectos productivos, inmobiliarios y/o de infraestructura destinados a distintas actividades económicas comprendidas en los sectores productores de bienes y servicios, tales como agropecuarios, ganaderos, forestales, inmobiliarios, telecomunicaciones, infraestructura, energía, logística, economías sustentables, promoción del capital emprendedor, pesca, desarrollo de tecnología y bienes de capital, investigación y aplicación de tecnología a la medicina y salud, ciencia e investigación aplicada, extracción, producción, procesamiento y/o transporte de materias primas, desarrollo de productos y servicios informáticos, como así también al financiamiento de las Micro, Pequeñas y Medianas Empresas comprendidas en los términos del artículo 2° de la Ley N° 24.467 y sus modificatorias, siempre que no estén incluidas en el primer párrafo de dicho inciso.</w:t>
      </w:r>
    </w:p>
    <w:p w14:paraId="48A53D00" w14:textId="77777777" w:rsidR="00135CC9" w:rsidRPr="00A90903" w:rsidRDefault="00135CC9" w:rsidP="00135CC9">
      <w:pPr>
        <w:rPr>
          <w:rFonts w:ascii="Times New Roman" w:hAnsi="Times New Roman" w:cs="Times New Roman"/>
          <w:color w:val="000000"/>
          <w:sz w:val="22"/>
          <w:szCs w:val="22"/>
          <w:lang w:eastAsia="es-AR"/>
        </w:rPr>
      </w:pPr>
    </w:p>
    <w:p w14:paraId="0621F50E" w14:textId="77777777" w:rsidR="00135CC9" w:rsidRPr="00A90903" w:rsidRDefault="00135CC9" w:rsidP="00135CC9">
      <w:pPr>
        <w:rPr>
          <w:rFonts w:ascii="Times New Roman" w:hAnsi="Times New Roman" w:cs="Times New Roman"/>
          <w:color w:val="000000"/>
          <w:sz w:val="22"/>
          <w:szCs w:val="22"/>
          <w:lang w:eastAsia="es-AR"/>
        </w:rPr>
      </w:pPr>
      <w:r w:rsidRPr="00A90903">
        <w:rPr>
          <w:rFonts w:ascii="Times New Roman" w:hAnsi="Times New Roman" w:cs="Times New Roman"/>
          <w:color w:val="000000"/>
          <w:sz w:val="22"/>
          <w:szCs w:val="22"/>
          <w:lang w:eastAsia="es-AR"/>
        </w:rPr>
        <w:t>En el caso que nos ocupa, siendo que aplica el primer párrafo del artículo 26 inciso h (restitución de exenciones), la exención opera con anterioridad en virtud de esto, y no de las nuevas disposiciones.</w:t>
      </w:r>
    </w:p>
    <w:p w14:paraId="5FC2DB92" w14:textId="77777777" w:rsidR="00135CC9" w:rsidRPr="00A2024E" w:rsidRDefault="00135CC9" w:rsidP="00135CC9">
      <w:pPr>
        <w:pStyle w:val="Encabezado"/>
        <w:rPr>
          <w:rFonts w:ascii="Times New Roman" w:hAnsi="Times New Roman"/>
          <w:sz w:val="22"/>
          <w:szCs w:val="22"/>
        </w:rPr>
      </w:pPr>
    </w:p>
    <w:p w14:paraId="516E66CD" w14:textId="77777777" w:rsidR="00135CC9" w:rsidRPr="00A90903" w:rsidRDefault="00135CC9" w:rsidP="00135CC9">
      <w:pPr>
        <w:rPr>
          <w:rFonts w:ascii="Times New Roman" w:hAnsi="Times New Roman" w:cs="Times New Roman"/>
          <w:i/>
          <w:iCs/>
          <w:sz w:val="22"/>
          <w:szCs w:val="22"/>
        </w:rPr>
      </w:pPr>
      <w:r w:rsidRPr="00A90903">
        <w:rPr>
          <w:rFonts w:ascii="Times New Roman" w:hAnsi="Times New Roman" w:cs="Times New Roman"/>
          <w:i/>
          <w:iCs/>
          <w:sz w:val="22"/>
          <w:szCs w:val="22"/>
        </w:rPr>
        <w:t>Personas jurídicas residentes</w:t>
      </w:r>
    </w:p>
    <w:p w14:paraId="136A9C7E" w14:textId="77777777" w:rsidR="00135CC9" w:rsidRDefault="00135CC9" w:rsidP="00135CC9">
      <w:pPr>
        <w:pStyle w:val="Encabezado"/>
        <w:rPr>
          <w:rFonts w:ascii="Times New Roman" w:hAnsi="Times New Roman"/>
          <w:sz w:val="22"/>
          <w:szCs w:val="22"/>
        </w:rPr>
      </w:pPr>
    </w:p>
    <w:p w14:paraId="7C025554" w14:textId="77777777" w:rsidR="00135CC9" w:rsidRDefault="00135CC9" w:rsidP="00135CC9">
      <w:pPr>
        <w:pStyle w:val="Encabezado"/>
        <w:rPr>
          <w:rFonts w:ascii="Times New Roman" w:hAnsi="Times New Roman"/>
          <w:sz w:val="22"/>
          <w:szCs w:val="22"/>
        </w:rPr>
      </w:pPr>
      <w:r>
        <w:rPr>
          <w:rFonts w:ascii="Times New Roman" w:hAnsi="Times New Roman"/>
          <w:sz w:val="22"/>
          <w:szCs w:val="22"/>
        </w:rPr>
        <w:t>Por su parte l</w:t>
      </w:r>
      <w:r w:rsidRPr="00A77A44">
        <w:rPr>
          <w:rFonts w:ascii="Times New Roman" w:hAnsi="Times New Roman"/>
          <w:sz w:val="22"/>
          <w:szCs w:val="22"/>
        </w:rPr>
        <w:t xml:space="preserve">as personas jurídicas tributarán el gravamen a las </w:t>
      </w:r>
      <w:r>
        <w:rPr>
          <w:rFonts w:ascii="Times New Roman" w:hAnsi="Times New Roman"/>
          <w:sz w:val="22"/>
          <w:szCs w:val="22"/>
        </w:rPr>
        <w:t>siguientes</w:t>
      </w:r>
      <w:r w:rsidRPr="00A77A44">
        <w:rPr>
          <w:rFonts w:ascii="Times New Roman" w:hAnsi="Times New Roman"/>
          <w:sz w:val="22"/>
          <w:szCs w:val="22"/>
        </w:rPr>
        <w:t xml:space="preserve"> </w:t>
      </w:r>
      <w:bookmarkStart w:id="97" w:name="_Hlk124857974"/>
      <w:r w:rsidRPr="00A77A44">
        <w:rPr>
          <w:rFonts w:ascii="Times New Roman" w:hAnsi="Times New Roman"/>
          <w:sz w:val="22"/>
          <w:szCs w:val="22"/>
        </w:rPr>
        <w:t xml:space="preserve">alícuotas </w:t>
      </w:r>
      <w:r>
        <w:rPr>
          <w:rFonts w:ascii="Times New Roman" w:hAnsi="Times New Roman"/>
          <w:sz w:val="22"/>
          <w:szCs w:val="22"/>
        </w:rPr>
        <w:t>actualizadas conforme el Índice de Precios al Consumidor  -IPC- tal cual lo dispone el artículo 73° de la Ley del Impuesto a las Ganancias , publicadas por la AFIP, las cuales resultan de aplicación a partir del 01/01/2023, según el siguiente detalle:</w:t>
      </w:r>
    </w:p>
    <w:bookmarkEnd w:id="97"/>
    <w:p w14:paraId="00906344" w14:textId="77777777" w:rsidR="00135CC9" w:rsidRDefault="00135CC9" w:rsidP="00135CC9">
      <w:pPr>
        <w:pStyle w:val="Encabezado"/>
        <w:rPr>
          <w:rFonts w:ascii="Times New Roman" w:hAnsi="Times New Roman"/>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3"/>
        <w:gridCol w:w="1701"/>
        <w:gridCol w:w="1985"/>
        <w:gridCol w:w="1276"/>
        <w:gridCol w:w="1569"/>
      </w:tblGrid>
      <w:tr w:rsidR="00135CC9" w:rsidRPr="001E5586" w14:paraId="525F88E6" w14:textId="77777777" w:rsidTr="00FA326B">
        <w:trPr>
          <w:trHeight w:val="675"/>
        </w:trPr>
        <w:tc>
          <w:tcPr>
            <w:tcW w:w="3954" w:type="dxa"/>
            <w:gridSpan w:val="2"/>
            <w:shd w:val="clear" w:color="auto" w:fill="AEAAAA"/>
            <w:vAlign w:val="center"/>
            <w:hideMark/>
          </w:tcPr>
          <w:p w14:paraId="3E3CE2F9" w14:textId="77777777" w:rsidR="00135CC9" w:rsidRPr="004E3394" w:rsidRDefault="00135CC9" w:rsidP="00FA326B">
            <w:pPr>
              <w:jc w:val="center"/>
              <w:rPr>
                <w:rFonts w:ascii="Times New Roman" w:hAnsi="Times New Roman" w:cs="Times New Roman"/>
                <w:b/>
                <w:bCs/>
                <w:color w:val="000000"/>
                <w:sz w:val="20"/>
                <w:szCs w:val="22"/>
                <w:lang w:val="es-AR" w:eastAsia="es-AR"/>
              </w:rPr>
            </w:pPr>
            <w:r w:rsidRPr="004E3394">
              <w:rPr>
                <w:rFonts w:ascii="Times New Roman" w:hAnsi="Times New Roman" w:cs="Times New Roman"/>
                <w:b/>
                <w:bCs/>
                <w:color w:val="000000"/>
                <w:sz w:val="20"/>
                <w:szCs w:val="22"/>
              </w:rPr>
              <w:t>GANANCIA NETA IMPONIBLE ACUMULADA</w:t>
            </w:r>
          </w:p>
        </w:tc>
        <w:tc>
          <w:tcPr>
            <w:tcW w:w="1985" w:type="dxa"/>
            <w:vMerge w:val="restart"/>
            <w:shd w:val="clear" w:color="auto" w:fill="AEAAAA"/>
            <w:noWrap/>
            <w:vAlign w:val="center"/>
            <w:hideMark/>
          </w:tcPr>
          <w:p w14:paraId="40DC37EF"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PAGARÁN</w:t>
            </w:r>
          </w:p>
        </w:tc>
        <w:tc>
          <w:tcPr>
            <w:tcW w:w="1276" w:type="dxa"/>
            <w:vMerge w:val="restart"/>
            <w:shd w:val="clear" w:color="auto" w:fill="AEAAAA"/>
            <w:noWrap/>
            <w:vAlign w:val="center"/>
            <w:hideMark/>
          </w:tcPr>
          <w:p w14:paraId="5B5AAA15"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EL %</w:t>
            </w:r>
          </w:p>
        </w:tc>
        <w:tc>
          <w:tcPr>
            <w:tcW w:w="1569" w:type="dxa"/>
            <w:vMerge w:val="restart"/>
            <w:shd w:val="clear" w:color="auto" w:fill="AEAAAA"/>
            <w:noWrap/>
            <w:vAlign w:val="center"/>
            <w:hideMark/>
          </w:tcPr>
          <w:p w14:paraId="403BD4CD"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SOBRE EL EXCEDENTE DE $</w:t>
            </w:r>
          </w:p>
        </w:tc>
      </w:tr>
      <w:tr w:rsidR="00135CC9" w:rsidRPr="001E5586" w14:paraId="29575A69" w14:textId="77777777" w:rsidTr="00FA326B">
        <w:trPr>
          <w:trHeight w:val="315"/>
        </w:trPr>
        <w:tc>
          <w:tcPr>
            <w:tcW w:w="2253" w:type="dxa"/>
            <w:shd w:val="clear" w:color="auto" w:fill="AEAAAA"/>
            <w:vAlign w:val="center"/>
            <w:hideMark/>
          </w:tcPr>
          <w:p w14:paraId="3613C3E2"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DE $</w:t>
            </w:r>
          </w:p>
        </w:tc>
        <w:tc>
          <w:tcPr>
            <w:tcW w:w="1701" w:type="dxa"/>
            <w:shd w:val="clear" w:color="auto" w:fill="AEAAAA"/>
            <w:vAlign w:val="center"/>
            <w:hideMark/>
          </w:tcPr>
          <w:p w14:paraId="2F4E9742"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A $</w:t>
            </w:r>
          </w:p>
        </w:tc>
        <w:tc>
          <w:tcPr>
            <w:tcW w:w="0" w:type="auto"/>
            <w:vMerge/>
            <w:vAlign w:val="center"/>
            <w:hideMark/>
          </w:tcPr>
          <w:p w14:paraId="750D96DD" w14:textId="77777777" w:rsidR="00135CC9" w:rsidRPr="004E3394" w:rsidRDefault="00135CC9" w:rsidP="00FA326B">
            <w:pPr>
              <w:rPr>
                <w:rFonts w:ascii="Times New Roman" w:eastAsia="Times New Roman" w:hAnsi="Times New Roman" w:cs="Times New Roman"/>
                <w:b/>
                <w:bCs/>
                <w:color w:val="000000"/>
                <w:sz w:val="20"/>
                <w:szCs w:val="22"/>
              </w:rPr>
            </w:pPr>
          </w:p>
        </w:tc>
        <w:tc>
          <w:tcPr>
            <w:tcW w:w="0" w:type="auto"/>
            <w:vMerge/>
            <w:vAlign w:val="center"/>
            <w:hideMark/>
          </w:tcPr>
          <w:p w14:paraId="25619EF6" w14:textId="77777777" w:rsidR="00135CC9" w:rsidRPr="004E3394" w:rsidRDefault="00135CC9" w:rsidP="00FA326B">
            <w:pPr>
              <w:rPr>
                <w:rFonts w:ascii="Times New Roman" w:eastAsia="Times New Roman" w:hAnsi="Times New Roman" w:cs="Times New Roman"/>
                <w:b/>
                <w:bCs/>
                <w:color w:val="000000"/>
                <w:sz w:val="20"/>
                <w:szCs w:val="22"/>
              </w:rPr>
            </w:pPr>
          </w:p>
        </w:tc>
        <w:tc>
          <w:tcPr>
            <w:tcW w:w="1569" w:type="dxa"/>
            <w:vMerge/>
            <w:vAlign w:val="center"/>
            <w:hideMark/>
          </w:tcPr>
          <w:p w14:paraId="2D1C14D1" w14:textId="77777777" w:rsidR="00135CC9" w:rsidRPr="004E3394" w:rsidRDefault="00135CC9" w:rsidP="00FA326B">
            <w:pPr>
              <w:rPr>
                <w:rFonts w:ascii="Times New Roman" w:eastAsia="Times New Roman" w:hAnsi="Times New Roman" w:cs="Times New Roman"/>
                <w:b/>
                <w:bCs/>
                <w:color w:val="000000"/>
                <w:sz w:val="20"/>
                <w:szCs w:val="22"/>
              </w:rPr>
            </w:pPr>
          </w:p>
        </w:tc>
      </w:tr>
      <w:tr w:rsidR="00135CC9" w:rsidRPr="001E5586" w14:paraId="7AE6465D" w14:textId="77777777" w:rsidTr="00FA326B">
        <w:trPr>
          <w:trHeight w:val="315"/>
        </w:trPr>
        <w:tc>
          <w:tcPr>
            <w:tcW w:w="2253" w:type="dxa"/>
            <w:shd w:val="clear" w:color="auto" w:fill="FAFBFC"/>
            <w:vAlign w:val="center"/>
            <w:hideMark/>
          </w:tcPr>
          <w:p w14:paraId="173448BC"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701" w:type="dxa"/>
            <w:shd w:val="clear" w:color="auto" w:fill="FAFBFC"/>
            <w:vAlign w:val="center"/>
            <w:hideMark/>
          </w:tcPr>
          <w:p w14:paraId="4BD71EED"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985" w:type="dxa"/>
            <w:shd w:val="clear" w:color="auto" w:fill="FAFBFC"/>
            <w:vAlign w:val="center"/>
            <w:hideMark/>
          </w:tcPr>
          <w:p w14:paraId="16CA40A5"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276" w:type="dxa"/>
            <w:shd w:val="clear" w:color="auto" w:fill="FAFBFC"/>
            <w:vAlign w:val="center"/>
            <w:hideMark/>
          </w:tcPr>
          <w:p w14:paraId="681EA58C"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25%</w:t>
            </w:r>
          </w:p>
        </w:tc>
        <w:tc>
          <w:tcPr>
            <w:tcW w:w="1569" w:type="dxa"/>
            <w:shd w:val="clear" w:color="auto" w:fill="FAFBFC"/>
            <w:vAlign w:val="center"/>
            <w:hideMark/>
          </w:tcPr>
          <w:p w14:paraId="7AC1E11E"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r>
      <w:tr w:rsidR="00135CC9" w:rsidRPr="001E5586" w14:paraId="16AE0385" w14:textId="77777777" w:rsidTr="00FA326B">
        <w:trPr>
          <w:trHeight w:val="300"/>
        </w:trPr>
        <w:tc>
          <w:tcPr>
            <w:tcW w:w="2253" w:type="dxa"/>
            <w:shd w:val="clear" w:color="auto" w:fill="FAFBFC"/>
            <w:vAlign w:val="center"/>
            <w:hideMark/>
          </w:tcPr>
          <w:p w14:paraId="6F265166"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701" w:type="dxa"/>
            <w:shd w:val="clear" w:color="auto" w:fill="FAFBFC"/>
            <w:vAlign w:val="center"/>
            <w:hideMark/>
          </w:tcPr>
          <w:p w14:paraId="2C0D9A63"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985" w:type="dxa"/>
            <w:shd w:val="clear" w:color="auto" w:fill="FAFBFC"/>
            <w:vAlign w:val="center"/>
            <w:hideMark/>
          </w:tcPr>
          <w:p w14:paraId="20E883D6"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$ 3.575.302,30</w:t>
            </w:r>
          </w:p>
        </w:tc>
        <w:tc>
          <w:tcPr>
            <w:tcW w:w="1276" w:type="dxa"/>
            <w:shd w:val="clear" w:color="auto" w:fill="FAFBFC"/>
            <w:vAlign w:val="center"/>
            <w:hideMark/>
          </w:tcPr>
          <w:p w14:paraId="1316613E"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30%</w:t>
            </w:r>
          </w:p>
        </w:tc>
        <w:tc>
          <w:tcPr>
            <w:tcW w:w="1569" w:type="dxa"/>
            <w:shd w:val="clear" w:color="auto" w:fill="FAFBFC"/>
            <w:vAlign w:val="center"/>
            <w:hideMark/>
          </w:tcPr>
          <w:p w14:paraId="5C9D3959"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r>
      <w:tr w:rsidR="00135CC9" w:rsidRPr="001E5586" w14:paraId="04B2282D" w14:textId="77777777" w:rsidTr="00FA326B">
        <w:trPr>
          <w:trHeight w:val="315"/>
        </w:trPr>
        <w:tc>
          <w:tcPr>
            <w:tcW w:w="2253" w:type="dxa"/>
            <w:shd w:val="clear" w:color="auto" w:fill="FAFBFC"/>
            <w:vAlign w:val="center"/>
            <w:hideMark/>
          </w:tcPr>
          <w:p w14:paraId="2CC9C64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701" w:type="dxa"/>
            <w:shd w:val="clear" w:color="auto" w:fill="FAFBFC"/>
            <w:vAlign w:val="center"/>
            <w:hideMark/>
          </w:tcPr>
          <w:p w14:paraId="53C87E23"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En adelante</w:t>
            </w:r>
          </w:p>
        </w:tc>
        <w:tc>
          <w:tcPr>
            <w:tcW w:w="1985" w:type="dxa"/>
            <w:shd w:val="clear" w:color="auto" w:fill="FAFBFC"/>
            <w:vAlign w:val="center"/>
            <w:hideMark/>
          </w:tcPr>
          <w:p w14:paraId="4D9BF794"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$ 42.188.567,16</w:t>
            </w:r>
          </w:p>
        </w:tc>
        <w:tc>
          <w:tcPr>
            <w:tcW w:w="1276" w:type="dxa"/>
            <w:shd w:val="clear" w:color="auto" w:fill="FAFBFC"/>
            <w:vAlign w:val="center"/>
            <w:hideMark/>
          </w:tcPr>
          <w:p w14:paraId="7375D40F"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35%</w:t>
            </w:r>
          </w:p>
        </w:tc>
        <w:tc>
          <w:tcPr>
            <w:tcW w:w="1569" w:type="dxa"/>
            <w:shd w:val="clear" w:color="auto" w:fill="FAFBFC"/>
            <w:vAlign w:val="center"/>
            <w:hideMark/>
          </w:tcPr>
          <w:p w14:paraId="0A5547DA"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r>
    </w:tbl>
    <w:p w14:paraId="41BBFFBE" w14:textId="77777777" w:rsidR="00135CC9" w:rsidRDefault="00135CC9" w:rsidP="00135CC9">
      <w:pPr>
        <w:pStyle w:val="Encabezado"/>
        <w:rPr>
          <w:rFonts w:ascii="Times New Roman" w:hAnsi="Times New Roman"/>
          <w:sz w:val="22"/>
          <w:szCs w:val="22"/>
        </w:rPr>
      </w:pPr>
    </w:p>
    <w:p w14:paraId="644EFB1B" w14:textId="77777777" w:rsidR="00135CC9" w:rsidRDefault="00135CC9" w:rsidP="00135CC9">
      <w:pPr>
        <w:pStyle w:val="Encabezado"/>
        <w:rPr>
          <w:rFonts w:ascii="Times New Roman" w:hAnsi="Times New Roman" w:cs="Arial"/>
          <w:sz w:val="22"/>
          <w:szCs w:val="22"/>
        </w:rPr>
      </w:pPr>
    </w:p>
    <w:p w14:paraId="450427E7" w14:textId="77777777" w:rsidR="00135CC9" w:rsidRDefault="00135CC9" w:rsidP="00135CC9">
      <w:pPr>
        <w:pStyle w:val="Encabezado"/>
        <w:rPr>
          <w:rFonts w:ascii="Times New Roman" w:hAnsi="Times New Roman"/>
          <w:sz w:val="22"/>
          <w:szCs w:val="22"/>
        </w:rPr>
      </w:pPr>
      <w:r w:rsidRPr="00A77A44">
        <w:rPr>
          <w:rFonts w:ascii="Times New Roman" w:hAnsi="Times New Roman"/>
          <w:sz w:val="22"/>
          <w:szCs w:val="22"/>
        </w:rPr>
        <w:t>Los citados montos se ajustarán anualmente, considerando la variación anual del Índice de Precios al Consumidor (IPC), correspondiente al mes de octubre del año anterior al del ajuste, respecto del mismo mes del año anterior. Los montos determinados por aplicación del mecanismo descripto resultarán de aplicación para los ejercicios fiscales que se inicien con posterioridad a cada actualización.</w:t>
      </w:r>
    </w:p>
    <w:p w14:paraId="4B7BB4BD" w14:textId="77777777" w:rsidR="00135CC9" w:rsidRDefault="00135CC9" w:rsidP="00135CC9">
      <w:pPr>
        <w:pStyle w:val="Encabezado"/>
        <w:rPr>
          <w:rFonts w:ascii="Times New Roman" w:hAnsi="Times New Roman"/>
          <w:sz w:val="22"/>
          <w:szCs w:val="22"/>
        </w:rPr>
      </w:pPr>
    </w:p>
    <w:p w14:paraId="63D19F1C"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Cuando se trate de </w:t>
      </w:r>
      <w:r w:rsidRPr="00A77A44">
        <w:rPr>
          <w:rFonts w:ascii="Times New Roman" w:hAnsi="Times New Roman"/>
          <w:b/>
          <w:sz w:val="22"/>
          <w:szCs w:val="22"/>
        </w:rPr>
        <w:t>beneficiarios del exterior</w:t>
      </w:r>
      <w:r w:rsidRPr="00A77A44">
        <w:rPr>
          <w:rFonts w:ascii="Times New Roman" w:hAnsi="Times New Roman"/>
          <w:sz w:val="22"/>
          <w:szCs w:val="22"/>
        </w:rPr>
        <w:t xml:space="preserve"> comprendidos en el Título V de la Ley del Impuesto a las Ganancias, en la medida de que tales beneficiarios no residan en jurisdicciones no cooperantes o los fondos invertidos no provengan de jurisdicciones no cooperantes, los intereses o rendimientos y los resultados provenientes de la compraventa, cambio, permuta o disposición de </w:t>
      </w:r>
      <w:r w:rsidRPr="00A77A44">
        <w:rPr>
          <w:rFonts w:ascii="Times New Roman" w:hAnsi="Times New Roman"/>
          <w:b/>
          <w:sz w:val="22"/>
          <w:szCs w:val="22"/>
        </w:rPr>
        <w:t>títulos de deuda</w:t>
      </w:r>
      <w:r w:rsidRPr="00A77A44">
        <w:rPr>
          <w:rFonts w:ascii="Times New Roman" w:hAnsi="Times New Roman"/>
          <w:sz w:val="22"/>
          <w:szCs w:val="22"/>
        </w:rPr>
        <w:t xml:space="preserve"> de fideicomisos financieros constituidos en el país conforme a las disposiciones del CCCN, colocados por oferta pública mantendrán la exención en el Impuesto a las Ganancias</w:t>
      </w:r>
      <w:r w:rsidRPr="00A77A44">
        <w:rPr>
          <w:rStyle w:val="Refdenotaalpie"/>
          <w:rFonts w:ascii="Times New Roman" w:hAnsi="Times New Roman"/>
          <w:sz w:val="22"/>
          <w:szCs w:val="22"/>
        </w:rPr>
        <w:footnoteReference w:id="9"/>
      </w:r>
      <w:r w:rsidRPr="00A77A44">
        <w:rPr>
          <w:rFonts w:ascii="Times New Roman" w:hAnsi="Times New Roman"/>
          <w:sz w:val="22"/>
          <w:szCs w:val="22"/>
        </w:rPr>
        <w:t xml:space="preserve">. </w:t>
      </w:r>
    </w:p>
    <w:p w14:paraId="7BD1D6F3" w14:textId="77777777" w:rsidR="00135CC9" w:rsidRPr="00A77A44" w:rsidRDefault="00135CC9" w:rsidP="00135CC9">
      <w:pPr>
        <w:pStyle w:val="Encabezado"/>
        <w:rPr>
          <w:rFonts w:ascii="Times New Roman" w:hAnsi="Times New Roman"/>
          <w:sz w:val="22"/>
          <w:szCs w:val="22"/>
        </w:rPr>
      </w:pPr>
    </w:p>
    <w:p w14:paraId="3C302A0E"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Sobre tales sujetos, no regirá lo dispuesto en su artículo 28 ni en el artículo 106 de la Ley de Procedimiento Fiscal -Ley Nº 11.683-, en cuanto subordinan los efectos de exenciones o desgravaciones (totales o parciales) del Impuesto a las Ganancias, en la medida que de ello pudiera resultar una transferencia de ingresos a fiscos extranjeros. </w:t>
      </w:r>
    </w:p>
    <w:p w14:paraId="1ECA25A4" w14:textId="77777777" w:rsidR="00135CC9" w:rsidRPr="00A77A44" w:rsidRDefault="00135CC9" w:rsidP="00135CC9">
      <w:pPr>
        <w:rPr>
          <w:rFonts w:ascii="Times New Roman" w:hAnsi="Times New Roman" w:cs="Times New Roman"/>
          <w:sz w:val="22"/>
          <w:szCs w:val="22"/>
        </w:rPr>
      </w:pPr>
    </w:p>
    <w:p w14:paraId="4C12D427" w14:textId="77777777" w:rsidR="00135CC9" w:rsidRPr="00A77A44" w:rsidRDefault="00135CC9" w:rsidP="00135CC9">
      <w:pPr>
        <w:tabs>
          <w:tab w:val="center" w:pos="4252"/>
          <w:tab w:val="right" w:pos="8504"/>
        </w:tabs>
        <w:rPr>
          <w:rFonts w:ascii="Times New Roman" w:hAnsi="Times New Roman" w:cs="Times New Roman"/>
          <w:sz w:val="22"/>
          <w:szCs w:val="22"/>
          <w:u w:val="single"/>
        </w:rPr>
      </w:pPr>
      <w:r w:rsidRPr="00A77A44">
        <w:rPr>
          <w:rFonts w:ascii="Times New Roman" w:hAnsi="Times New Roman" w:cs="Times New Roman"/>
          <w:sz w:val="22"/>
          <w:szCs w:val="22"/>
          <w:u w:val="single"/>
        </w:rPr>
        <w:t>Utilidades de los Certificados de Participación</w:t>
      </w:r>
    </w:p>
    <w:p w14:paraId="0961B244" w14:textId="77777777" w:rsidR="00135CC9" w:rsidRPr="00A77A44" w:rsidRDefault="00135CC9" w:rsidP="00135CC9">
      <w:pPr>
        <w:tabs>
          <w:tab w:val="center" w:pos="4252"/>
          <w:tab w:val="right" w:pos="8504"/>
        </w:tabs>
        <w:rPr>
          <w:rFonts w:ascii="Times New Roman" w:hAnsi="Times New Roman" w:cs="Times New Roman"/>
          <w:sz w:val="22"/>
          <w:szCs w:val="22"/>
        </w:rPr>
      </w:pPr>
    </w:p>
    <w:p w14:paraId="040082DE" w14:textId="77777777" w:rsidR="00135CC9" w:rsidRPr="00A77A44" w:rsidRDefault="00135CC9" w:rsidP="00135CC9">
      <w:pPr>
        <w:pStyle w:val="Encabezado"/>
        <w:tabs>
          <w:tab w:val="left" w:pos="708"/>
        </w:tabs>
        <w:rPr>
          <w:rFonts w:ascii="Times New Roman" w:hAnsi="Times New Roman"/>
          <w:sz w:val="22"/>
          <w:szCs w:val="22"/>
        </w:rPr>
      </w:pPr>
      <w:r w:rsidRPr="00A77A44">
        <w:rPr>
          <w:rFonts w:ascii="Times New Roman" w:hAnsi="Times New Roman"/>
          <w:sz w:val="22"/>
          <w:szCs w:val="22"/>
        </w:rPr>
        <w:t>A partir de la publicación de la reforma de ley de Mercado de Capitales Ley N° 27.440 (B.O. 11/05/2018) y con vigencia a partir de las utilidades generadas en los ejercicios iniciados a partir del 01/01/2018, los fideicomisos financieros que cuenten con oferta pública autorizada por la CNV y realicen inversiones ejecutadas en la República Argentina (rentas de fuente argentina), gozarán de la exención en el impuesto, debiendo el inversor perceptor de las ganancias que aquellos distribuyan incorporar dichas ganancias en su propia declaración jurada, no siendo de aplicación las retenciones a dividendos en carácter de pago único y definitivo estipuladas en el artículo 97 (T.O. 2019) de la Ley del Tributo (retenciones del 7%).</w:t>
      </w:r>
    </w:p>
    <w:p w14:paraId="22A93FEA" w14:textId="77777777" w:rsidR="00135CC9" w:rsidRPr="00A77A44" w:rsidRDefault="00135CC9" w:rsidP="00135CC9">
      <w:pPr>
        <w:pStyle w:val="Encabezado"/>
        <w:tabs>
          <w:tab w:val="left" w:pos="708"/>
        </w:tabs>
        <w:rPr>
          <w:rFonts w:ascii="Times New Roman" w:hAnsi="Times New Roman"/>
          <w:sz w:val="22"/>
          <w:szCs w:val="22"/>
        </w:rPr>
      </w:pPr>
    </w:p>
    <w:p w14:paraId="5205AF80"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De esta forma, </w:t>
      </w:r>
      <w:r w:rsidRPr="00A77A44">
        <w:rPr>
          <w:rFonts w:ascii="Times New Roman" w:hAnsi="Times New Roman"/>
          <w:b/>
          <w:sz w:val="22"/>
          <w:szCs w:val="22"/>
        </w:rPr>
        <w:t>serán los inversores receptores de las ganancias que distribuya el Fideicomiso quienes deberán incorporar dicha renta en sus Declaraciones Juradas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ésta sea percibida en la proporción de la participación que cada uno tuviere en el patrimonio y los resultados del fideicomiso a la fecha de distribución</w:t>
      </w:r>
      <w:r w:rsidRPr="00A77A44">
        <w:rPr>
          <w:rFonts w:ascii="Times New Roman" w:hAnsi="Times New Roman"/>
          <w:sz w:val="22"/>
          <w:szCs w:val="22"/>
        </w:rPr>
        <w:t>. La capitalización de utilidades mediante la entrega al inversor de certificados de participación implica asimismo la distribución y percepción, en su medida, de la ganancia</w:t>
      </w:r>
      <w:r w:rsidRPr="00A77A44">
        <w:rPr>
          <w:rStyle w:val="Refdenotaalpie"/>
          <w:rFonts w:ascii="Times New Roman" w:hAnsi="Times New Roman"/>
          <w:sz w:val="22"/>
          <w:szCs w:val="22"/>
        </w:rPr>
        <w:footnoteReference w:id="10"/>
      </w:r>
      <w:r w:rsidRPr="00A77A44">
        <w:rPr>
          <w:rFonts w:ascii="Times New Roman" w:hAnsi="Times New Roman"/>
          <w:sz w:val="22"/>
          <w:szCs w:val="22"/>
        </w:rPr>
        <w:t>.</w:t>
      </w:r>
    </w:p>
    <w:p w14:paraId="3F2AA3E2" w14:textId="77777777" w:rsidR="00135CC9" w:rsidRPr="00A77A44" w:rsidRDefault="00135CC9" w:rsidP="00135CC9">
      <w:pPr>
        <w:pStyle w:val="Encabezado"/>
        <w:rPr>
          <w:rFonts w:ascii="Times New Roman" w:hAnsi="Times New Roman"/>
          <w:sz w:val="22"/>
          <w:szCs w:val="22"/>
          <w:highlight w:val="yellow"/>
        </w:rPr>
      </w:pPr>
    </w:p>
    <w:p w14:paraId="61DDDB88"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Así, las </w:t>
      </w:r>
      <w:r w:rsidRPr="00A77A44">
        <w:rPr>
          <w:rFonts w:ascii="Times New Roman" w:hAnsi="Times New Roman"/>
          <w:b/>
          <w:bCs/>
          <w:sz w:val="22"/>
          <w:szCs w:val="22"/>
        </w:rPr>
        <w:t>personas humanas y sucesiones indivisas residentes locales</w:t>
      </w:r>
      <w:r w:rsidRPr="00A77A44">
        <w:rPr>
          <w:rFonts w:ascii="Times New Roman" w:hAnsi="Times New Roman"/>
          <w:sz w:val="22"/>
          <w:szCs w:val="22"/>
        </w:rPr>
        <w:t xml:space="preserve"> titulares de Certificados de Participación deberán tributar el impuesto a la alícuota que hubiera resultado aplicable a las ganancias que le son distribuidas por el fideicomiso, de haberse obtenido estas rentas de forma directa. </w:t>
      </w:r>
    </w:p>
    <w:p w14:paraId="173BE6B9" w14:textId="77777777" w:rsidR="00135CC9" w:rsidRPr="00A77A44" w:rsidRDefault="00135CC9" w:rsidP="00135CC9">
      <w:pPr>
        <w:pStyle w:val="Encabezado"/>
        <w:rPr>
          <w:rFonts w:ascii="Times New Roman" w:hAnsi="Times New Roman"/>
          <w:sz w:val="22"/>
          <w:szCs w:val="22"/>
        </w:rPr>
      </w:pPr>
    </w:p>
    <w:p w14:paraId="700EF36A" w14:textId="77777777" w:rsidR="00135CC9" w:rsidRDefault="00135CC9" w:rsidP="00135CC9">
      <w:pPr>
        <w:pStyle w:val="Encabezado"/>
        <w:rPr>
          <w:rFonts w:ascii="Times New Roman" w:hAnsi="Times New Roman"/>
          <w:sz w:val="22"/>
          <w:szCs w:val="22"/>
        </w:rPr>
      </w:pPr>
      <w:r>
        <w:rPr>
          <w:rFonts w:ascii="Times New Roman" w:hAnsi="Times New Roman"/>
          <w:sz w:val="22"/>
          <w:szCs w:val="22"/>
        </w:rPr>
        <w:t>Por su parte, en el caso de l</w:t>
      </w:r>
      <w:r w:rsidRPr="00A77A44">
        <w:rPr>
          <w:rFonts w:ascii="Times New Roman" w:hAnsi="Times New Roman"/>
          <w:sz w:val="22"/>
          <w:szCs w:val="22"/>
        </w:rPr>
        <w:t xml:space="preserve">as </w:t>
      </w:r>
      <w:r w:rsidRPr="004C5E1E">
        <w:rPr>
          <w:rFonts w:ascii="Times New Roman" w:hAnsi="Times New Roman"/>
          <w:b/>
          <w:bCs/>
          <w:sz w:val="22"/>
          <w:szCs w:val="22"/>
        </w:rPr>
        <w:t>personas jurídicas locales</w:t>
      </w:r>
      <w:r>
        <w:rPr>
          <w:rFonts w:ascii="Times New Roman" w:hAnsi="Times New Roman"/>
          <w:sz w:val="22"/>
          <w:szCs w:val="22"/>
        </w:rPr>
        <w:t xml:space="preserve">, la totalidad de la ganancia determinada, en la medida de su distribución, </w:t>
      </w:r>
      <w:r w:rsidRPr="00A77A44">
        <w:rPr>
          <w:rFonts w:ascii="Times New Roman" w:hAnsi="Times New Roman"/>
          <w:sz w:val="22"/>
          <w:szCs w:val="22"/>
        </w:rPr>
        <w:t xml:space="preserve">tributarán el gravamen a las alícuotas </w:t>
      </w:r>
      <w:r>
        <w:rPr>
          <w:rFonts w:ascii="Times New Roman" w:hAnsi="Times New Roman"/>
          <w:sz w:val="22"/>
          <w:szCs w:val="22"/>
        </w:rPr>
        <w:t>actualizadas conforme el Índice de Precios al Consumidor -IPC- tal cual lo dispone el artículo 73° de la Ley del Impuesto a las Ganancias , publicadas por la AFIP, las cuales resultan de aplicación a partir del 01/01/2023, según el siguiente detalle:</w:t>
      </w:r>
    </w:p>
    <w:p w14:paraId="089D09CB" w14:textId="77777777" w:rsidR="00135CC9" w:rsidRDefault="00135CC9" w:rsidP="00135CC9">
      <w:pPr>
        <w:pStyle w:val="Encabezado"/>
        <w:rPr>
          <w:rFonts w:ascii="Times New Roman" w:hAnsi="Times New Roman"/>
          <w:sz w:val="22"/>
          <w:szCs w:val="22"/>
        </w:rPr>
      </w:pP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3"/>
        <w:gridCol w:w="1701"/>
        <w:gridCol w:w="1985"/>
        <w:gridCol w:w="1276"/>
        <w:gridCol w:w="1559"/>
      </w:tblGrid>
      <w:tr w:rsidR="00135CC9" w:rsidRPr="009F5A17" w14:paraId="5DA6BBB8" w14:textId="77777777" w:rsidTr="00FA326B">
        <w:trPr>
          <w:trHeight w:val="675"/>
        </w:trPr>
        <w:tc>
          <w:tcPr>
            <w:tcW w:w="3954" w:type="dxa"/>
            <w:gridSpan w:val="2"/>
            <w:shd w:val="clear" w:color="auto" w:fill="AEAAAA"/>
            <w:vAlign w:val="center"/>
            <w:hideMark/>
          </w:tcPr>
          <w:p w14:paraId="0B8D73F6" w14:textId="77777777" w:rsidR="00135CC9" w:rsidRPr="004E3394" w:rsidRDefault="00135CC9" w:rsidP="00FA326B">
            <w:pPr>
              <w:jc w:val="center"/>
              <w:rPr>
                <w:rFonts w:ascii="Times New Roman" w:hAnsi="Times New Roman" w:cs="Times New Roman"/>
                <w:b/>
                <w:bCs/>
                <w:color w:val="000000"/>
                <w:sz w:val="20"/>
                <w:szCs w:val="22"/>
                <w:lang w:val="es-AR" w:eastAsia="es-AR"/>
              </w:rPr>
            </w:pPr>
            <w:r w:rsidRPr="004E3394">
              <w:rPr>
                <w:rFonts w:ascii="Times New Roman" w:hAnsi="Times New Roman" w:cs="Times New Roman"/>
                <w:b/>
                <w:bCs/>
                <w:color w:val="000000"/>
                <w:sz w:val="20"/>
                <w:szCs w:val="22"/>
              </w:rPr>
              <w:t>GANANCIA NETA IMPONIBLE ACUMULADA</w:t>
            </w:r>
          </w:p>
        </w:tc>
        <w:tc>
          <w:tcPr>
            <w:tcW w:w="1985" w:type="dxa"/>
            <w:vMerge w:val="restart"/>
            <w:shd w:val="clear" w:color="auto" w:fill="AEAAAA"/>
            <w:noWrap/>
            <w:vAlign w:val="center"/>
            <w:hideMark/>
          </w:tcPr>
          <w:p w14:paraId="4CA65538"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PAGARÁN</w:t>
            </w:r>
          </w:p>
        </w:tc>
        <w:tc>
          <w:tcPr>
            <w:tcW w:w="1276" w:type="dxa"/>
            <w:vMerge w:val="restart"/>
            <w:shd w:val="clear" w:color="auto" w:fill="AEAAAA"/>
            <w:noWrap/>
            <w:vAlign w:val="center"/>
            <w:hideMark/>
          </w:tcPr>
          <w:p w14:paraId="24202FAB"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EL %</w:t>
            </w:r>
          </w:p>
        </w:tc>
        <w:tc>
          <w:tcPr>
            <w:tcW w:w="1559" w:type="dxa"/>
            <w:vMerge w:val="restart"/>
            <w:shd w:val="clear" w:color="auto" w:fill="AEAAAA"/>
            <w:noWrap/>
            <w:vAlign w:val="center"/>
            <w:hideMark/>
          </w:tcPr>
          <w:p w14:paraId="01D1834C"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SOBRE EL EXCEDENTE DE $</w:t>
            </w:r>
          </w:p>
        </w:tc>
      </w:tr>
      <w:tr w:rsidR="00135CC9" w:rsidRPr="009F5A17" w14:paraId="2B9CCADD" w14:textId="77777777" w:rsidTr="00FA326B">
        <w:trPr>
          <w:trHeight w:val="315"/>
        </w:trPr>
        <w:tc>
          <w:tcPr>
            <w:tcW w:w="2253" w:type="dxa"/>
            <w:shd w:val="clear" w:color="auto" w:fill="AEAAAA"/>
            <w:vAlign w:val="center"/>
            <w:hideMark/>
          </w:tcPr>
          <w:p w14:paraId="607C7C21"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MÁS DE $</w:t>
            </w:r>
          </w:p>
        </w:tc>
        <w:tc>
          <w:tcPr>
            <w:tcW w:w="1701" w:type="dxa"/>
            <w:shd w:val="clear" w:color="auto" w:fill="AEAAAA"/>
            <w:vAlign w:val="center"/>
            <w:hideMark/>
          </w:tcPr>
          <w:p w14:paraId="22B2D941" w14:textId="77777777" w:rsidR="00135CC9" w:rsidRPr="004E3394" w:rsidRDefault="00135CC9" w:rsidP="00FA326B">
            <w:pPr>
              <w:jc w:val="center"/>
              <w:rPr>
                <w:rFonts w:ascii="Times New Roman" w:hAnsi="Times New Roman" w:cs="Times New Roman"/>
                <w:b/>
                <w:bCs/>
                <w:color w:val="000000"/>
                <w:sz w:val="20"/>
                <w:szCs w:val="22"/>
              </w:rPr>
            </w:pPr>
            <w:r w:rsidRPr="004E3394">
              <w:rPr>
                <w:rFonts w:ascii="Times New Roman" w:hAnsi="Times New Roman" w:cs="Times New Roman"/>
                <w:b/>
                <w:bCs/>
                <w:color w:val="000000"/>
                <w:sz w:val="20"/>
                <w:szCs w:val="22"/>
              </w:rPr>
              <w:t>A $</w:t>
            </w:r>
          </w:p>
        </w:tc>
        <w:tc>
          <w:tcPr>
            <w:tcW w:w="0" w:type="auto"/>
            <w:vMerge/>
            <w:vAlign w:val="center"/>
            <w:hideMark/>
          </w:tcPr>
          <w:p w14:paraId="42454F3B" w14:textId="77777777" w:rsidR="00135CC9" w:rsidRPr="004E3394" w:rsidRDefault="00135CC9" w:rsidP="00FA326B">
            <w:pPr>
              <w:rPr>
                <w:rFonts w:ascii="Times New Roman" w:eastAsia="Times New Roman" w:hAnsi="Times New Roman" w:cs="Times New Roman"/>
                <w:b/>
                <w:bCs/>
                <w:color w:val="000000"/>
                <w:sz w:val="20"/>
                <w:szCs w:val="22"/>
              </w:rPr>
            </w:pPr>
          </w:p>
        </w:tc>
        <w:tc>
          <w:tcPr>
            <w:tcW w:w="0" w:type="auto"/>
            <w:vMerge/>
            <w:vAlign w:val="center"/>
            <w:hideMark/>
          </w:tcPr>
          <w:p w14:paraId="77FD623F" w14:textId="77777777" w:rsidR="00135CC9" w:rsidRPr="004E3394" w:rsidRDefault="00135CC9" w:rsidP="00FA326B">
            <w:pPr>
              <w:rPr>
                <w:rFonts w:ascii="Times New Roman" w:eastAsia="Times New Roman" w:hAnsi="Times New Roman" w:cs="Times New Roman"/>
                <w:b/>
                <w:bCs/>
                <w:color w:val="000000"/>
                <w:sz w:val="20"/>
                <w:szCs w:val="22"/>
              </w:rPr>
            </w:pPr>
          </w:p>
        </w:tc>
        <w:tc>
          <w:tcPr>
            <w:tcW w:w="1559" w:type="dxa"/>
            <w:vMerge/>
            <w:vAlign w:val="center"/>
            <w:hideMark/>
          </w:tcPr>
          <w:p w14:paraId="4EAF0698" w14:textId="77777777" w:rsidR="00135CC9" w:rsidRPr="004E3394" w:rsidRDefault="00135CC9" w:rsidP="00FA326B">
            <w:pPr>
              <w:rPr>
                <w:rFonts w:ascii="Times New Roman" w:eastAsia="Times New Roman" w:hAnsi="Times New Roman" w:cs="Times New Roman"/>
                <w:b/>
                <w:bCs/>
                <w:color w:val="000000"/>
                <w:sz w:val="20"/>
                <w:szCs w:val="22"/>
              </w:rPr>
            </w:pPr>
          </w:p>
        </w:tc>
      </w:tr>
      <w:tr w:rsidR="00135CC9" w:rsidRPr="009F5A17" w14:paraId="72583445" w14:textId="77777777" w:rsidTr="00FA326B">
        <w:trPr>
          <w:trHeight w:val="315"/>
        </w:trPr>
        <w:tc>
          <w:tcPr>
            <w:tcW w:w="2253" w:type="dxa"/>
            <w:shd w:val="clear" w:color="auto" w:fill="FAFBFC"/>
            <w:vAlign w:val="center"/>
            <w:hideMark/>
          </w:tcPr>
          <w:p w14:paraId="391F4B5D"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701" w:type="dxa"/>
            <w:shd w:val="clear" w:color="auto" w:fill="FAFBFC"/>
            <w:vAlign w:val="center"/>
            <w:hideMark/>
          </w:tcPr>
          <w:p w14:paraId="009B08C7"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985" w:type="dxa"/>
            <w:shd w:val="clear" w:color="auto" w:fill="FAFBFC"/>
            <w:vAlign w:val="center"/>
            <w:hideMark/>
          </w:tcPr>
          <w:p w14:paraId="56AC738A"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c>
          <w:tcPr>
            <w:tcW w:w="1276" w:type="dxa"/>
            <w:shd w:val="clear" w:color="auto" w:fill="FAFBFC"/>
            <w:vAlign w:val="center"/>
            <w:hideMark/>
          </w:tcPr>
          <w:p w14:paraId="30D9464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25%</w:t>
            </w:r>
          </w:p>
        </w:tc>
        <w:tc>
          <w:tcPr>
            <w:tcW w:w="1559" w:type="dxa"/>
            <w:shd w:val="clear" w:color="auto" w:fill="FAFBFC"/>
            <w:vAlign w:val="center"/>
            <w:hideMark/>
          </w:tcPr>
          <w:p w14:paraId="1A6A1299"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$ 0,00</w:t>
            </w:r>
          </w:p>
        </w:tc>
      </w:tr>
      <w:tr w:rsidR="00135CC9" w:rsidRPr="009F5A17" w14:paraId="75CF9713" w14:textId="77777777" w:rsidTr="00FA326B">
        <w:trPr>
          <w:trHeight w:val="300"/>
        </w:trPr>
        <w:tc>
          <w:tcPr>
            <w:tcW w:w="2253" w:type="dxa"/>
            <w:shd w:val="clear" w:color="auto" w:fill="FAFBFC"/>
            <w:vAlign w:val="center"/>
            <w:hideMark/>
          </w:tcPr>
          <w:p w14:paraId="3CDA4037"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c>
          <w:tcPr>
            <w:tcW w:w="1701" w:type="dxa"/>
            <w:shd w:val="clear" w:color="auto" w:fill="FAFBFC"/>
            <w:vAlign w:val="center"/>
            <w:hideMark/>
          </w:tcPr>
          <w:p w14:paraId="1BDE4F4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985" w:type="dxa"/>
            <w:shd w:val="clear" w:color="auto" w:fill="FAFBFC"/>
            <w:vAlign w:val="center"/>
            <w:hideMark/>
          </w:tcPr>
          <w:p w14:paraId="3A9433B4"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$ 3.575.302,30</w:t>
            </w:r>
          </w:p>
        </w:tc>
        <w:tc>
          <w:tcPr>
            <w:tcW w:w="1276" w:type="dxa"/>
            <w:shd w:val="clear" w:color="auto" w:fill="FAFBFC"/>
            <w:vAlign w:val="center"/>
            <w:hideMark/>
          </w:tcPr>
          <w:p w14:paraId="62906338"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30%</w:t>
            </w:r>
          </w:p>
        </w:tc>
        <w:tc>
          <w:tcPr>
            <w:tcW w:w="1559" w:type="dxa"/>
            <w:shd w:val="clear" w:color="auto" w:fill="FAFBFC"/>
            <w:vAlign w:val="center"/>
            <w:hideMark/>
          </w:tcPr>
          <w:p w14:paraId="583B4B96"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$ 14.301.209,21</w:t>
            </w:r>
          </w:p>
        </w:tc>
      </w:tr>
      <w:tr w:rsidR="00135CC9" w:rsidRPr="009F5A17" w14:paraId="26040345" w14:textId="77777777" w:rsidTr="00FA326B">
        <w:trPr>
          <w:trHeight w:val="315"/>
        </w:trPr>
        <w:tc>
          <w:tcPr>
            <w:tcW w:w="2253" w:type="dxa"/>
            <w:shd w:val="clear" w:color="auto" w:fill="FAFBFC"/>
            <w:vAlign w:val="center"/>
            <w:hideMark/>
          </w:tcPr>
          <w:p w14:paraId="37E3AF16"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c>
          <w:tcPr>
            <w:tcW w:w="1701" w:type="dxa"/>
            <w:shd w:val="clear" w:color="auto" w:fill="FAFBFC"/>
            <w:vAlign w:val="center"/>
            <w:hideMark/>
          </w:tcPr>
          <w:p w14:paraId="34C0AA25"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En adelante</w:t>
            </w:r>
          </w:p>
        </w:tc>
        <w:tc>
          <w:tcPr>
            <w:tcW w:w="1985" w:type="dxa"/>
            <w:shd w:val="clear" w:color="auto" w:fill="FAFBFC"/>
            <w:vAlign w:val="center"/>
            <w:hideMark/>
          </w:tcPr>
          <w:p w14:paraId="5E4C2E66"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$ 42.188.567,16</w:t>
            </w:r>
          </w:p>
        </w:tc>
        <w:tc>
          <w:tcPr>
            <w:tcW w:w="1276" w:type="dxa"/>
            <w:shd w:val="clear" w:color="auto" w:fill="FAFBFC"/>
            <w:vAlign w:val="center"/>
            <w:hideMark/>
          </w:tcPr>
          <w:p w14:paraId="2B9CDA8B"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35%</w:t>
            </w:r>
          </w:p>
        </w:tc>
        <w:tc>
          <w:tcPr>
            <w:tcW w:w="1559" w:type="dxa"/>
            <w:shd w:val="clear" w:color="auto" w:fill="FAFBFC"/>
            <w:vAlign w:val="center"/>
            <w:hideMark/>
          </w:tcPr>
          <w:p w14:paraId="3B78D805" w14:textId="77777777" w:rsidR="00135CC9" w:rsidRPr="004E3394" w:rsidRDefault="00135CC9" w:rsidP="00FA326B">
            <w:pPr>
              <w:jc w:val="center"/>
              <w:rPr>
                <w:rFonts w:ascii="Times New Roman" w:hAnsi="Times New Roman" w:cs="Times New Roman"/>
                <w:color w:val="333333"/>
                <w:sz w:val="20"/>
                <w:szCs w:val="22"/>
              </w:rPr>
            </w:pPr>
            <w:r w:rsidRPr="004E3394">
              <w:rPr>
                <w:rFonts w:ascii="Times New Roman" w:hAnsi="Times New Roman" w:cs="Times New Roman"/>
                <w:color w:val="333333"/>
                <w:sz w:val="20"/>
                <w:szCs w:val="22"/>
              </w:rPr>
              <w:t>$ 143.012.092,08</w:t>
            </w:r>
          </w:p>
        </w:tc>
      </w:tr>
    </w:tbl>
    <w:p w14:paraId="02FE448A" w14:textId="77777777" w:rsidR="00135CC9" w:rsidRDefault="00135CC9" w:rsidP="00135CC9">
      <w:pPr>
        <w:pStyle w:val="Encabezado"/>
        <w:rPr>
          <w:rFonts w:ascii="Times New Roman" w:hAnsi="Times New Roman"/>
          <w:sz w:val="22"/>
          <w:szCs w:val="22"/>
        </w:rPr>
      </w:pPr>
    </w:p>
    <w:p w14:paraId="6F9806C5" w14:textId="77777777" w:rsidR="00135CC9" w:rsidRDefault="00135CC9" w:rsidP="00135CC9">
      <w:pPr>
        <w:pStyle w:val="Encabezado"/>
        <w:rPr>
          <w:rFonts w:ascii="Times New Roman" w:hAnsi="Times New Roman"/>
          <w:sz w:val="22"/>
          <w:szCs w:val="22"/>
        </w:rPr>
      </w:pPr>
      <w:r w:rsidRPr="00A77A44">
        <w:rPr>
          <w:rFonts w:ascii="Times New Roman" w:hAnsi="Times New Roman"/>
          <w:sz w:val="22"/>
          <w:szCs w:val="22"/>
        </w:rPr>
        <w:t>Los citados montos se ajustarán anualmente, considerando la variación anual del Índice de Precios al Consumidor (IPC), correspondiente al mes de octubre del año anterior al del ajuste, respecto del mismo mes del año anterior. Los montos determinados por aplicación del mecanismo descripto resultarán de aplicación para los ejercicios fiscales que se inicien con posterioridad a cada actualización.</w:t>
      </w:r>
    </w:p>
    <w:p w14:paraId="3648ACF4" w14:textId="77777777" w:rsidR="00135CC9" w:rsidRDefault="00135CC9" w:rsidP="00135CC9">
      <w:pPr>
        <w:pStyle w:val="Encabezado"/>
        <w:rPr>
          <w:rFonts w:ascii="Times New Roman" w:hAnsi="Times New Roman"/>
          <w:sz w:val="22"/>
          <w:szCs w:val="22"/>
        </w:rPr>
      </w:pPr>
    </w:p>
    <w:p w14:paraId="1D1FE116"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 xml:space="preserve">Cuando los titulares de Certificados de Participación fueran </w:t>
      </w:r>
      <w:r w:rsidRPr="00A77A44">
        <w:rPr>
          <w:rFonts w:ascii="Times New Roman" w:hAnsi="Times New Roman"/>
          <w:b/>
          <w:bCs/>
          <w:sz w:val="22"/>
          <w:szCs w:val="22"/>
        </w:rPr>
        <w:t xml:space="preserve">beneficiarios del exterior, </w:t>
      </w:r>
      <w:r w:rsidRPr="00A77A44">
        <w:rPr>
          <w:rFonts w:ascii="Times New Roman" w:hAnsi="Times New Roman"/>
          <w:sz w:val="22"/>
          <w:szCs w:val="22"/>
        </w:rPr>
        <w:t>el fiduciario procederá a efectuar la retención con carácter de pago único y definitivo a la alícuota que hubiere resultado aplicable a esos beneficiarios de haber obtenido las mismas de forma directa, aplicando las presunciones previstas en el artículo 104 (T.O. 2019) de la Ley de Impuesto a las Ganancias, conforme la categoría de renta de que se trate.</w:t>
      </w:r>
    </w:p>
    <w:p w14:paraId="6B0AD7AA" w14:textId="77777777" w:rsidR="00135CC9" w:rsidRPr="00A77A44" w:rsidRDefault="00135CC9" w:rsidP="00135CC9">
      <w:pPr>
        <w:pStyle w:val="Encabezado"/>
        <w:rPr>
          <w:rFonts w:ascii="Times New Roman" w:hAnsi="Times New Roman"/>
          <w:sz w:val="22"/>
          <w:szCs w:val="22"/>
        </w:rPr>
      </w:pPr>
    </w:p>
    <w:p w14:paraId="1A008A53"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Por su parte, la reglamentación aclaró que los inversores no deberán incluir en la base imponible del impuesto, según corresponda, los siguientes conceptos: i) Valor Patrimonial Proporcional (VPP) o similares; utilidades en la parte que se encuentren integradas por ganancias acumuladas generadas con anterioridad al 01/01/2018; iii) Utilidades que hubieran tributado el impuesto por parte del fideicomiso; y iv) Distribuciones de utilidades que hubieran sido capitalizadas, por las cuales ya hubiera tributado el inversor al momento de su capitalización.</w:t>
      </w:r>
    </w:p>
    <w:p w14:paraId="21C7457B" w14:textId="77777777" w:rsidR="00135CC9" w:rsidRPr="00A77A44" w:rsidRDefault="00135CC9" w:rsidP="00135CC9">
      <w:pPr>
        <w:pStyle w:val="Encabezado"/>
        <w:rPr>
          <w:rFonts w:ascii="Times New Roman" w:hAnsi="Times New Roman"/>
          <w:sz w:val="22"/>
          <w:szCs w:val="22"/>
        </w:rPr>
      </w:pPr>
    </w:p>
    <w:p w14:paraId="74C1436A"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35444181" w14:textId="77777777" w:rsidR="00135CC9" w:rsidRPr="00A77A44" w:rsidRDefault="00135CC9" w:rsidP="00135CC9">
      <w:pPr>
        <w:pStyle w:val="Encabezado"/>
        <w:rPr>
          <w:rFonts w:ascii="Times New Roman" w:hAnsi="Times New Roman"/>
          <w:sz w:val="22"/>
          <w:szCs w:val="22"/>
        </w:rPr>
      </w:pPr>
    </w:p>
    <w:p w14:paraId="1691BF6B" w14:textId="77777777" w:rsidR="00135CC9" w:rsidRPr="00A77A44" w:rsidRDefault="00135CC9" w:rsidP="00135CC9">
      <w:pPr>
        <w:pStyle w:val="Encabezado"/>
        <w:rPr>
          <w:rFonts w:ascii="Times New Roman" w:hAnsi="Times New Roman"/>
          <w:sz w:val="22"/>
          <w:szCs w:val="22"/>
        </w:rPr>
      </w:pPr>
      <w:r w:rsidRPr="00A77A44">
        <w:rPr>
          <w:rFonts w:ascii="Times New Roman" w:hAnsi="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70691F45" w14:textId="77777777" w:rsidR="00135CC9" w:rsidRPr="00A77A44" w:rsidRDefault="00135CC9" w:rsidP="00135CC9">
      <w:pPr>
        <w:autoSpaceDE w:val="0"/>
        <w:autoSpaceDN w:val="0"/>
        <w:adjustRightInd w:val="0"/>
        <w:rPr>
          <w:rFonts w:ascii="Times New Roman" w:hAnsi="Times New Roman" w:cs="Times New Roman"/>
          <w:sz w:val="22"/>
          <w:szCs w:val="22"/>
        </w:rPr>
      </w:pPr>
    </w:p>
    <w:p w14:paraId="0BE18B23" w14:textId="77777777" w:rsidR="00135CC9" w:rsidRPr="00506990" w:rsidRDefault="00135CC9" w:rsidP="00135CC9">
      <w:pPr>
        <w:autoSpaceDE w:val="0"/>
        <w:autoSpaceDN w:val="0"/>
        <w:adjustRightInd w:val="0"/>
        <w:rPr>
          <w:rFonts w:ascii="Times New Roman" w:eastAsia="Times New Roman" w:hAnsi="Times New Roman" w:cs="Times New Roman"/>
          <w:sz w:val="22"/>
          <w:szCs w:val="22"/>
          <w:lang w:val="es-AR"/>
        </w:rPr>
      </w:pPr>
      <w:r w:rsidRPr="00A77A44">
        <w:rPr>
          <w:rFonts w:ascii="Times New Roman" w:hAnsi="Times New Roman" w:cs="Times New Roman"/>
          <w:sz w:val="22"/>
          <w:szCs w:val="22"/>
        </w:rPr>
        <w:t>Finalmente, cabe aclarar que a partir de la publicación de la Ley 27.541 de Solidaridad Social y Reactivación Productiva el Impuesto a la Renta Financiera ha sido derogado para el ejercicio fiscal 2020, siendo el 2019 el último año de su aplicación</w:t>
      </w:r>
      <w:r w:rsidRPr="00A77A44">
        <w:rPr>
          <w:rStyle w:val="Refdenotaalpie"/>
          <w:rFonts w:ascii="Times New Roman" w:hAnsi="Times New Roman"/>
          <w:sz w:val="22"/>
          <w:szCs w:val="22"/>
        </w:rPr>
        <w:footnoteReference w:id="11"/>
      </w:r>
      <w:r w:rsidRPr="00A77A44">
        <w:rPr>
          <w:rFonts w:ascii="Times New Roman" w:hAnsi="Times New Roman" w:cs="Times New Roman"/>
          <w:sz w:val="22"/>
          <w:szCs w:val="22"/>
        </w:rPr>
        <w:t xml:space="preserve"> para todos los resultados obtenidos por personas físicas, sucesiones indivisas y beneficiarios del exterior provenientes de rendimientos producto de la colocación de capital en valores, en la medida que coticen en bolsas o mercados de valores autorizados por la Comisión Nacional de Valores.</w:t>
      </w:r>
    </w:p>
    <w:p w14:paraId="66A374EF"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27C9F002"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II.2. Impuesto al Valor Agregado</w:t>
      </w:r>
    </w:p>
    <w:p w14:paraId="090947E2"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441763B2"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50587F27"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De acuerdo con lo establecido por el inciso a) del artículo 83 de la ley 24.441, los rendimientos que obtenga el inversor (sujeto local o beneficiario del exterior) están exentos del Impuesto al Valor Agregado toda vez que los títulos valores cumplan con el requisito de la oferta pública.</w:t>
      </w:r>
    </w:p>
    <w:p w14:paraId="6E12CCB0"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62436DC0"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Resultados derivados de la compraventa de los títulos</w:t>
      </w:r>
    </w:p>
    <w:p w14:paraId="4FD65BA8"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Todo resultado obtenido como consecuencia de la transferencia de títulos de valores, de acuerdo con lo establecido por el inciso a) del artículo 83 de la ley 24.441, resultará exento del presente gravamen, en la medida que los Certificados de Participación cumplan con el requisito de la oferta pública antes detallado.</w:t>
      </w:r>
    </w:p>
    <w:p w14:paraId="6D870E00"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71310B43"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II.3. Impuesto sobre los Ingresos Brutos</w:t>
      </w:r>
    </w:p>
    <w:p w14:paraId="0189ED86"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2369DB9D"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 y resultados derivados de la compraventa de los Valores Fiduciarios</w:t>
      </w:r>
    </w:p>
    <w:p w14:paraId="2F1AD6C7"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Salvo exención provincial expresa, los rendimientos devengados por los Valores Fiduciarios se encuentran alcanzados por este gravamen. Igual conclusión aplica para el caso de personas  humanas, en tanto éstas revistan la calidad de habitualistas o les resulte de aplicación una presunción de habitualidad específica. </w:t>
      </w:r>
    </w:p>
    <w:p w14:paraId="33AE4CE0"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Tratándose de inversores del exterior, NO procede la imposición, dada la inexistencia del sujeto pasivo del gravamen.</w:t>
      </w:r>
    </w:p>
    <w:p w14:paraId="40C7EE87"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AR"/>
        </w:rPr>
      </w:pPr>
    </w:p>
    <w:p w14:paraId="51167544"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II.4. Impuesto sobre los Bienes Personales</w:t>
      </w:r>
    </w:p>
    <w:p w14:paraId="659D871F"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67558CCC" w14:textId="77777777" w:rsidR="00135CC9" w:rsidRPr="00056B7D" w:rsidRDefault="00135CC9" w:rsidP="00135CC9">
      <w:pPr>
        <w:tabs>
          <w:tab w:val="center" w:pos="4252"/>
          <w:tab w:val="right" w:pos="8504"/>
        </w:tabs>
        <w:rPr>
          <w:rFonts w:ascii="Times New Roman" w:hAnsi="Times New Roman" w:cs="Times New Roman"/>
          <w:sz w:val="22"/>
          <w:szCs w:val="22"/>
          <w:lang w:val="es-ES"/>
        </w:rPr>
      </w:pPr>
      <w:r w:rsidRPr="00056B7D">
        <w:rPr>
          <w:rFonts w:ascii="Times New Roman" w:hAnsi="Times New Roman" w:cs="Times New Roman"/>
          <w:sz w:val="22"/>
          <w:szCs w:val="22"/>
        </w:rPr>
        <w:t>De conformidad con lo dispuesto la ley Nº 23.966, texto conforme a las modificaciones recientemente introducidas por la Ley N° 27.541 y la reciente Ley N° 27.667 publicada en el B.O. el día 31 de diciembre del 2021; las personas humanas y las sucesiones indivisas residentes en la República Argentina o en el extranjero (en este último caso sólo con respecto a bienes situados en la Argentina, lo cual incluye los Valores Fiduciarios) están sujetas al Impuesto sobre los Bienes Personales que grava los bienes existentes al 31 de diciembre de cada año</w:t>
      </w:r>
    </w:p>
    <w:p w14:paraId="58075476" w14:textId="77777777" w:rsidR="00135CC9" w:rsidRPr="00056B7D" w:rsidRDefault="00135CC9" w:rsidP="00135CC9">
      <w:pPr>
        <w:tabs>
          <w:tab w:val="center" w:pos="4252"/>
          <w:tab w:val="right" w:pos="8504"/>
        </w:tabs>
        <w:rPr>
          <w:rFonts w:ascii="Times New Roman" w:hAnsi="Times New Roman" w:cs="Times New Roman"/>
          <w:sz w:val="22"/>
          <w:szCs w:val="22"/>
          <w:lang w:val="es-ES"/>
        </w:rPr>
      </w:pPr>
    </w:p>
    <w:p w14:paraId="2C40115A" w14:textId="77777777" w:rsidR="00135CC9" w:rsidRPr="00056B7D" w:rsidRDefault="00135CC9" w:rsidP="00135CC9">
      <w:pPr>
        <w:tabs>
          <w:tab w:val="center" w:pos="4252"/>
          <w:tab w:val="right" w:pos="8504"/>
        </w:tabs>
        <w:rPr>
          <w:rFonts w:ascii="Times New Roman" w:hAnsi="Times New Roman" w:cs="Times New Roman"/>
          <w:sz w:val="22"/>
          <w:szCs w:val="22"/>
        </w:rPr>
      </w:pPr>
      <w:r w:rsidRPr="00056B7D">
        <w:rPr>
          <w:rFonts w:ascii="Times New Roman" w:hAnsi="Times New Roman" w:cs="Times New Roman"/>
          <w:sz w:val="22"/>
          <w:szCs w:val="22"/>
        </w:rPr>
        <w:t>Por medio de la Ley Nº 27.541 de Solidaridad Social y Reactivación Productiva, se introdujeron ciertas modificaciones a la Ley de Bienes Personales que surtieron efecto desde el periodo fiscal 2019 y la reciente Ley N° 27.667 si bien mantiene y extiende dichos cambios, asimismo ha introducido modificaciones con aplicación a partir del periodo fiscal 2021, a saber:</w:t>
      </w:r>
    </w:p>
    <w:p w14:paraId="30E68569" w14:textId="77777777" w:rsidR="00135CC9" w:rsidRDefault="00135CC9" w:rsidP="00135CC9">
      <w:pPr>
        <w:autoSpaceDE w:val="0"/>
        <w:autoSpaceDN w:val="0"/>
        <w:adjustRightInd w:val="0"/>
        <w:rPr>
          <w:rFonts w:ascii="Times New Roman" w:hAnsi="Times New Roman" w:cs="Times New Roman"/>
          <w:sz w:val="22"/>
          <w:szCs w:val="22"/>
        </w:rPr>
      </w:pPr>
    </w:p>
    <w:p w14:paraId="1698CD36" w14:textId="77777777" w:rsidR="00135CC9" w:rsidRDefault="00135CC9" w:rsidP="00135CC9">
      <w:pPr>
        <w:autoSpaceDE w:val="0"/>
        <w:autoSpaceDN w:val="0"/>
        <w:adjustRightInd w:val="0"/>
        <w:rPr>
          <w:rFonts w:ascii="Times New Roman" w:hAnsi="Times New Roman" w:cs="Times New Roman"/>
          <w:sz w:val="22"/>
          <w:szCs w:val="22"/>
        </w:rPr>
      </w:pPr>
      <w:r w:rsidRPr="00056B7D">
        <w:rPr>
          <w:rFonts w:ascii="Times New Roman" w:hAnsi="Times New Roman" w:cs="Times New Roman"/>
          <w:sz w:val="22"/>
          <w:szCs w:val="22"/>
        </w:rPr>
        <w:t xml:space="preserve">Respecto de las personas humanas y las sucesiones indivisas domiciliadas o radicadas en la Argentina, el impuesto grava a todos los bienes situados en la Argentina y en el exterior en la medida que su valor en conjunto exceda los $ </w:t>
      </w:r>
      <w:r>
        <w:rPr>
          <w:rFonts w:ascii="Times New Roman" w:hAnsi="Times New Roman" w:cs="Times New Roman"/>
          <w:sz w:val="22"/>
          <w:szCs w:val="22"/>
        </w:rPr>
        <w:t>11.282.141,08</w:t>
      </w:r>
      <w:r w:rsidRPr="00056B7D">
        <w:rPr>
          <w:rFonts w:ascii="Times New Roman" w:hAnsi="Times New Roman" w:cs="Times New Roman"/>
          <w:sz w:val="22"/>
          <w:szCs w:val="22"/>
        </w:rPr>
        <w:t xml:space="preserve"> (antes $ </w:t>
      </w:r>
      <w:r>
        <w:rPr>
          <w:rFonts w:ascii="Times New Roman" w:hAnsi="Times New Roman" w:cs="Times New Roman"/>
          <w:sz w:val="22"/>
          <w:szCs w:val="22"/>
        </w:rPr>
        <w:t>6</w:t>
      </w:r>
      <w:r w:rsidRPr="00056B7D">
        <w:rPr>
          <w:rFonts w:ascii="Times New Roman" w:hAnsi="Times New Roman" w:cs="Times New Roman"/>
          <w:sz w:val="22"/>
          <w:szCs w:val="22"/>
        </w:rPr>
        <w:t>.000.000), aplicándose las alícuotas según la siguiente escala</w:t>
      </w:r>
      <w:r>
        <w:rPr>
          <w:rFonts w:ascii="Times New Roman" w:hAnsi="Times New Roman" w:cs="Times New Roman"/>
          <w:sz w:val="22"/>
          <w:szCs w:val="22"/>
        </w:rPr>
        <w:t xml:space="preserve"> para el período fiscal 2022</w:t>
      </w:r>
      <w:r w:rsidRPr="00056B7D">
        <w:rPr>
          <w:rStyle w:val="Refdenotaalpie"/>
          <w:rFonts w:ascii="Times New Roman" w:hAnsi="Times New Roman"/>
          <w:sz w:val="22"/>
          <w:szCs w:val="22"/>
        </w:rPr>
        <w:footnoteReference w:id="12"/>
      </w:r>
      <w:r w:rsidRPr="00056B7D">
        <w:rPr>
          <w:rFonts w:ascii="Times New Roman" w:hAnsi="Times New Roman" w:cs="Times New Roman"/>
          <w:sz w:val="22"/>
          <w:szCs w:val="22"/>
        </w:rPr>
        <w:t>:</w:t>
      </w:r>
    </w:p>
    <w:p w14:paraId="7F054FB4" w14:textId="77777777" w:rsidR="00135CC9" w:rsidRDefault="00135CC9" w:rsidP="00135CC9">
      <w:pPr>
        <w:autoSpaceDE w:val="0"/>
        <w:autoSpaceDN w:val="0"/>
        <w:adjustRightInd w:val="0"/>
        <w:rPr>
          <w:rFonts w:ascii="Times New Roman" w:hAnsi="Times New Roman" w:cs="Times New Roman"/>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268"/>
        <w:gridCol w:w="1559"/>
        <w:gridCol w:w="1417"/>
        <w:gridCol w:w="1985"/>
      </w:tblGrid>
      <w:tr w:rsidR="00135CC9" w:rsidRPr="009F5A17" w14:paraId="0CC471EE" w14:textId="77777777" w:rsidTr="00FA326B">
        <w:trPr>
          <w:trHeight w:val="638"/>
        </w:trPr>
        <w:tc>
          <w:tcPr>
            <w:tcW w:w="3823" w:type="dxa"/>
            <w:gridSpan w:val="2"/>
            <w:shd w:val="clear" w:color="auto" w:fill="A6A6A6"/>
            <w:vAlign w:val="center"/>
            <w:hideMark/>
          </w:tcPr>
          <w:p w14:paraId="09CFAA59" w14:textId="77777777" w:rsidR="00135CC9" w:rsidRPr="004E3394" w:rsidRDefault="00135CC9" w:rsidP="00FA326B">
            <w:pPr>
              <w:jc w:val="center"/>
              <w:rPr>
                <w:rFonts w:ascii="Times New Roman" w:hAnsi="Times New Roman" w:cs="Times New Roman"/>
                <w:color w:val="000000"/>
                <w:sz w:val="20"/>
                <w:szCs w:val="20"/>
                <w:lang w:val="es-AR" w:eastAsia="es-AR"/>
              </w:rPr>
            </w:pPr>
            <w:r w:rsidRPr="004E3394">
              <w:rPr>
                <w:rFonts w:ascii="Times New Roman" w:hAnsi="Times New Roman" w:cs="Times New Roman"/>
                <w:color w:val="000000"/>
                <w:sz w:val="20"/>
                <w:szCs w:val="20"/>
              </w:rPr>
              <w:t>Valor total de los bienes que exceda el mínimo no imponible</w:t>
            </w:r>
          </w:p>
        </w:tc>
        <w:tc>
          <w:tcPr>
            <w:tcW w:w="1559" w:type="dxa"/>
            <w:vMerge w:val="restart"/>
            <w:shd w:val="clear" w:color="auto" w:fill="A6A6A6"/>
            <w:vAlign w:val="center"/>
            <w:hideMark/>
          </w:tcPr>
          <w:p w14:paraId="7EC6D8D7"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Pagarán $</w:t>
            </w:r>
          </w:p>
        </w:tc>
        <w:tc>
          <w:tcPr>
            <w:tcW w:w="1417" w:type="dxa"/>
            <w:vMerge w:val="restart"/>
            <w:shd w:val="clear" w:color="auto" w:fill="A6A6A6"/>
            <w:vAlign w:val="center"/>
            <w:hideMark/>
          </w:tcPr>
          <w:p w14:paraId="2D79BF5F"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Más el %</w:t>
            </w:r>
          </w:p>
        </w:tc>
        <w:tc>
          <w:tcPr>
            <w:tcW w:w="1985" w:type="dxa"/>
            <w:vMerge w:val="restart"/>
            <w:shd w:val="clear" w:color="auto" w:fill="A6A6A6"/>
            <w:vAlign w:val="center"/>
            <w:hideMark/>
          </w:tcPr>
          <w:p w14:paraId="32AF5E61"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Sobre el excedente de $</w:t>
            </w:r>
          </w:p>
        </w:tc>
      </w:tr>
      <w:tr w:rsidR="00135CC9" w:rsidRPr="009F5A17" w14:paraId="31BCBB79" w14:textId="77777777" w:rsidTr="00FA326B">
        <w:trPr>
          <w:trHeight w:val="335"/>
        </w:trPr>
        <w:tc>
          <w:tcPr>
            <w:tcW w:w="1555" w:type="dxa"/>
            <w:shd w:val="clear" w:color="auto" w:fill="A6A6A6"/>
            <w:vAlign w:val="center"/>
            <w:hideMark/>
          </w:tcPr>
          <w:p w14:paraId="67535DE6"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Más de $</w:t>
            </w:r>
          </w:p>
        </w:tc>
        <w:tc>
          <w:tcPr>
            <w:tcW w:w="2268" w:type="dxa"/>
            <w:shd w:val="clear" w:color="auto" w:fill="A6A6A6"/>
            <w:vAlign w:val="center"/>
            <w:hideMark/>
          </w:tcPr>
          <w:p w14:paraId="0446215E"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a $</w:t>
            </w:r>
          </w:p>
        </w:tc>
        <w:tc>
          <w:tcPr>
            <w:tcW w:w="1559" w:type="dxa"/>
            <w:vMerge/>
            <w:vAlign w:val="center"/>
            <w:hideMark/>
          </w:tcPr>
          <w:p w14:paraId="117ABA57" w14:textId="77777777" w:rsidR="00135CC9" w:rsidRPr="004E3394" w:rsidRDefault="00135CC9" w:rsidP="00FA326B">
            <w:pPr>
              <w:rPr>
                <w:rFonts w:ascii="Times New Roman" w:eastAsia="Times New Roman" w:hAnsi="Times New Roman" w:cs="Times New Roman"/>
                <w:color w:val="000000"/>
                <w:sz w:val="20"/>
                <w:szCs w:val="20"/>
              </w:rPr>
            </w:pPr>
          </w:p>
        </w:tc>
        <w:tc>
          <w:tcPr>
            <w:tcW w:w="1417" w:type="dxa"/>
            <w:vMerge/>
            <w:vAlign w:val="center"/>
            <w:hideMark/>
          </w:tcPr>
          <w:p w14:paraId="2C4B4F02" w14:textId="77777777" w:rsidR="00135CC9" w:rsidRPr="004E3394" w:rsidRDefault="00135CC9" w:rsidP="00FA326B">
            <w:pPr>
              <w:rPr>
                <w:rFonts w:ascii="Times New Roman" w:eastAsia="Times New Roman" w:hAnsi="Times New Roman" w:cs="Times New Roman"/>
                <w:color w:val="000000"/>
                <w:sz w:val="20"/>
                <w:szCs w:val="20"/>
              </w:rPr>
            </w:pPr>
          </w:p>
        </w:tc>
        <w:tc>
          <w:tcPr>
            <w:tcW w:w="1985" w:type="dxa"/>
            <w:vMerge/>
            <w:vAlign w:val="center"/>
            <w:hideMark/>
          </w:tcPr>
          <w:p w14:paraId="6022CA6E" w14:textId="77777777" w:rsidR="00135CC9" w:rsidRPr="004E3394" w:rsidRDefault="00135CC9" w:rsidP="00FA326B">
            <w:pPr>
              <w:rPr>
                <w:rFonts w:ascii="Times New Roman" w:eastAsia="Times New Roman" w:hAnsi="Times New Roman" w:cs="Times New Roman"/>
                <w:color w:val="000000"/>
                <w:sz w:val="20"/>
                <w:szCs w:val="20"/>
              </w:rPr>
            </w:pPr>
          </w:p>
        </w:tc>
      </w:tr>
      <w:tr w:rsidR="00135CC9" w:rsidRPr="009F5A17" w14:paraId="335A9C99" w14:textId="77777777" w:rsidTr="00FA326B">
        <w:trPr>
          <w:trHeight w:val="654"/>
        </w:trPr>
        <w:tc>
          <w:tcPr>
            <w:tcW w:w="1555" w:type="dxa"/>
            <w:vAlign w:val="center"/>
            <w:hideMark/>
          </w:tcPr>
          <w:p w14:paraId="3070DECF"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w:t>
            </w:r>
          </w:p>
        </w:tc>
        <w:tc>
          <w:tcPr>
            <w:tcW w:w="2268" w:type="dxa"/>
            <w:vAlign w:val="center"/>
            <w:hideMark/>
          </w:tcPr>
          <w:p w14:paraId="75207A7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 inclusive</w:t>
            </w:r>
          </w:p>
        </w:tc>
        <w:tc>
          <w:tcPr>
            <w:tcW w:w="1559" w:type="dxa"/>
            <w:vAlign w:val="center"/>
            <w:hideMark/>
          </w:tcPr>
          <w:p w14:paraId="7A075489"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w:t>
            </w:r>
          </w:p>
        </w:tc>
        <w:tc>
          <w:tcPr>
            <w:tcW w:w="1417" w:type="dxa"/>
            <w:vAlign w:val="center"/>
            <w:hideMark/>
          </w:tcPr>
          <w:p w14:paraId="0643113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0,50%</w:t>
            </w:r>
          </w:p>
        </w:tc>
        <w:tc>
          <w:tcPr>
            <w:tcW w:w="1985" w:type="dxa"/>
            <w:vAlign w:val="center"/>
            <w:hideMark/>
          </w:tcPr>
          <w:p w14:paraId="55F85826"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w:t>
            </w:r>
          </w:p>
        </w:tc>
      </w:tr>
      <w:tr w:rsidR="00135CC9" w:rsidRPr="009F5A17" w14:paraId="3556E6CB" w14:textId="77777777" w:rsidTr="00FA326B">
        <w:trPr>
          <w:trHeight w:val="654"/>
        </w:trPr>
        <w:tc>
          <w:tcPr>
            <w:tcW w:w="1555" w:type="dxa"/>
            <w:vAlign w:val="center"/>
            <w:hideMark/>
          </w:tcPr>
          <w:p w14:paraId="3636578C"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w:t>
            </w:r>
          </w:p>
        </w:tc>
        <w:tc>
          <w:tcPr>
            <w:tcW w:w="2268" w:type="dxa"/>
            <w:vAlign w:val="center"/>
            <w:hideMark/>
          </w:tcPr>
          <w:p w14:paraId="5DC97804"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12.222.319,51, inclusive</w:t>
            </w:r>
          </w:p>
        </w:tc>
        <w:tc>
          <w:tcPr>
            <w:tcW w:w="1559" w:type="dxa"/>
            <w:vAlign w:val="center"/>
            <w:hideMark/>
          </w:tcPr>
          <w:p w14:paraId="150E0959"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28.205,35</w:t>
            </w:r>
          </w:p>
        </w:tc>
        <w:tc>
          <w:tcPr>
            <w:tcW w:w="1417" w:type="dxa"/>
            <w:vAlign w:val="center"/>
            <w:hideMark/>
          </w:tcPr>
          <w:p w14:paraId="5689514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0,75%</w:t>
            </w:r>
          </w:p>
        </w:tc>
        <w:tc>
          <w:tcPr>
            <w:tcW w:w="1985" w:type="dxa"/>
            <w:vAlign w:val="center"/>
            <w:hideMark/>
          </w:tcPr>
          <w:p w14:paraId="6D00089A"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w:t>
            </w:r>
          </w:p>
        </w:tc>
      </w:tr>
      <w:tr w:rsidR="00135CC9" w:rsidRPr="009F5A17" w14:paraId="60A121D3" w14:textId="77777777" w:rsidTr="00FA326B">
        <w:trPr>
          <w:trHeight w:val="654"/>
        </w:trPr>
        <w:tc>
          <w:tcPr>
            <w:tcW w:w="1555" w:type="dxa"/>
            <w:vAlign w:val="center"/>
            <w:hideMark/>
          </w:tcPr>
          <w:p w14:paraId="61E0D47C"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12.222.319,51</w:t>
            </w:r>
          </w:p>
        </w:tc>
        <w:tc>
          <w:tcPr>
            <w:tcW w:w="2268" w:type="dxa"/>
            <w:vAlign w:val="center"/>
            <w:hideMark/>
          </w:tcPr>
          <w:p w14:paraId="0944719E"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33.846.423,25, inclusive</w:t>
            </w:r>
          </w:p>
        </w:tc>
        <w:tc>
          <w:tcPr>
            <w:tcW w:w="1559" w:type="dxa"/>
            <w:vAlign w:val="center"/>
            <w:hideMark/>
          </w:tcPr>
          <w:p w14:paraId="21C76256"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77.564,72</w:t>
            </w:r>
          </w:p>
        </w:tc>
        <w:tc>
          <w:tcPr>
            <w:tcW w:w="1417" w:type="dxa"/>
            <w:vAlign w:val="center"/>
            <w:hideMark/>
          </w:tcPr>
          <w:p w14:paraId="79144FF6"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1,00%</w:t>
            </w:r>
          </w:p>
        </w:tc>
        <w:tc>
          <w:tcPr>
            <w:tcW w:w="1985" w:type="dxa"/>
            <w:vAlign w:val="center"/>
            <w:hideMark/>
          </w:tcPr>
          <w:p w14:paraId="1B4C7E97"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12.222.319,51</w:t>
            </w:r>
          </w:p>
        </w:tc>
      </w:tr>
      <w:tr w:rsidR="00135CC9" w:rsidRPr="009F5A17" w14:paraId="7F37B9FD" w14:textId="77777777" w:rsidTr="00FA326B">
        <w:trPr>
          <w:trHeight w:val="654"/>
        </w:trPr>
        <w:tc>
          <w:tcPr>
            <w:tcW w:w="1555" w:type="dxa"/>
            <w:vAlign w:val="center"/>
            <w:hideMark/>
          </w:tcPr>
          <w:p w14:paraId="209B739F"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33.846.423,25</w:t>
            </w:r>
          </w:p>
        </w:tc>
        <w:tc>
          <w:tcPr>
            <w:tcW w:w="2268" w:type="dxa"/>
            <w:vAlign w:val="center"/>
            <w:hideMark/>
          </w:tcPr>
          <w:p w14:paraId="06AF57AF"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188.035.684,71, inclusive</w:t>
            </w:r>
          </w:p>
        </w:tc>
        <w:tc>
          <w:tcPr>
            <w:tcW w:w="1559" w:type="dxa"/>
            <w:vAlign w:val="center"/>
            <w:hideMark/>
          </w:tcPr>
          <w:p w14:paraId="0FC37B8A"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293.802,76</w:t>
            </w:r>
          </w:p>
        </w:tc>
        <w:tc>
          <w:tcPr>
            <w:tcW w:w="1417" w:type="dxa"/>
            <w:vAlign w:val="center"/>
            <w:hideMark/>
          </w:tcPr>
          <w:p w14:paraId="596721FE"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1,25%</w:t>
            </w:r>
          </w:p>
        </w:tc>
        <w:tc>
          <w:tcPr>
            <w:tcW w:w="1985" w:type="dxa"/>
            <w:vAlign w:val="center"/>
            <w:hideMark/>
          </w:tcPr>
          <w:p w14:paraId="648FE457"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33.846.423,25</w:t>
            </w:r>
          </w:p>
        </w:tc>
      </w:tr>
      <w:tr w:rsidR="00135CC9" w:rsidRPr="009F5A17" w14:paraId="5C4C17A1" w14:textId="77777777" w:rsidTr="00FA326B">
        <w:trPr>
          <w:trHeight w:val="654"/>
        </w:trPr>
        <w:tc>
          <w:tcPr>
            <w:tcW w:w="1555" w:type="dxa"/>
            <w:vAlign w:val="center"/>
            <w:hideMark/>
          </w:tcPr>
          <w:p w14:paraId="17E71DB1"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188.035.684,71</w:t>
            </w:r>
          </w:p>
        </w:tc>
        <w:tc>
          <w:tcPr>
            <w:tcW w:w="2268" w:type="dxa"/>
            <w:vAlign w:val="center"/>
            <w:hideMark/>
          </w:tcPr>
          <w:p w14:paraId="186ACFAB"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564.107.054,14, inclusive</w:t>
            </w:r>
          </w:p>
        </w:tc>
        <w:tc>
          <w:tcPr>
            <w:tcW w:w="1559" w:type="dxa"/>
            <w:vAlign w:val="center"/>
            <w:hideMark/>
          </w:tcPr>
          <w:p w14:paraId="54AD87B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2.221.171,53</w:t>
            </w:r>
          </w:p>
        </w:tc>
        <w:tc>
          <w:tcPr>
            <w:tcW w:w="1417" w:type="dxa"/>
            <w:vAlign w:val="center"/>
            <w:hideMark/>
          </w:tcPr>
          <w:p w14:paraId="203C8B51"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1,50%</w:t>
            </w:r>
          </w:p>
        </w:tc>
        <w:tc>
          <w:tcPr>
            <w:tcW w:w="1985" w:type="dxa"/>
            <w:vAlign w:val="center"/>
            <w:hideMark/>
          </w:tcPr>
          <w:p w14:paraId="4DB9645D"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188.035.684,71</w:t>
            </w:r>
          </w:p>
        </w:tc>
      </w:tr>
      <w:tr w:rsidR="00135CC9" w:rsidRPr="009F5A17" w14:paraId="784430B7" w14:textId="77777777" w:rsidTr="00FA326B">
        <w:trPr>
          <w:trHeight w:val="335"/>
        </w:trPr>
        <w:tc>
          <w:tcPr>
            <w:tcW w:w="1555" w:type="dxa"/>
            <w:vAlign w:val="center"/>
            <w:hideMark/>
          </w:tcPr>
          <w:p w14:paraId="6E335F24"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564.107.054,14</w:t>
            </w:r>
          </w:p>
        </w:tc>
        <w:tc>
          <w:tcPr>
            <w:tcW w:w="2268" w:type="dxa"/>
            <w:vAlign w:val="center"/>
            <w:hideMark/>
          </w:tcPr>
          <w:p w14:paraId="43D5D83F"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En adelante</w:t>
            </w:r>
          </w:p>
        </w:tc>
        <w:tc>
          <w:tcPr>
            <w:tcW w:w="1559" w:type="dxa"/>
            <w:vAlign w:val="center"/>
            <w:hideMark/>
          </w:tcPr>
          <w:p w14:paraId="7DD5BF93"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7.862.242,07</w:t>
            </w:r>
          </w:p>
        </w:tc>
        <w:tc>
          <w:tcPr>
            <w:tcW w:w="1417" w:type="dxa"/>
            <w:vAlign w:val="center"/>
            <w:hideMark/>
          </w:tcPr>
          <w:p w14:paraId="0C2370AD"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1,75%</w:t>
            </w:r>
          </w:p>
        </w:tc>
        <w:tc>
          <w:tcPr>
            <w:tcW w:w="1985" w:type="dxa"/>
            <w:vAlign w:val="center"/>
            <w:hideMark/>
          </w:tcPr>
          <w:p w14:paraId="46A66381"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564.107.054,14</w:t>
            </w:r>
          </w:p>
        </w:tc>
      </w:tr>
    </w:tbl>
    <w:p w14:paraId="6B0DC90D" w14:textId="77777777" w:rsidR="00135CC9" w:rsidRPr="00056B7D" w:rsidRDefault="00135CC9" w:rsidP="00135CC9">
      <w:pPr>
        <w:autoSpaceDE w:val="0"/>
        <w:autoSpaceDN w:val="0"/>
        <w:adjustRightInd w:val="0"/>
        <w:rPr>
          <w:rFonts w:ascii="Times New Roman" w:hAnsi="Times New Roman" w:cs="Times New Roman"/>
          <w:sz w:val="22"/>
          <w:szCs w:val="22"/>
        </w:rPr>
      </w:pPr>
    </w:p>
    <w:p w14:paraId="0AE6D935" w14:textId="77777777" w:rsidR="00135CC9" w:rsidRPr="004E3394" w:rsidRDefault="00135CC9" w:rsidP="00135CC9">
      <w:pPr>
        <w:tabs>
          <w:tab w:val="center" w:pos="4252"/>
          <w:tab w:val="right" w:pos="8504"/>
        </w:tabs>
        <w:rPr>
          <w:rFonts w:ascii="Times New Roman" w:hAnsi="Times New Roman" w:cs="Times New Roman"/>
          <w:sz w:val="22"/>
          <w:szCs w:val="22"/>
          <w:lang w:val="es-AR"/>
        </w:rPr>
      </w:pPr>
      <w:r w:rsidRPr="004E3394">
        <w:rPr>
          <w:rFonts w:ascii="Times New Roman" w:hAnsi="Times New Roman" w:cs="Times New Roman"/>
          <w:sz w:val="22"/>
          <w:szCs w:val="22"/>
        </w:rPr>
        <w:t>Asimismo, se ha habilitado al Poder Ejecutivo a fijar alícuotas diferenciales superiores de hasta el 2,50% para gravar los bienes situados en el exterior, así como de disminuirla para el caso de verificarse la repatriación del producto de la realización de los activos financieros allí situados. Para tales supuestos se establece (i) una definición de los bienes que se consideran como activos financieros situados en el exterior, y (ii) que el mínimo no imponible se restará en primer término de los bienes situados en el país.</w:t>
      </w:r>
    </w:p>
    <w:p w14:paraId="552785DE" w14:textId="77777777" w:rsidR="00135CC9" w:rsidRPr="004E3394" w:rsidRDefault="00135CC9" w:rsidP="00135CC9">
      <w:pPr>
        <w:tabs>
          <w:tab w:val="center" w:pos="4252"/>
          <w:tab w:val="right" w:pos="8504"/>
        </w:tabs>
        <w:rPr>
          <w:rFonts w:ascii="Times New Roman" w:hAnsi="Times New Roman" w:cs="Times New Roman"/>
          <w:sz w:val="22"/>
          <w:szCs w:val="22"/>
        </w:rPr>
      </w:pPr>
    </w:p>
    <w:p w14:paraId="684777A7" w14:textId="77777777" w:rsidR="00135CC9" w:rsidRPr="004E3394" w:rsidRDefault="00135CC9" w:rsidP="00135CC9">
      <w:pPr>
        <w:tabs>
          <w:tab w:val="center" w:pos="4252"/>
          <w:tab w:val="right" w:pos="8504"/>
        </w:tabs>
        <w:rPr>
          <w:rFonts w:ascii="Times New Roman" w:hAnsi="Times New Roman" w:cs="Times New Roman"/>
          <w:sz w:val="22"/>
          <w:szCs w:val="22"/>
        </w:rPr>
      </w:pPr>
      <w:r w:rsidRPr="004E3394">
        <w:rPr>
          <w:rFonts w:ascii="Times New Roman" w:hAnsi="Times New Roman" w:cs="Times New Roman"/>
          <w:sz w:val="22"/>
          <w:szCs w:val="22"/>
        </w:rPr>
        <w:t xml:space="preserve">En virtud de ello, a través del artículo 9° del Decreto Reglamentario 99/2019 se establecieron las siguientes alícuotas, las cuales han sido actualizadas considerando el IPC </w:t>
      </w:r>
      <w:r w:rsidRPr="004E3394">
        <w:rPr>
          <w:rFonts w:ascii="Times New Roman" w:hAnsi="Times New Roman" w:cs="Times New Roman"/>
          <w:sz w:val="22"/>
          <w:szCs w:val="20"/>
        </w:rPr>
        <w:t>correspondiente al mes de octubre del año anterior al del ajuste respecto al mismo mes del año anterior, Tal cual lo dispuesto por el Decreto 912/2021 (B.O. 31/12/2021)</w:t>
      </w:r>
      <w:r w:rsidRPr="004E3394">
        <w:rPr>
          <w:rFonts w:ascii="Times New Roman" w:hAnsi="Times New Roman" w:cs="Times New Roman"/>
          <w:sz w:val="22"/>
          <w:szCs w:val="22"/>
        </w:rPr>
        <w:t>:</w:t>
      </w:r>
    </w:p>
    <w:p w14:paraId="18C631FD" w14:textId="77777777" w:rsidR="00135CC9" w:rsidRDefault="00135CC9" w:rsidP="00135CC9">
      <w:pPr>
        <w:tabs>
          <w:tab w:val="center" w:pos="4252"/>
          <w:tab w:val="right" w:pos="8504"/>
        </w:tabs>
        <w:rPr>
          <w:rFonts w:ascii="Times New Roman" w:hAnsi="Times New Roman" w:cs="Times New Roman"/>
          <w:sz w:val="22"/>
          <w:szCs w:val="22"/>
        </w:rPr>
      </w:pPr>
    </w:p>
    <w:tbl>
      <w:tblPr>
        <w:tblW w:w="8940" w:type="dxa"/>
        <w:tblCellMar>
          <w:left w:w="70" w:type="dxa"/>
          <w:right w:w="70" w:type="dxa"/>
        </w:tblCellMar>
        <w:tblLook w:val="04A0" w:firstRow="1" w:lastRow="0" w:firstColumn="1" w:lastColumn="0" w:noHBand="0" w:noVBand="1"/>
      </w:tblPr>
      <w:tblGrid>
        <w:gridCol w:w="1600"/>
        <w:gridCol w:w="3063"/>
        <w:gridCol w:w="4277"/>
      </w:tblGrid>
      <w:tr w:rsidR="00135CC9" w:rsidRPr="009F5A17" w14:paraId="391D51F8" w14:textId="77777777" w:rsidTr="00FA326B">
        <w:trPr>
          <w:trHeight w:val="1485"/>
        </w:trPr>
        <w:tc>
          <w:tcPr>
            <w:tcW w:w="4663" w:type="dxa"/>
            <w:gridSpan w:val="2"/>
            <w:tcBorders>
              <w:top w:val="single" w:sz="12" w:space="0" w:color="000000"/>
              <w:left w:val="single" w:sz="12" w:space="0" w:color="000000"/>
              <w:bottom w:val="single" w:sz="8" w:space="0" w:color="000000"/>
              <w:right w:val="single" w:sz="8" w:space="0" w:color="000000"/>
            </w:tcBorders>
            <w:shd w:val="clear" w:color="auto" w:fill="A6A6A6"/>
            <w:vAlign w:val="center"/>
            <w:hideMark/>
          </w:tcPr>
          <w:p w14:paraId="0678751B" w14:textId="77777777" w:rsidR="00135CC9" w:rsidRPr="004E3394" w:rsidRDefault="00135CC9" w:rsidP="00FA326B">
            <w:pPr>
              <w:jc w:val="center"/>
              <w:rPr>
                <w:rFonts w:ascii="Times New Roman" w:hAnsi="Times New Roman" w:cs="Times New Roman"/>
                <w:color w:val="000000"/>
                <w:sz w:val="20"/>
                <w:szCs w:val="20"/>
                <w:lang w:val="es-AR" w:eastAsia="es-AR"/>
              </w:rPr>
            </w:pPr>
            <w:r w:rsidRPr="004E3394">
              <w:rPr>
                <w:rFonts w:ascii="Times New Roman" w:hAnsi="Times New Roman" w:cs="Times New Roman"/>
                <w:color w:val="000000"/>
                <w:sz w:val="20"/>
                <w:szCs w:val="20"/>
              </w:rPr>
              <w:t>Valor total de los bienes del país y del exterior</w:t>
            </w:r>
          </w:p>
        </w:tc>
        <w:tc>
          <w:tcPr>
            <w:tcW w:w="4277" w:type="dxa"/>
            <w:vMerge w:val="restart"/>
            <w:tcBorders>
              <w:top w:val="single" w:sz="12" w:space="0" w:color="000000"/>
              <w:left w:val="single" w:sz="8" w:space="0" w:color="000000"/>
              <w:bottom w:val="single" w:sz="8" w:space="0" w:color="000000"/>
              <w:right w:val="single" w:sz="12" w:space="0" w:color="000000"/>
            </w:tcBorders>
            <w:shd w:val="clear" w:color="auto" w:fill="A6A6A6"/>
            <w:vAlign w:val="center"/>
            <w:hideMark/>
          </w:tcPr>
          <w:p w14:paraId="56313724"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El valor total de los bienes situados en el exterior que exceda el mínimo no imponible no computado contra los bienes del país pagarán el %</w:t>
            </w:r>
          </w:p>
        </w:tc>
      </w:tr>
      <w:tr w:rsidR="00135CC9" w:rsidRPr="009F5A17" w14:paraId="0E0C3201" w14:textId="77777777" w:rsidTr="00FA326B">
        <w:trPr>
          <w:trHeight w:val="315"/>
        </w:trPr>
        <w:tc>
          <w:tcPr>
            <w:tcW w:w="1600" w:type="dxa"/>
            <w:tcBorders>
              <w:top w:val="nil"/>
              <w:left w:val="single" w:sz="12" w:space="0" w:color="000000"/>
              <w:bottom w:val="single" w:sz="8" w:space="0" w:color="000000"/>
              <w:right w:val="single" w:sz="8" w:space="0" w:color="000000"/>
            </w:tcBorders>
            <w:shd w:val="clear" w:color="auto" w:fill="A6A6A6"/>
            <w:vAlign w:val="center"/>
            <w:hideMark/>
          </w:tcPr>
          <w:p w14:paraId="34DE748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Más de $</w:t>
            </w:r>
          </w:p>
        </w:tc>
        <w:tc>
          <w:tcPr>
            <w:tcW w:w="3063" w:type="dxa"/>
            <w:tcBorders>
              <w:top w:val="nil"/>
              <w:left w:val="nil"/>
              <w:bottom w:val="single" w:sz="8" w:space="0" w:color="000000"/>
              <w:right w:val="single" w:sz="8" w:space="0" w:color="000000"/>
            </w:tcBorders>
            <w:shd w:val="clear" w:color="auto" w:fill="A6A6A6"/>
            <w:vAlign w:val="center"/>
            <w:hideMark/>
          </w:tcPr>
          <w:p w14:paraId="55294C4A"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a $</w:t>
            </w:r>
          </w:p>
        </w:tc>
        <w:tc>
          <w:tcPr>
            <w:tcW w:w="4277" w:type="dxa"/>
            <w:vMerge/>
            <w:tcBorders>
              <w:top w:val="single" w:sz="12" w:space="0" w:color="000000"/>
              <w:left w:val="single" w:sz="8" w:space="0" w:color="000000"/>
              <w:bottom w:val="single" w:sz="8" w:space="0" w:color="000000"/>
              <w:right w:val="single" w:sz="12" w:space="0" w:color="000000"/>
            </w:tcBorders>
            <w:vAlign w:val="center"/>
            <w:hideMark/>
          </w:tcPr>
          <w:p w14:paraId="2C608648" w14:textId="77777777" w:rsidR="00135CC9" w:rsidRPr="004E3394" w:rsidRDefault="00135CC9" w:rsidP="00FA326B">
            <w:pPr>
              <w:rPr>
                <w:rFonts w:ascii="Times New Roman" w:eastAsia="Times New Roman" w:hAnsi="Times New Roman" w:cs="Times New Roman"/>
                <w:color w:val="000000"/>
                <w:sz w:val="20"/>
                <w:szCs w:val="20"/>
              </w:rPr>
            </w:pPr>
          </w:p>
        </w:tc>
      </w:tr>
      <w:tr w:rsidR="00135CC9" w:rsidRPr="009F5A17" w14:paraId="26799E52" w14:textId="77777777" w:rsidTr="00FA326B">
        <w:trPr>
          <w:trHeight w:val="615"/>
        </w:trPr>
        <w:tc>
          <w:tcPr>
            <w:tcW w:w="1600" w:type="dxa"/>
            <w:tcBorders>
              <w:top w:val="nil"/>
              <w:left w:val="single" w:sz="12" w:space="0" w:color="000000"/>
              <w:bottom w:val="single" w:sz="8" w:space="0" w:color="000000"/>
              <w:right w:val="single" w:sz="8" w:space="0" w:color="000000"/>
            </w:tcBorders>
            <w:vAlign w:val="center"/>
            <w:hideMark/>
          </w:tcPr>
          <w:p w14:paraId="04E70C89"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w:t>
            </w:r>
          </w:p>
        </w:tc>
        <w:tc>
          <w:tcPr>
            <w:tcW w:w="3063" w:type="dxa"/>
            <w:tcBorders>
              <w:top w:val="nil"/>
              <w:left w:val="nil"/>
              <w:bottom w:val="single" w:sz="8" w:space="0" w:color="000000"/>
              <w:right w:val="single" w:sz="8" w:space="0" w:color="000000"/>
            </w:tcBorders>
            <w:vAlign w:val="center"/>
            <w:hideMark/>
          </w:tcPr>
          <w:p w14:paraId="2ED891C7"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 inclusive</w:t>
            </w:r>
          </w:p>
        </w:tc>
        <w:tc>
          <w:tcPr>
            <w:tcW w:w="4277" w:type="dxa"/>
            <w:tcBorders>
              <w:top w:val="nil"/>
              <w:left w:val="nil"/>
              <w:bottom w:val="single" w:sz="8" w:space="0" w:color="000000"/>
              <w:right w:val="single" w:sz="12" w:space="0" w:color="000000"/>
            </w:tcBorders>
            <w:vAlign w:val="center"/>
            <w:hideMark/>
          </w:tcPr>
          <w:p w14:paraId="455D4700"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0,7</w:t>
            </w:r>
          </w:p>
        </w:tc>
      </w:tr>
      <w:tr w:rsidR="00135CC9" w:rsidRPr="009F5A17" w14:paraId="68AD321F" w14:textId="77777777" w:rsidTr="00FA326B">
        <w:trPr>
          <w:trHeight w:val="615"/>
        </w:trPr>
        <w:tc>
          <w:tcPr>
            <w:tcW w:w="1600" w:type="dxa"/>
            <w:tcBorders>
              <w:top w:val="nil"/>
              <w:left w:val="single" w:sz="12" w:space="0" w:color="000000"/>
              <w:bottom w:val="single" w:sz="8" w:space="0" w:color="000000"/>
              <w:right w:val="single" w:sz="8" w:space="0" w:color="000000"/>
            </w:tcBorders>
            <w:vAlign w:val="center"/>
            <w:hideMark/>
          </w:tcPr>
          <w:p w14:paraId="22BB890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5.641.070,54</w:t>
            </w:r>
          </w:p>
        </w:tc>
        <w:tc>
          <w:tcPr>
            <w:tcW w:w="3063" w:type="dxa"/>
            <w:tcBorders>
              <w:top w:val="nil"/>
              <w:left w:val="nil"/>
              <w:bottom w:val="single" w:sz="8" w:space="0" w:color="000000"/>
              <w:right w:val="single" w:sz="8" w:space="0" w:color="000000"/>
            </w:tcBorders>
            <w:vAlign w:val="center"/>
            <w:hideMark/>
          </w:tcPr>
          <w:p w14:paraId="0F84B833"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12.222.319,51, inclusive</w:t>
            </w:r>
          </w:p>
        </w:tc>
        <w:tc>
          <w:tcPr>
            <w:tcW w:w="4277" w:type="dxa"/>
            <w:tcBorders>
              <w:top w:val="nil"/>
              <w:left w:val="nil"/>
              <w:bottom w:val="single" w:sz="8" w:space="0" w:color="000000"/>
              <w:right w:val="single" w:sz="12" w:space="0" w:color="000000"/>
            </w:tcBorders>
            <w:vAlign w:val="center"/>
            <w:hideMark/>
          </w:tcPr>
          <w:p w14:paraId="719B2A28"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w:t>
            </w:r>
          </w:p>
        </w:tc>
      </w:tr>
      <w:tr w:rsidR="00135CC9" w:rsidRPr="009F5A17" w14:paraId="53CDBF3A" w14:textId="77777777" w:rsidTr="00FA326B">
        <w:trPr>
          <w:trHeight w:val="615"/>
        </w:trPr>
        <w:tc>
          <w:tcPr>
            <w:tcW w:w="1600" w:type="dxa"/>
            <w:tcBorders>
              <w:top w:val="nil"/>
              <w:left w:val="single" w:sz="12" w:space="0" w:color="000000"/>
              <w:bottom w:val="single" w:sz="8" w:space="0" w:color="000000"/>
              <w:right w:val="single" w:sz="8" w:space="0" w:color="000000"/>
            </w:tcBorders>
            <w:vAlign w:val="center"/>
            <w:hideMark/>
          </w:tcPr>
          <w:p w14:paraId="5768B730"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12.222.319,51</w:t>
            </w:r>
          </w:p>
        </w:tc>
        <w:tc>
          <w:tcPr>
            <w:tcW w:w="3063" w:type="dxa"/>
            <w:tcBorders>
              <w:top w:val="nil"/>
              <w:left w:val="nil"/>
              <w:bottom w:val="single" w:sz="8" w:space="0" w:color="000000"/>
              <w:right w:val="single" w:sz="8" w:space="0" w:color="000000"/>
            </w:tcBorders>
            <w:vAlign w:val="center"/>
            <w:hideMark/>
          </w:tcPr>
          <w:p w14:paraId="674883CD"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33.846.423,25, inclusive</w:t>
            </w:r>
          </w:p>
        </w:tc>
        <w:tc>
          <w:tcPr>
            <w:tcW w:w="4277" w:type="dxa"/>
            <w:tcBorders>
              <w:top w:val="nil"/>
              <w:left w:val="nil"/>
              <w:bottom w:val="single" w:sz="8" w:space="0" w:color="000000"/>
              <w:right w:val="single" w:sz="12" w:space="0" w:color="000000"/>
            </w:tcBorders>
            <w:vAlign w:val="center"/>
            <w:hideMark/>
          </w:tcPr>
          <w:p w14:paraId="63F547BB"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1,8</w:t>
            </w:r>
          </w:p>
        </w:tc>
      </w:tr>
      <w:tr w:rsidR="00135CC9" w:rsidRPr="009F5A17" w14:paraId="28381015" w14:textId="77777777" w:rsidTr="00FA326B">
        <w:trPr>
          <w:trHeight w:val="315"/>
        </w:trPr>
        <w:tc>
          <w:tcPr>
            <w:tcW w:w="1600" w:type="dxa"/>
            <w:tcBorders>
              <w:top w:val="nil"/>
              <w:left w:val="single" w:sz="12" w:space="0" w:color="000000"/>
              <w:bottom w:val="single" w:sz="12" w:space="0" w:color="000000"/>
              <w:right w:val="single" w:sz="8" w:space="0" w:color="000000"/>
            </w:tcBorders>
            <w:vAlign w:val="center"/>
            <w:hideMark/>
          </w:tcPr>
          <w:p w14:paraId="172DFC4C"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33.846.423,25</w:t>
            </w:r>
          </w:p>
        </w:tc>
        <w:tc>
          <w:tcPr>
            <w:tcW w:w="3063" w:type="dxa"/>
            <w:tcBorders>
              <w:top w:val="nil"/>
              <w:left w:val="nil"/>
              <w:bottom w:val="single" w:sz="12" w:space="0" w:color="000000"/>
              <w:right w:val="single" w:sz="8" w:space="0" w:color="000000"/>
            </w:tcBorders>
            <w:vAlign w:val="center"/>
            <w:hideMark/>
          </w:tcPr>
          <w:p w14:paraId="5A34BC7C"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En adelante</w:t>
            </w:r>
          </w:p>
        </w:tc>
        <w:tc>
          <w:tcPr>
            <w:tcW w:w="4277" w:type="dxa"/>
            <w:tcBorders>
              <w:top w:val="nil"/>
              <w:left w:val="nil"/>
              <w:bottom w:val="single" w:sz="12" w:space="0" w:color="000000"/>
              <w:right w:val="single" w:sz="12" w:space="0" w:color="000000"/>
            </w:tcBorders>
            <w:vAlign w:val="center"/>
            <w:hideMark/>
          </w:tcPr>
          <w:p w14:paraId="342FC8D3" w14:textId="77777777" w:rsidR="00135CC9" w:rsidRPr="004E3394" w:rsidRDefault="00135CC9" w:rsidP="00FA326B">
            <w:pPr>
              <w:jc w:val="center"/>
              <w:rPr>
                <w:rFonts w:ascii="Times New Roman" w:hAnsi="Times New Roman" w:cs="Times New Roman"/>
                <w:color w:val="000000"/>
                <w:sz w:val="20"/>
                <w:szCs w:val="20"/>
              </w:rPr>
            </w:pPr>
            <w:r w:rsidRPr="004E3394">
              <w:rPr>
                <w:rFonts w:ascii="Times New Roman" w:hAnsi="Times New Roman" w:cs="Times New Roman"/>
                <w:color w:val="000000"/>
                <w:sz w:val="20"/>
                <w:szCs w:val="20"/>
              </w:rPr>
              <w:t>2,25</w:t>
            </w:r>
          </w:p>
        </w:tc>
      </w:tr>
    </w:tbl>
    <w:p w14:paraId="09CDCFC5" w14:textId="77777777" w:rsidR="00135CC9" w:rsidRDefault="00135CC9" w:rsidP="00135CC9">
      <w:pPr>
        <w:tabs>
          <w:tab w:val="center" w:pos="4252"/>
          <w:tab w:val="right" w:pos="8504"/>
        </w:tabs>
        <w:rPr>
          <w:rFonts w:ascii="Times New Roman" w:hAnsi="Times New Roman" w:cs="Times New Roman"/>
          <w:sz w:val="22"/>
          <w:szCs w:val="22"/>
        </w:rPr>
      </w:pPr>
    </w:p>
    <w:p w14:paraId="37A87FC0" w14:textId="77777777" w:rsidR="00135CC9" w:rsidRDefault="00135CC9" w:rsidP="00135CC9">
      <w:pPr>
        <w:pStyle w:val="Encabezado"/>
        <w:rPr>
          <w:rFonts w:ascii="Times New Roman" w:hAnsi="Times New Roman"/>
          <w:sz w:val="22"/>
          <w:szCs w:val="22"/>
        </w:rPr>
      </w:pPr>
      <w:r w:rsidRPr="00056B7D">
        <w:rPr>
          <w:rFonts w:ascii="Times New Roman" w:hAnsi="Times New Roman"/>
          <w:sz w:val="22"/>
          <w:szCs w:val="22"/>
        </w:rPr>
        <w:t>Es dable destacar que tanto el Mínimo No Imponible y las escalas mencionadas se actualizarán año a año en base a la variación del IPC correspondiente al mes de octubre del año anterior al del ajuste respecto al mismo mes del año anterior.</w:t>
      </w:r>
    </w:p>
    <w:p w14:paraId="5639B1A7" w14:textId="77777777" w:rsidR="00135CC9" w:rsidRPr="00056B7D" w:rsidRDefault="00135CC9" w:rsidP="00135CC9">
      <w:pPr>
        <w:pStyle w:val="Encabezado"/>
        <w:rPr>
          <w:rFonts w:ascii="Times New Roman" w:hAnsi="Times New Roman"/>
          <w:sz w:val="22"/>
          <w:szCs w:val="22"/>
        </w:rPr>
      </w:pPr>
    </w:p>
    <w:p w14:paraId="7E6149C0" w14:textId="77777777" w:rsidR="00135CC9" w:rsidRPr="00056B7D" w:rsidRDefault="00135CC9" w:rsidP="00135CC9">
      <w:pPr>
        <w:pStyle w:val="Encabezado"/>
        <w:rPr>
          <w:rFonts w:ascii="Times New Roman" w:hAnsi="Times New Roman"/>
          <w:sz w:val="22"/>
          <w:szCs w:val="22"/>
        </w:rPr>
      </w:pPr>
      <w:r w:rsidRPr="00056B7D">
        <w:rPr>
          <w:rFonts w:ascii="Times New Roman" w:hAnsi="Times New Roman"/>
          <w:sz w:val="22"/>
          <w:szCs w:val="22"/>
        </w:rPr>
        <w:t>Por otro lado, faculta al Poder Ejecutivo a disminuir estas últimas para el caso de verificarse la repatriación del producto de la realización de los activos financieros allí situados. Para tales supuestos se establece (i) una definición de los bienes que se consideran como activos financieros situados en el exterior, y (ii) que el mínimo no imponible se restará en primer término de los bienes situados en el país.</w:t>
      </w:r>
    </w:p>
    <w:p w14:paraId="75575524" w14:textId="77777777" w:rsidR="00135CC9" w:rsidRPr="00056B7D" w:rsidRDefault="00135CC9" w:rsidP="00135CC9">
      <w:pPr>
        <w:tabs>
          <w:tab w:val="center" w:pos="4252"/>
          <w:tab w:val="right" w:pos="8504"/>
        </w:tabs>
        <w:rPr>
          <w:rFonts w:ascii="Times New Roman" w:hAnsi="Times New Roman" w:cs="Times New Roman"/>
          <w:sz w:val="22"/>
          <w:szCs w:val="22"/>
          <w:lang w:val="es-AR"/>
        </w:rPr>
      </w:pPr>
    </w:p>
    <w:p w14:paraId="326A32CD" w14:textId="77777777" w:rsidR="00135CC9" w:rsidRPr="00056B7D" w:rsidRDefault="00135CC9" w:rsidP="00135CC9">
      <w:pPr>
        <w:pStyle w:val="Encabezado"/>
        <w:rPr>
          <w:rFonts w:ascii="Times New Roman" w:hAnsi="Times New Roman"/>
          <w:sz w:val="22"/>
          <w:szCs w:val="22"/>
        </w:rPr>
      </w:pPr>
      <w:r w:rsidRPr="00056B7D">
        <w:rPr>
          <w:rFonts w:ascii="Times New Roman" w:hAnsi="Times New Roman"/>
          <w:sz w:val="22"/>
          <w:szCs w:val="22"/>
        </w:rPr>
        <w:t>Conforme ello, de acuerdo al Decreto Reglamentario N° 912/2021 publicado en el Boletín Oficial el 31 de Diciembre del 2021, se establece que quienes repatrien  activos financieros al 31 de marzo del año siguiente al del período fiscal por -al menos- un 5% del total del valor de los bienes situados en el exterior, se encontrarán exceptuados de aplicar las alícuotas diferenciales y siempre que los fondos repatriados continúen depositados en una cuenta especial abierta a nombre de su titular hasta el 31 de diciembre del año en que se esté repatriando o habiendo repatriado cuando dichos fondos por el total o parcialmente (si fuese parcial el remanente debe continuar permaneciendo en el poder del contribuyente) se utilicen para:</w:t>
      </w:r>
    </w:p>
    <w:p w14:paraId="2F2BAB87" w14:textId="77777777" w:rsidR="00135CC9" w:rsidRPr="00056B7D" w:rsidRDefault="00135CC9" w:rsidP="00135CC9">
      <w:pPr>
        <w:pStyle w:val="Encabezado"/>
        <w:ind w:left="720"/>
        <w:rPr>
          <w:rFonts w:ascii="Times New Roman" w:hAnsi="Times New Roman"/>
          <w:sz w:val="22"/>
          <w:szCs w:val="22"/>
        </w:rPr>
      </w:pPr>
    </w:p>
    <w:p w14:paraId="396037B4" w14:textId="77777777" w:rsidR="00135CC9" w:rsidRPr="00056B7D" w:rsidRDefault="00135CC9" w:rsidP="00135CC9">
      <w:pPr>
        <w:pStyle w:val="Encabezado"/>
        <w:numPr>
          <w:ilvl w:val="0"/>
          <w:numId w:val="59"/>
        </w:numPr>
        <w:tabs>
          <w:tab w:val="clear" w:pos="4252"/>
          <w:tab w:val="clear" w:pos="8504"/>
          <w:tab w:val="center" w:pos="4419"/>
          <w:tab w:val="right" w:pos="8838"/>
        </w:tabs>
        <w:rPr>
          <w:rFonts w:ascii="Times New Roman" w:hAnsi="Times New Roman"/>
          <w:sz w:val="22"/>
          <w:szCs w:val="22"/>
        </w:rPr>
      </w:pPr>
      <w:r w:rsidRPr="00056B7D">
        <w:rPr>
          <w:rFonts w:ascii="Times New Roman" w:hAnsi="Times New Roman"/>
          <w:sz w:val="22"/>
          <w:szCs w:val="22"/>
        </w:rPr>
        <w:t>venta en el mercado libre de cambios, a través de la entidad financiera que recibió la transferencia original desde el exterior;</w:t>
      </w:r>
    </w:p>
    <w:p w14:paraId="3B45D02E" w14:textId="77777777" w:rsidR="00135CC9" w:rsidRPr="00056B7D" w:rsidRDefault="00135CC9" w:rsidP="00135CC9">
      <w:pPr>
        <w:pStyle w:val="Encabezado"/>
        <w:numPr>
          <w:ilvl w:val="0"/>
          <w:numId w:val="59"/>
        </w:numPr>
        <w:tabs>
          <w:tab w:val="clear" w:pos="4252"/>
          <w:tab w:val="clear" w:pos="8504"/>
          <w:tab w:val="center" w:pos="4419"/>
          <w:tab w:val="right" w:pos="8838"/>
        </w:tabs>
        <w:rPr>
          <w:rFonts w:ascii="Times New Roman" w:hAnsi="Times New Roman"/>
          <w:sz w:val="22"/>
          <w:szCs w:val="22"/>
        </w:rPr>
      </w:pPr>
      <w:r w:rsidRPr="00056B7D">
        <w:rPr>
          <w:rFonts w:ascii="Times New Roman" w:hAnsi="Times New Roman"/>
          <w:sz w:val="22"/>
          <w:szCs w:val="22"/>
        </w:rPr>
        <w:t>Compra de certificados de participación y/o títulos de deuda de fideicomisos de inversión productiva que constituya el Banco De Inversión Y Comercio Exterior, en carácter de fiduciario y que dicha inversión se mantenga hasta el 31 de diciembre, inclusive, del año calendario en que se produjo la repatriación. Sus resultados también deben mantenerse en iguales condiciones; o</w:t>
      </w:r>
    </w:p>
    <w:p w14:paraId="00503BBF" w14:textId="77777777" w:rsidR="00135CC9" w:rsidRPr="00056B7D" w:rsidRDefault="00135CC9" w:rsidP="00135CC9">
      <w:pPr>
        <w:pStyle w:val="Encabezado"/>
        <w:numPr>
          <w:ilvl w:val="0"/>
          <w:numId w:val="59"/>
        </w:numPr>
        <w:tabs>
          <w:tab w:val="clear" w:pos="4252"/>
          <w:tab w:val="clear" w:pos="8504"/>
          <w:tab w:val="center" w:pos="4419"/>
          <w:tab w:val="right" w:pos="8838"/>
        </w:tabs>
        <w:rPr>
          <w:rFonts w:ascii="Times New Roman" w:hAnsi="Times New Roman"/>
          <w:sz w:val="22"/>
          <w:szCs w:val="22"/>
        </w:rPr>
      </w:pPr>
      <w:r w:rsidRPr="00056B7D">
        <w:rPr>
          <w:rFonts w:ascii="Times New Roman" w:hAnsi="Times New Roman"/>
          <w:sz w:val="22"/>
          <w:szCs w:val="22"/>
        </w:rPr>
        <w:t xml:space="preserve">Suscripción o adquisición de cuotapartes de fondos comunes de inversión existentes o a crearse, en el marco de la Ley N° 24.083 y sus modificaciones, que cumplan con los requisitos exigidos por la Comisión Nacional De Valores cuando se mantengan hasta el 31 de diciembre, inclusive, del año calendario en que se produjo la repatriación. Sus resultados también deben mantenerse en iguales condiciones. </w:t>
      </w:r>
    </w:p>
    <w:p w14:paraId="2110C95C" w14:textId="77777777" w:rsidR="00135CC9" w:rsidRPr="00056B7D" w:rsidRDefault="00135CC9" w:rsidP="00135CC9">
      <w:pPr>
        <w:pStyle w:val="Encabezado"/>
        <w:ind w:left="720"/>
        <w:rPr>
          <w:rFonts w:ascii="Times New Roman" w:hAnsi="Times New Roman"/>
          <w:sz w:val="22"/>
          <w:szCs w:val="22"/>
          <w:lang w:val="es-AR"/>
        </w:rPr>
      </w:pPr>
    </w:p>
    <w:p w14:paraId="1C098007" w14:textId="77777777" w:rsidR="00135CC9" w:rsidRPr="00056B7D" w:rsidRDefault="00135CC9" w:rsidP="00135CC9">
      <w:pPr>
        <w:tabs>
          <w:tab w:val="center" w:pos="4252"/>
          <w:tab w:val="right" w:pos="8504"/>
        </w:tabs>
        <w:rPr>
          <w:rFonts w:ascii="Times New Roman" w:hAnsi="Times New Roman" w:cs="Times New Roman"/>
          <w:sz w:val="22"/>
          <w:szCs w:val="22"/>
          <w:lang w:val="es-AR"/>
        </w:rPr>
      </w:pPr>
      <w:r w:rsidRPr="00056B7D">
        <w:rPr>
          <w:rFonts w:ascii="Times New Roman" w:hAnsi="Times New Roman" w:cs="Times New Roman"/>
          <w:sz w:val="22"/>
          <w:szCs w:val="22"/>
          <w:lang w:val="es-AR"/>
        </w:rPr>
        <w:t xml:space="preserve"> A su vez, respecto de las personas humanas y las sucesiones indivisas domiciliadas o radicadas en el extranjero, el referido impuesto debe ser pagado por la persona domiciliada en la Argentina que tenga el dominio, posesión, uso, goce, disposición, depósito, tenencia, custodia, administración o guarda de los valores (el “Responsable Sustituto”), que deberá aplicar la alícuota del 0,5% (antes 0,25%).</w:t>
      </w:r>
    </w:p>
    <w:p w14:paraId="338157D9" w14:textId="77777777" w:rsidR="00135CC9" w:rsidRPr="00056B7D" w:rsidRDefault="00135CC9" w:rsidP="00135CC9">
      <w:pPr>
        <w:tabs>
          <w:tab w:val="center" w:pos="4252"/>
          <w:tab w:val="right" w:pos="8504"/>
        </w:tabs>
        <w:rPr>
          <w:rFonts w:ascii="Times New Roman" w:hAnsi="Times New Roman" w:cs="Times New Roman"/>
          <w:sz w:val="22"/>
          <w:szCs w:val="22"/>
          <w:lang w:val="es-AR"/>
        </w:rPr>
      </w:pPr>
      <w:r w:rsidRPr="00056B7D">
        <w:rPr>
          <w:rFonts w:ascii="Times New Roman" w:hAnsi="Times New Roman" w:cs="Times New Roman"/>
          <w:sz w:val="22"/>
          <w:szCs w:val="22"/>
          <w:lang w:val="es-AR"/>
        </w:rPr>
        <w:t>El Responsable Sustituto podrá recuperar las sumas pagadas en concepto de Impuesto sobre los Bienes Personales, reteniendo o enajenando los Valores Fiduciarios respecto de los cuales el impuesto resultó aplicable. El impuesto no resultará aplicable a las personas humanas o sucesiones indivisas residentes en el exterior que sean tenedores respecto de quienes no exista un Responsable Sustituto en la Argentina. </w:t>
      </w:r>
    </w:p>
    <w:p w14:paraId="0413E85E" w14:textId="77777777" w:rsidR="00135CC9" w:rsidRDefault="00135CC9" w:rsidP="00135CC9">
      <w:pPr>
        <w:tabs>
          <w:tab w:val="center" w:pos="4252"/>
          <w:tab w:val="right" w:pos="8504"/>
        </w:tabs>
        <w:rPr>
          <w:rFonts w:ascii="Times New Roman" w:hAnsi="Times New Roman" w:cs="Times New Roman"/>
          <w:sz w:val="22"/>
          <w:szCs w:val="22"/>
          <w:lang w:val="es-AR"/>
        </w:rPr>
      </w:pPr>
    </w:p>
    <w:p w14:paraId="0AC60B09" w14:textId="77777777" w:rsidR="00135CC9" w:rsidRPr="00056B7D" w:rsidRDefault="00135CC9" w:rsidP="00135CC9">
      <w:pPr>
        <w:tabs>
          <w:tab w:val="center" w:pos="4252"/>
          <w:tab w:val="right" w:pos="8504"/>
        </w:tabs>
        <w:rPr>
          <w:rFonts w:ascii="Times New Roman" w:hAnsi="Times New Roman" w:cs="Times New Roman"/>
          <w:sz w:val="22"/>
          <w:szCs w:val="22"/>
          <w:lang w:val="es-AR"/>
        </w:rPr>
      </w:pPr>
      <w:r w:rsidRPr="00056B7D">
        <w:rPr>
          <w:rFonts w:ascii="Times New Roman" w:hAnsi="Times New Roman" w:cs="Times New Roman"/>
          <w:sz w:val="22"/>
          <w:szCs w:val="22"/>
          <w:lang w:val="es-AR"/>
        </w:rPr>
        <w:t>Cabe aclarar que la Ley N° 27.541 ha establecido que con efectos a partir del periodo fiscal 2019, respecto de la condición de los contribuyentes el sujeto del impuesto se regirá por el criterio de residencia en los términos de los artículos 119 y siguientes de la Ley del Impuesto a las Ganancias (t.o. 2019), quedando sin efecto el criterio del domicilio.</w:t>
      </w:r>
    </w:p>
    <w:p w14:paraId="6AA2042D" w14:textId="77777777" w:rsidR="00135CC9" w:rsidRDefault="00135CC9" w:rsidP="00135CC9">
      <w:pPr>
        <w:pStyle w:val="Encabezado"/>
        <w:rPr>
          <w:rFonts w:ascii="Times New Roman" w:hAnsi="Times New Roman"/>
          <w:sz w:val="22"/>
          <w:szCs w:val="22"/>
          <w:lang w:val="es-AR"/>
        </w:rPr>
      </w:pPr>
    </w:p>
    <w:p w14:paraId="64871D1E" w14:textId="77777777" w:rsidR="00135CC9" w:rsidRPr="00056B7D" w:rsidRDefault="00135CC9" w:rsidP="00135CC9">
      <w:pPr>
        <w:pStyle w:val="Encabezado"/>
        <w:rPr>
          <w:rFonts w:ascii="Times New Roman" w:hAnsi="Times New Roman"/>
          <w:sz w:val="22"/>
          <w:szCs w:val="22"/>
          <w:lang w:val="es-AR"/>
        </w:rPr>
      </w:pPr>
      <w:r w:rsidRPr="00056B7D">
        <w:rPr>
          <w:rFonts w:ascii="Times New Roman" w:hAnsi="Times New Roman"/>
          <w:sz w:val="22"/>
          <w:szCs w:val="22"/>
          <w:lang w:val="es-AR"/>
        </w:rPr>
        <w:t>Finalmente, cabe mencionar que la Ley 27.638 (B.O. 4/8/2021) reglamentada por Decreto 621/2021 incluyó dentro de la exención impositiva del Impuesto a los Bienes Personales a las cuotapartes de fondos comunes de inversión comprendidos en el artículo 1º de la ley 24.083 y sus modificatorias, y los certificados de participación y valores representativos de deuda fiduciaria de fideicomisos financieros constituidos en los términos del CCCN que hubiesen sido colocados por oferta pública con autorización de la CNV y cuyo activo subyacente principal esté integrado, como mínimo, en un porcentaje a determinar por la reglamentación, por los depósitos y bienes a los que se refieren los incisos g), h), i) y j) de este artículo.</w:t>
      </w:r>
    </w:p>
    <w:p w14:paraId="2E7501E2" w14:textId="77777777" w:rsidR="00135CC9" w:rsidRPr="00056B7D" w:rsidRDefault="00135CC9" w:rsidP="00135CC9">
      <w:pPr>
        <w:pStyle w:val="Encabezado"/>
        <w:rPr>
          <w:rFonts w:ascii="Times New Roman" w:hAnsi="Times New Roman"/>
          <w:sz w:val="22"/>
          <w:szCs w:val="22"/>
          <w:lang w:val="es-AR"/>
        </w:rPr>
      </w:pPr>
    </w:p>
    <w:p w14:paraId="59D609DA" w14:textId="77777777" w:rsidR="00135CC9" w:rsidRPr="00056B7D" w:rsidRDefault="00135CC9" w:rsidP="00135CC9">
      <w:pPr>
        <w:pStyle w:val="Encabezado"/>
        <w:rPr>
          <w:rFonts w:ascii="Times New Roman" w:hAnsi="Times New Roman"/>
          <w:sz w:val="22"/>
          <w:szCs w:val="22"/>
          <w:lang w:val="es-AR"/>
        </w:rPr>
      </w:pPr>
      <w:r w:rsidRPr="00056B7D">
        <w:rPr>
          <w:rFonts w:ascii="Times New Roman" w:hAnsi="Times New Roman"/>
          <w:sz w:val="22"/>
          <w:szCs w:val="22"/>
          <w:lang w:val="es-AR"/>
        </w:rPr>
        <w:t xml:space="preserve">A los efectos de determinar si resulta aplicable la exención para fideicomisos financieros y fondos comunes de inversión, se considerará que existe un activo subyacente principal cuando una misma clase de depósitos o bienes, o el conjunto de estos, representen, como mínimo, un 75 % del total de las inversiones del fondo común de inversión o del fideicomiso financiero. </w:t>
      </w:r>
    </w:p>
    <w:p w14:paraId="0344C65E" w14:textId="77777777" w:rsidR="00135CC9" w:rsidRPr="00056B7D" w:rsidRDefault="00135CC9" w:rsidP="00135CC9">
      <w:pPr>
        <w:pStyle w:val="Encabezado"/>
        <w:rPr>
          <w:rFonts w:ascii="Times New Roman" w:hAnsi="Times New Roman"/>
          <w:sz w:val="22"/>
          <w:szCs w:val="22"/>
          <w:lang w:val="es-AR"/>
        </w:rPr>
      </w:pPr>
    </w:p>
    <w:p w14:paraId="007AB348" w14:textId="77777777" w:rsidR="00135CC9" w:rsidRPr="00056B7D" w:rsidRDefault="00135CC9" w:rsidP="00135CC9">
      <w:pPr>
        <w:pStyle w:val="Encabezado"/>
        <w:rPr>
          <w:rFonts w:ascii="Times New Roman" w:hAnsi="Times New Roman"/>
          <w:sz w:val="22"/>
          <w:szCs w:val="22"/>
          <w:lang w:val="es-AR"/>
        </w:rPr>
      </w:pPr>
      <w:r w:rsidRPr="00056B7D">
        <w:rPr>
          <w:rFonts w:ascii="Times New Roman" w:hAnsi="Times New Roman"/>
          <w:sz w:val="22"/>
          <w:szCs w:val="22"/>
          <w:lang w:val="es-AR"/>
        </w:rPr>
        <w:t>No se tendrá por cumplido el porcentaje si se produjera una modificación en la composición de los depósitos y bienes del fondo común de inversión o del fideicomiso financiero, que los disminuyera por debajo del 75 % allí indicado durante un período continuo o discontinuo de, como mínimo, TREINTA (30) días en un año calendario cuando se trate de cuotapartes o certificados de participación o valores representativos de deuda fiduciaria cuyos vehículos estuviesen constituidos al 1° de enero de ese año calendario o, de ocurrir esto último con posterioridad a esa fecha, por un plazo equivalente a la proporción de días considerando el momento de su constitución.</w:t>
      </w:r>
    </w:p>
    <w:p w14:paraId="7E3C8E4C" w14:textId="77777777" w:rsidR="00135CC9" w:rsidRPr="00A2024E" w:rsidRDefault="00135CC9" w:rsidP="00135CC9">
      <w:pPr>
        <w:tabs>
          <w:tab w:val="center" w:pos="4252"/>
          <w:tab w:val="right" w:pos="8504"/>
        </w:tabs>
        <w:rPr>
          <w:rFonts w:ascii="Times New Roman" w:hAnsi="Times New Roman" w:cs="Times New Roman"/>
          <w:sz w:val="22"/>
          <w:szCs w:val="22"/>
        </w:rPr>
      </w:pPr>
    </w:p>
    <w:p w14:paraId="742BF2D6"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w:t>
      </w:r>
      <w:r>
        <w:rPr>
          <w:rFonts w:ascii="Times New Roman" w:eastAsia="Times New Roman" w:hAnsi="Times New Roman" w:cs="Times New Roman"/>
          <w:b/>
          <w:bCs/>
          <w:sz w:val="22"/>
          <w:szCs w:val="22"/>
          <w:lang w:val="es-ES"/>
        </w:rPr>
        <w:t>5</w:t>
      </w:r>
      <w:r w:rsidRPr="00506990">
        <w:rPr>
          <w:rFonts w:ascii="Times New Roman" w:eastAsia="Times New Roman" w:hAnsi="Times New Roman" w:cs="Times New Roman"/>
          <w:b/>
          <w:bCs/>
          <w:sz w:val="22"/>
          <w:szCs w:val="22"/>
          <w:lang w:val="es-ES"/>
        </w:rPr>
        <w:t xml:space="preserve">. Impuesto sobre los Débitos y Créditos en Cuentas Corrientes Bancarias </w:t>
      </w:r>
    </w:p>
    <w:p w14:paraId="550FE4DE"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p>
    <w:p w14:paraId="5DCBEC7E" w14:textId="77777777" w:rsidR="00135CC9" w:rsidRPr="00506990" w:rsidRDefault="00135CC9" w:rsidP="00135CC9">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La compra, transferencia, percepción de toda suma u otros movimientos vinculados con estos títulos valores, efectuados a través de cuentas corrientes bancarias, estará alcanzado por el impuesto a la alícuota general del 0,6%.</w:t>
      </w:r>
    </w:p>
    <w:p w14:paraId="733C816D"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De acuerdo a lo dispuesto por el Decreto Nº 409//2018 (Boletín Oficial 07/05/2018, el cual sustituyó el articulo 13 al Decreto Nº380/2001 (reglamentario de la Ley 25413 de Impuesto sobre los Débitos y Créditos en Cuentas Bancarias) los titulares de cuentas bancarias gravadas podrán computar como crédito de impuestos, indistintamente, contra el Impuesto a las Ganancias o la Contribución Especial sobre el Capital de las Cooperativas, el 33% de los importes liquidados y percibidos por el agente de percepción en concepto del presente gravamen, originados en las sumas debitadas y acreditadas en dichas cuentas, por los hechos imponibles que se perfeccionen desde el 01/01/2018.</w:t>
      </w:r>
    </w:p>
    <w:p w14:paraId="733E22C3"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31C88FE5"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otra parte, según lo dispuesto por el artículo 6º de la Ley 27.264, las empresas que sean consideradas “micro” y “pequeñas”, pueden computar como pago a cuenta del Impuesto a las Ganancias el 100% del impuesto a los Débitos y Créditos pagado; en tanto las industrias manufactureras consideradas “medianas -tramo 1-” en los términos del artículo 1° de la ley 25.300 y sus normas complementarias, podrán computar hasta el 60% del impuesto pagado (porcentaje establecido por el Decreto 409/18)</w:t>
      </w:r>
    </w:p>
    <w:p w14:paraId="7645242C" w14:textId="77777777" w:rsidR="00135CC9" w:rsidRPr="00506990" w:rsidRDefault="00135CC9" w:rsidP="00135CC9">
      <w:pPr>
        <w:rPr>
          <w:rFonts w:ascii="Times New Roman" w:eastAsia="Times New Roman" w:hAnsi="Times New Roman" w:cs="Times New Roman"/>
          <w:iCs/>
          <w:sz w:val="22"/>
          <w:szCs w:val="22"/>
          <w:lang w:val="es-AR"/>
        </w:rPr>
      </w:pPr>
    </w:p>
    <w:p w14:paraId="55899FF9" w14:textId="77777777" w:rsidR="00135CC9" w:rsidRPr="00506990" w:rsidRDefault="00135CC9" w:rsidP="00135CC9">
      <w:pPr>
        <w:rPr>
          <w:rFonts w:ascii="Times New Roman" w:eastAsia="Times New Roman" w:hAnsi="Times New Roman" w:cs="Times New Roman"/>
          <w:b/>
          <w:bCs/>
          <w:sz w:val="22"/>
          <w:szCs w:val="22"/>
          <w:u w:val="single"/>
          <w:lang w:val="es-AR"/>
        </w:rPr>
      </w:pPr>
      <w:r w:rsidRPr="00506990">
        <w:rPr>
          <w:rFonts w:ascii="Times New Roman" w:eastAsia="Times New Roman" w:hAnsi="Times New Roman" w:cs="Times New Roman"/>
          <w:b/>
          <w:bCs/>
          <w:sz w:val="22"/>
          <w:szCs w:val="22"/>
          <w:lang w:val="es-AR"/>
        </w:rPr>
        <w:t>II.</w:t>
      </w:r>
      <w:r>
        <w:rPr>
          <w:rFonts w:ascii="Times New Roman" w:eastAsia="Times New Roman" w:hAnsi="Times New Roman" w:cs="Times New Roman"/>
          <w:b/>
          <w:bCs/>
          <w:sz w:val="22"/>
          <w:szCs w:val="22"/>
          <w:lang w:val="es-AR"/>
        </w:rPr>
        <w:t>6.</w:t>
      </w:r>
      <w:r w:rsidRPr="00506990">
        <w:rPr>
          <w:rFonts w:ascii="Times New Roman" w:eastAsia="Times New Roman" w:hAnsi="Times New Roman" w:cs="Times New Roman"/>
          <w:b/>
          <w:bCs/>
          <w:sz w:val="22"/>
          <w:szCs w:val="22"/>
          <w:lang w:val="es-AR"/>
        </w:rPr>
        <w:t> Regímenes de información sobre fideicomisos. RG AFIP Nº3312</w:t>
      </w:r>
    </w:p>
    <w:p w14:paraId="1BCAF431" w14:textId="77777777" w:rsidR="00135CC9" w:rsidRPr="00506990" w:rsidRDefault="00135CC9" w:rsidP="00135CC9">
      <w:pPr>
        <w:rPr>
          <w:rFonts w:ascii="Times New Roman" w:eastAsia="Times New Roman" w:hAnsi="Times New Roman" w:cs="Times New Roman"/>
          <w:sz w:val="22"/>
          <w:szCs w:val="22"/>
          <w:lang w:val="es-AR"/>
        </w:rPr>
      </w:pPr>
    </w:p>
    <w:p w14:paraId="5406C262"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medio de la Res. Gral. Nº3312 del 18/04/12 la Administración Federal de Ingresos Públicos implementó un régimen de información sobre fideicomisos constituidos en los términos de la ley 24.441 y el Código Civil y Comercial de la Nación, incluyendo a los financieros. Bajo dicha normativa. corresponde suministrar a la AFIP determinados datos al 31 de diciembre de cada año (“Régimen de información anual”), y además, deben informarse  (“Régimen de registración de operaciones”), en el plazo perentorio de 10 días hábiles contados a partir de la fecha de formalización de la operación (vgr. cancelación total o parcial, documento público o privado, actas o registraciones, entre otras, la que ocurra primero), determinados hechos como por ejemplo: constitución inicial de fideicomisos, ingresos y egresos de fiduciantes y/o beneficiarios, que se produzcan con posterioridad al inicio, transferencias o cesiones gratuitas u onerosas de participaciones o derechos en fideicomisos, entregas de bienes efectuadas a fideicomisos, con posterioridad a su constitución, modificaciones al contrato inicial, asignación de beneficios y extinción de contratos de fideicomisos.</w:t>
      </w:r>
    </w:p>
    <w:p w14:paraId="225C077D" w14:textId="77777777" w:rsidR="00135CC9" w:rsidRPr="00506990" w:rsidRDefault="00135CC9" w:rsidP="00135CC9">
      <w:pPr>
        <w:rPr>
          <w:rFonts w:ascii="Times New Roman" w:eastAsia="Times New Roman" w:hAnsi="Times New Roman" w:cs="Times New Roman"/>
          <w:sz w:val="22"/>
          <w:szCs w:val="22"/>
          <w:lang w:val="es-AR"/>
        </w:rPr>
      </w:pPr>
    </w:p>
    <w:p w14:paraId="3F9810BD"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Si bien el principal agente de información es el fiduciario, también quedan obligados a actuar como tales los vendedores o cedentes y adquirentes o cesionarios de participaciones en fideicomisos constituidos en el país, respecto a las transferencias o cesiones gratuitas u onerosas de participaciones o derechos en fideicomisos.  </w:t>
      </w:r>
    </w:p>
    <w:p w14:paraId="47C703B1" w14:textId="77777777" w:rsidR="00135CC9" w:rsidRPr="00506990" w:rsidRDefault="00135CC9" w:rsidP="00135CC9">
      <w:pPr>
        <w:rPr>
          <w:rFonts w:ascii="Times New Roman" w:eastAsia="Times New Roman" w:hAnsi="Times New Roman" w:cs="Times New Roman"/>
          <w:sz w:val="22"/>
          <w:szCs w:val="22"/>
          <w:lang w:val="es-AR"/>
        </w:rPr>
      </w:pPr>
    </w:p>
    <w:p w14:paraId="38E57FC2" w14:textId="77777777" w:rsidR="00135CC9" w:rsidRPr="00506990" w:rsidRDefault="00135CC9" w:rsidP="00135CC9">
      <w:pPr>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AR"/>
        </w:rPr>
        <w:t>El contrato de fideicomiso quedará sujeto al régimen de información aludido en los párrafos precedentes.</w:t>
      </w:r>
    </w:p>
    <w:p w14:paraId="576302E0" w14:textId="77777777" w:rsidR="00135CC9" w:rsidRPr="00506990" w:rsidRDefault="00135CC9" w:rsidP="00135CC9">
      <w:pPr>
        <w:rPr>
          <w:rFonts w:ascii="Times New Roman" w:eastAsia="Times New Roman" w:hAnsi="Times New Roman" w:cs="Times New Roman"/>
          <w:sz w:val="22"/>
          <w:szCs w:val="22"/>
          <w:lang w:val="es-AR"/>
        </w:rPr>
      </w:pPr>
    </w:p>
    <w:p w14:paraId="0C723D92"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La Res Gral Nº3538/2013 de la AFIP del 12/11/13 introdujo modificaciones en la Res Gral Nº3312 disponiendo la obligatoriedad de presentar electrónicamente la documentación respaldatoria de las operaciones registradas (“Régimen de Registración de Operaciones”) en formato “pdf”, en el mismo plazo previsto para la registración, es decir, de 10 días hábiles contados a partir de la fecha de formalización de la operación (vgr. cancelación total o parcial, documento público o privado, actas o registraciones, entre otras, la que ocurra primero).</w:t>
      </w:r>
    </w:p>
    <w:p w14:paraId="15B0B6A0" w14:textId="77777777" w:rsidR="00135CC9" w:rsidRPr="00506990" w:rsidRDefault="00135CC9" w:rsidP="00135CC9">
      <w:pPr>
        <w:rPr>
          <w:rFonts w:ascii="Times New Roman" w:eastAsia="Times New Roman" w:hAnsi="Times New Roman" w:cs="Times New Roman"/>
          <w:sz w:val="22"/>
          <w:szCs w:val="22"/>
          <w:lang w:val="es-AR"/>
        </w:rPr>
      </w:pPr>
    </w:p>
    <w:p w14:paraId="375ACE86"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No obstante, los fideicomisos financieros que cuenten con la autorización de la Comisión Nacional de Valores para hacer Oferta Pública de sus valores fiduciarios, quedan exceptuados de suministrar electrónicamente la documentación respaldatoria de las registraciones.(art. 1°, pto 1, RG N°3538/13)</w:t>
      </w:r>
    </w:p>
    <w:p w14:paraId="31B1BF93" w14:textId="77777777" w:rsidR="00135CC9" w:rsidRPr="00506990" w:rsidRDefault="00135CC9" w:rsidP="00135CC9">
      <w:pPr>
        <w:rPr>
          <w:rFonts w:ascii="Times New Roman" w:eastAsia="Times New Roman" w:hAnsi="Times New Roman" w:cs="Times New Roman"/>
          <w:sz w:val="22"/>
          <w:szCs w:val="22"/>
          <w:lang w:val="es-AR"/>
        </w:rPr>
      </w:pPr>
    </w:p>
    <w:p w14:paraId="0B0F3C87" w14:textId="77777777" w:rsidR="00135CC9" w:rsidRPr="00506990" w:rsidRDefault="00135CC9" w:rsidP="00135CC9">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w:t>
      </w:r>
      <w:r>
        <w:rPr>
          <w:rFonts w:ascii="Times New Roman" w:eastAsia="Times New Roman" w:hAnsi="Times New Roman" w:cs="Times New Roman"/>
          <w:b/>
          <w:bCs/>
          <w:sz w:val="22"/>
          <w:szCs w:val="22"/>
          <w:lang w:val="es-AR"/>
        </w:rPr>
        <w:t>7</w:t>
      </w:r>
      <w:r w:rsidRPr="00506990">
        <w:rPr>
          <w:rFonts w:ascii="Times New Roman" w:eastAsia="Times New Roman" w:hAnsi="Times New Roman" w:cs="Times New Roman"/>
          <w:b/>
          <w:bCs/>
          <w:sz w:val="22"/>
          <w:szCs w:val="22"/>
          <w:lang w:val="es-AR"/>
        </w:rPr>
        <w:t>. Ingreso de fondos de jurisdicciones de baja o nula tributación.</w:t>
      </w:r>
    </w:p>
    <w:p w14:paraId="6291BD84" w14:textId="77777777" w:rsidR="00135CC9" w:rsidRPr="00506990" w:rsidRDefault="00135CC9" w:rsidP="00135CC9">
      <w:pPr>
        <w:ind w:right="90"/>
        <w:rPr>
          <w:rFonts w:ascii="Times New Roman" w:eastAsia="Times New Roman" w:hAnsi="Times New Roman" w:cs="Times New Roman"/>
          <w:spacing w:val="-5"/>
          <w:sz w:val="22"/>
          <w:szCs w:val="22"/>
          <w:lang w:val="es-AR"/>
        </w:rPr>
      </w:pPr>
    </w:p>
    <w:p w14:paraId="0C204CD2" w14:textId="77777777" w:rsidR="00135CC9" w:rsidRPr="00506990" w:rsidRDefault="00135CC9" w:rsidP="00135CC9">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De acuerdo con lo establecido en el artículo agregado sin número a continuación del artículo 18 de la ley de Procedimiento Fiscal Federal 11.683, todo residente local que reciba fondos de cualquier naturaleza (es decir, préstamos, aportes de capital, etc.) de jurisdicciones de nula o baja tributación, se encuentra sujeta al Impuesto a las Ganancias y al Impuesto al Valor Agregado sobre una base imponible del 110% de los montos recibidos de dichas entidades (con algunas excepciones limitadas). Ello, basado en la presunción de que tales montos constituyen incrementos patrimoniales no justificados para la parte local que los recibe. Si bien podría sostenerse que esta disposición no debería aplicarse para operaciones de emisión de títulos con oferta pública, no puede asegurarse que la autoridad impositiva comparta este criterio.</w:t>
      </w:r>
    </w:p>
    <w:p w14:paraId="4E2FBBED" w14:textId="77777777" w:rsidR="00135CC9" w:rsidRPr="00506990" w:rsidRDefault="00135CC9" w:rsidP="00135CC9">
      <w:pPr>
        <w:ind w:right="90"/>
        <w:rPr>
          <w:rFonts w:ascii="Times New Roman" w:eastAsia="Times New Roman" w:hAnsi="Times New Roman" w:cs="Times New Roman"/>
          <w:spacing w:val="-5"/>
          <w:sz w:val="22"/>
          <w:szCs w:val="22"/>
          <w:lang w:val="es-AR"/>
        </w:rPr>
      </w:pPr>
    </w:p>
    <w:p w14:paraId="18495050" w14:textId="77777777" w:rsidR="00135CC9" w:rsidRPr="00506990" w:rsidRDefault="00135CC9" w:rsidP="00135CC9">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Según lo precedente, no se espera que los Valores Fiduciarios sean originalmente adquiridos por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 xml:space="preserve">s- o entidades domiciliadas o constituidas en jurisdicciones de baja tributación, o comprados por ninguna persona que opere con cuentas bancarias abiertas en entidades financieras ubicadas en jurisdicciones de nula o baja tributación. </w:t>
      </w:r>
    </w:p>
    <w:p w14:paraId="4F9ABF0A" w14:textId="77777777" w:rsidR="00135CC9" w:rsidRPr="00506990" w:rsidRDefault="00135CC9" w:rsidP="00135CC9">
      <w:pPr>
        <w:ind w:right="90"/>
        <w:rPr>
          <w:rFonts w:ascii="Times New Roman" w:eastAsia="Times New Roman" w:hAnsi="Times New Roman" w:cs="Times New Roman"/>
          <w:spacing w:val="-5"/>
          <w:sz w:val="22"/>
          <w:szCs w:val="22"/>
          <w:lang w:val="es-AR"/>
        </w:rPr>
      </w:pPr>
    </w:p>
    <w:p w14:paraId="7E9FC263" w14:textId="77777777" w:rsidR="00135CC9" w:rsidRPr="00506990" w:rsidRDefault="00135CC9" w:rsidP="00135CC9">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Las jurisdicciones de baja tributación según la legislación argentina se encuentran definidas en el artículo 27.1 del decreto reglamentario de la ley del Impuesto a las Ganancias, según la versión de dicho artículo dispuesta por el Decreto 589/2013 del 27/05/2013. Al respecto, la norma considera a ‘países de baja o nula tributación’, a aquellos países no considerados ‘cooperadores a los fines de la transparencia fiscal’.</w:t>
      </w:r>
    </w:p>
    <w:p w14:paraId="51F15569" w14:textId="77777777" w:rsidR="00135CC9" w:rsidRPr="00506990" w:rsidRDefault="00135CC9" w:rsidP="00135CC9">
      <w:pPr>
        <w:rPr>
          <w:rFonts w:ascii="Times New Roman" w:eastAsia="Times New Roman" w:hAnsi="Times New Roman" w:cs="Times New Roman"/>
          <w:spacing w:val="-5"/>
          <w:sz w:val="22"/>
          <w:szCs w:val="22"/>
          <w:lang w:val="es-AR"/>
        </w:rPr>
      </w:pPr>
    </w:p>
    <w:p w14:paraId="32668A51" w14:textId="77777777" w:rsidR="00135CC9" w:rsidRPr="00506990" w:rsidRDefault="00135CC9" w:rsidP="00135CC9">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Se consideran países, dominios, jurisdicciones, territorios, estados asociados o regímenes tributarios especiales cooperadores a los fines de la transparencia fiscal, aquellos que suscriban con el Gobierno de la República Argentina un acuerdo de intercambio de información en materia tributaria o un convenio para evitar la doble imposición internacional con cláusula de intercambio de información amplio, siempre que se cumplimente el efectivo intercambio de información. El decreto instruyó a la Administración Federal de Ingresos Públicos a elaborar el listado de los países, dominios, jurisdicciones, territorios, estados asociados y regímenes tributarios especiales considerados cooperadores a los fines de la transparencia fiscal, publicarlo en su sitio “web” (</w:t>
      </w:r>
      <w:hyperlink r:id="rId78" w:history="1">
        <w:r w:rsidRPr="00806657">
          <w:rPr>
            <w:rFonts w:ascii="Times New Roman" w:eastAsia="Times New Roman" w:hAnsi="Times New Roman" w:cs="Times New Roman"/>
            <w:color w:val="0000FF"/>
            <w:spacing w:val="-5"/>
            <w:sz w:val="22"/>
            <w:szCs w:val="22"/>
            <w:u w:val="single"/>
            <w:lang w:val="es-AR"/>
          </w:rPr>
          <w:t>http://www.afip.gob.ar</w:t>
        </w:r>
      </w:hyperlink>
      <w:r w:rsidRPr="00506990">
        <w:rPr>
          <w:rFonts w:ascii="Times New Roman" w:eastAsia="Times New Roman" w:hAnsi="Times New Roman" w:cs="Times New Roman"/>
          <w:spacing w:val="-5"/>
          <w:sz w:val="22"/>
          <w:szCs w:val="22"/>
          <w:lang w:val="es-AR"/>
        </w:rPr>
        <w:t>) y mantener actualizada dicha publicación. La vigencia de este listado se estableció a partir del 1/01/1014  (R.G. AFIP Nº3576/2013)</w:t>
      </w:r>
    </w:p>
    <w:p w14:paraId="22D511DB" w14:textId="77777777" w:rsidR="00135CC9" w:rsidRPr="00506990" w:rsidRDefault="00135CC9" w:rsidP="00135CC9">
      <w:pPr>
        <w:rPr>
          <w:rFonts w:ascii="Times New Roman" w:eastAsia="Times New Roman" w:hAnsi="Times New Roman" w:cs="Times New Roman"/>
          <w:spacing w:val="-5"/>
          <w:sz w:val="22"/>
          <w:szCs w:val="22"/>
          <w:lang w:val="es-AR"/>
        </w:rPr>
      </w:pPr>
    </w:p>
    <w:p w14:paraId="631ABC86" w14:textId="77777777" w:rsidR="00135CC9" w:rsidRPr="00506990" w:rsidRDefault="00135CC9" w:rsidP="00135CC9">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ley Nº 27430 (Boletín Oficial 29/12/2017) ha redefinido el concepto de jurisdicciones de baja o nula tributación, estableciendo que a todos los efectos previstos en la ley del impuesto a las ganancias,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para las personas jurídicas argentinas. En consecuencia, puede interpretarse que las disposiciones del Decreto 589/2013 han derogadas de hecho y, por ende la alusión al listado de países cooperantes obrantes en la página web de la AFIP.</w:t>
      </w:r>
    </w:p>
    <w:p w14:paraId="13BF42D7" w14:textId="77777777" w:rsidR="00135CC9" w:rsidRPr="00506990" w:rsidRDefault="00135CC9" w:rsidP="00135CC9">
      <w:pPr>
        <w:ind w:right="90"/>
        <w:rPr>
          <w:rFonts w:ascii="Times New Roman" w:eastAsia="Times New Roman" w:hAnsi="Times New Roman" w:cs="Times New Roman"/>
          <w:spacing w:val="-5"/>
          <w:sz w:val="22"/>
          <w:szCs w:val="22"/>
          <w:lang w:val="es-AR"/>
        </w:rPr>
      </w:pPr>
    </w:p>
    <w:p w14:paraId="2B73E3A2" w14:textId="77777777" w:rsidR="00135CC9" w:rsidRPr="00506990" w:rsidRDefault="00135CC9" w:rsidP="00135CC9">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La presunción analizada, podría resultar aplicable a los potenciales tenedores de Valores Fiduciarios que realicen la venta de los mismos a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s- y entidades domiciliadas o constituidas en jurisdicciones de baja tributación, o cuando el precio de venta sea abonado desde cuentas bancarias abiertas en entidades financieras ubicadas en jurisdicciones de baja o nula tributación.</w:t>
      </w:r>
    </w:p>
    <w:p w14:paraId="17F09A2A" w14:textId="77777777" w:rsidR="00135CC9" w:rsidRPr="00506990" w:rsidRDefault="00135CC9" w:rsidP="00135CC9">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presunción quedará desvirtuada cuando el receptor de los fondos acredite – en forma fehaciente – que los mismos se originaron en actividades efectivamente realizadas por el mismo contribuyente o por terceros en dichos países o bien que provienen de colocaciones de fondos oportunamente declarados.</w:t>
      </w:r>
    </w:p>
    <w:p w14:paraId="04570EB5" w14:textId="77777777" w:rsidR="00135CC9" w:rsidRPr="00506990" w:rsidRDefault="00135CC9" w:rsidP="00135CC9">
      <w:pPr>
        <w:rPr>
          <w:rFonts w:ascii="Times New Roman" w:eastAsia="Times New Roman" w:hAnsi="Times New Roman" w:cs="Times New Roman"/>
          <w:sz w:val="22"/>
          <w:szCs w:val="22"/>
          <w:lang w:val="es-AR"/>
        </w:rPr>
      </w:pPr>
    </w:p>
    <w:p w14:paraId="1ADBFA3E"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w:t>
      </w:r>
      <w:r w:rsidRPr="00506990">
        <w:rPr>
          <w:rFonts w:ascii="Times New Roman" w:eastAsia="Times New Roman" w:hAnsi="Times New Roman" w:cs="Times New Roman"/>
          <w:b/>
          <w:bCs/>
          <w:sz w:val="22"/>
          <w:szCs w:val="22"/>
          <w:lang w:val="es-AR"/>
        </w:rPr>
        <w:t xml:space="preserve"> </w:t>
      </w:r>
      <w:r>
        <w:rPr>
          <w:rFonts w:ascii="Times New Roman" w:eastAsia="Times New Roman" w:hAnsi="Times New Roman" w:cs="Times New Roman"/>
          <w:b/>
          <w:bCs/>
          <w:sz w:val="22"/>
          <w:szCs w:val="22"/>
          <w:lang w:val="es-AR"/>
        </w:rPr>
        <w:t>8.</w:t>
      </w:r>
      <w:r w:rsidRPr="00506990">
        <w:rPr>
          <w:rFonts w:ascii="Times New Roman" w:eastAsia="Times New Roman" w:hAnsi="Times New Roman" w:cs="Times New Roman"/>
          <w:b/>
          <w:bCs/>
          <w:sz w:val="22"/>
          <w:szCs w:val="22"/>
          <w:lang w:val="es-AR"/>
        </w:rPr>
        <w:t xml:space="preserve"> </w:t>
      </w:r>
      <w:r w:rsidRPr="00506990">
        <w:rPr>
          <w:rFonts w:ascii="Times New Roman" w:eastAsia="Times New Roman" w:hAnsi="Times New Roman" w:cs="Times New Roman"/>
          <w:b/>
          <w:bCs/>
          <w:sz w:val="22"/>
          <w:szCs w:val="22"/>
          <w:lang w:val="es-ES"/>
        </w:rPr>
        <w:t>Otros</w:t>
      </w:r>
    </w:p>
    <w:p w14:paraId="041BD0C1" w14:textId="77777777" w:rsidR="00135CC9" w:rsidRPr="00506990" w:rsidRDefault="00135CC9" w:rsidP="00135CC9">
      <w:pPr>
        <w:tabs>
          <w:tab w:val="center" w:pos="4252"/>
          <w:tab w:val="right" w:pos="8504"/>
        </w:tabs>
        <w:rPr>
          <w:rFonts w:ascii="Times New Roman" w:eastAsia="Times New Roman" w:hAnsi="Times New Roman" w:cs="Times New Roman"/>
          <w:b/>
          <w:bCs/>
          <w:sz w:val="22"/>
          <w:szCs w:val="22"/>
          <w:lang w:val="es-ES"/>
        </w:rPr>
      </w:pPr>
    </w:p>
    <w:p w14:paraId="3A242061"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La transmisión gratuita de bienes a herederos, legatarios o donatarios no se encuentra gravada en la República Argentina a nivel nacional. En el orden provincial, las jurisdicciones que han implementado impuestos a la transmisión Gratuita de Bienes son la provincia de Buenos Aires -ley 14044 - a partir del 1/01/2011 y la provincia de Entre Ríos -ley 10.197- a partir del 8/02/2013.</w:t>
      </w:r>
      <w:r w:rsidRPr="00506990">
        <w:rPr>
          <w:rFonts w:ascii="Times New Roman" w:eastAsia="Times New Roman" w:hAnsi="Times New Roman" w:cs="Times New Roman"/>
          <w:b/>
          <w:bCs/>
          <w:i/>
          <w:iCs/>
          <w:sz w:val="22"/>
          <w:szCs w:val="22"/>
          <w:lang w:val="es-AR"/>
        </w:rPr>
        <w:t xml:space="preserve"> </w:t>
      </w:r>
      <w:r w:rsidRPr="00506990">
        <w:rPr>
          <w:rFonts w:ascii="Times New Roman" w:eastAsia="Times New Roman" w:hAnsi="Times New Roman" w:cs="Times New Roman"/>
          <w:i/>
          <w:iCs/>
          <w:sz w:val="22"/>
          <w:szCs w:val="22"/>
          <w:lang w:val="es-AR"/>
        </w:rPr>
        <w:t>Esta última jurisdicción procedió a la derogación del impuesto –Ley 10.553- a partir del 17/01/2018  Son contribuyentes las personas humanas y jurídicas beneficiarias de una transmisión gratuita de bienes en tanto se domicilien o residan en la respectiva provincia, independientemente del lugar donde estén situados los bienes. Las alícuotas aplicables varían entre el 1,60% y 8,78%, de conformidad con lo dispuesto por el Art. 5</w:t>
      </w:r>
      <w:r>
        <w:rPr>
          <w:rFonts w:ascii="Times New Roman" w:eastAsia="Times New Roman" w:hAnsi="Times New Roman" w:cs="Times New Roman"/>
          <w:i/>
          <w:iCs/>
          <w:sz w:val="22"/>
          <w:szCs w:val="22"/>
          <w:lang w:val="es-AR"/>
        </w:rPr>
        <w:t>8</w:t>
      </w:r>
      <w:r w:rsidRPr="00506990">
        <w:rPr>
          <w:rFonts w:ascii="Times New Roman" w:eastAsia="Times New Roman" w:hAnsi="Times New Roman" w:cs="Times New Roman"/>
          <w:i/>
          <w:iCs/>
          <w:sz w:val="22"/>
          <w:szCs w:val="22"/>
          <w:lang w:val="es-AR"/>
        </w:rPr>
        <w:t xml:space="preserve"> Ley </w:t>
      </w:r>
      <w:r>
        <w:rPr>
          <w:rFonts w:ascii="Times New Roman" w:eastAsia="Times New Roman" w:hAnsi="Times New Roman" w:cs="Times New Roman"/>
          <w:i/>
          <w:iCs/>
          <w:sz w:val="22"/>
          <w:szCs w:val="22"/>
          <w:lang w:val="es-AR"/>
        </w:rPr>
        <w:t>15.311</w:t>
      </w:r>
      <w:r w:rsidRPr="00506990">
        <w:rPr>
          <w:rFonts w:ascii="Times New Roman" w:eastAsia="Times New Roman" w:hAnsi="Times New Roman" w:cs="Times New Roman"/>
          <w:i/>
          <w:iCs/>
          <w:sz w:val="22"/>
          <w:szCs w:val="22"/>
          <w:lang w:val="es-AR"/>
        </w:rPr>
        <w:t xml:space="preserve"> (Ley Impositiva </w:t>
      </w:r>
      <w:r>
        <w:rPr>
          <w:rFonts w:ascii="Times New Roman" w:eastAsia="Times New Roman" w:hAnsi="Times New Roman" w:cs="Times New Roman"/>
          <w:i/>
          <w:iCs/>
          <w:sz w:val="22"/>
          <w:szCs w:val="22"/>
          <w:lang w:val="es-AR"/>
        </w:rPr>
        <w:t xml:space="preserve">2022 </w:t>
      </w:r>
      <w:r w:rsidRPr="00506990">
        <w:rPr>
          <w:rFonts w:ascii="Times New Roman" w:eastAsia="Times New Roman" w:hAnsi="Times New Roman" w:cs="Times New Roman"/>
          <w:i/>
          <w:iCs/>
          <w:sz w:val="22"/>
          <w:szCs w:val="22"/>
          <w:lang w:val="es-AR"/>
        </w:rPr>
        <w:t>- Pcia. de Bs. As.), atendiendo al grado de parentesco y el monto de la base imponible. Los Valores Fiduciarios, en tanto queden involucrados en una transmisión gratuita de bienes podrían quedar afectados por estos gravámenes en las jurisdicciones señaladas.</w:t>
      </w:r>
    </w:p>
    <w:p w14:paraId="16FAFFC9" w14:textId="77777777" w:rsidR="00135CC9" w:rsidRPr="00506990" w:rsidRDefault="00135CC9" w:rsidP="00135CC9">
      <w:pPr>
        <w:rPr>
          <w:rFonts w:ascii="Times New Roman" w:eastAsia="Times New Roman" w:hAnsi="Times New Roman" w:cs="Times New Roman"/>
          <w:sz w:val="22"/>
          <w:szCs w:val="22"/>
          <w:lang w:val="es-AR"/>
        </w:rPr>
      </w:pPr>
    </w:p>
    <w:p w14:paraId="36336DA1" w14:textId="77777777" w:rsidR="00135CC9" w:rsidRPr="00506990" w:rsidRDefault="00135CC9" w:rsidP="00135CC9">
      <w:pPr>
        <w:shd w:val="clear" w:color="auto" w:fill="FFFFFF"/>
        <w:spacing w:before="100" w:beforeAutospacing="1" w:after="100" w:afterAutospacing="1"/>
        <w:rPr>
          <w:rFonts w:ascii="Times New Roman" w:eastAsia="Times New Roman" w:hAnsi="Times New Roman" w:cs="Times New Roman"/>
          <w:b/>
          <w:bCs/>
          <w:color w:val="000000"/>
          <w:sz w:val="22"/>
          <w:szCs w:val="22"/>
          <w:lang w:val="es-AR"/>
        </w:rPr>
      </w:pPr>
      <w:r w:rsidRPr="00506990">
        <w:rPr>
          <w:rFonts w:ascii="Times New Roman" w:eastAsia="Times New Roman" w:hAnsi="Times New Roman" w:cs="Times New Roman"/>
          <w:b/>
          <w:bCs/>
          <w:color w:val="000000"/>
          <w:spacing w:val="-5"/>
          <w:sz w:val="22"/>
          <w:szCs w:val="22"/>
          <w:lang w:val="es-AR"/>
        </w:rPr>
        <w:t>II.</w:t>
      </w:r>
      <w:r>
        <w:rPr>
          <w:rFonts w:ascii="Times New Roman" w:eastAsia="Times New Roman" w:hAnsi="Times New Roman" w:cs="Times New Roman"/>
          <w:b/>
          <w:bCs/>
          <w:color w:val="000000"/>
          <w:spacing w:val="-5"/>
          <w:sz w:val="22"/>
          <w:szCs w:val="22"/>
          <w:lang w:val="es-AR"/>
        </w:rPr>
        <w:t>9</w:t>
      </w:r>
      <w:r w:rsidRPr="00506990">
        <w:rPr>
          <w:rFonts w:ascii="Times New Roman" w:eastAsia="Times New Roman" w:hAnsi="Times New Roman" w:cs="Times New Roman"/>
          <w:b/>
          <w:bCs/>
          <w:color w:val="000000"/>
          <w:spacing w:val="-5"/>
          <w:sz w:val="22"/>
          <w:szCs w:val="22"/>
          <w:lang w:val="es-AR"/>
        </w:rPr>
        <w:t>. Cooperación en Materia Tributaria entre la República Argentina y otros Países. Resolución General 631/2014 de la CNV. Resolución General 3826/2015 de la AFIP. Régimen de información</w:t>
      </w:r>
    </w:p>
    <w:p w14:paraId="6E018863" w14:textId="77777777" w:rsidR="00135CC9" w:rsidRPr="00506990" w:rsidRDefault="00135CC9" w:rsidP="00135CC9">
      <w:pPr>
        <w:shd w:val="clear" w:color="auto" w:fill="FFFFFF"/>
        <w:spacing w:before="100" w:beforeAutospacing="1" w:after="100" w:afterAutospacing="1"/>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color w:val="000000"/>
          <w:spacing w:val="-5"/>
          <w:sz w:val="22"/>
          <w:szCs w:val="22"/>
          <w:lang w:val="es-AR"/>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eastAsia="Times New Roman" w:hAnsi="Times New Roman" w:cs="Times New Roman"/>
          <w:color w:val="000000"/>
          <w:sz w:val="22"/>
          <w:szCs w:val="22"/>
          <w:lang w:val="es-AR"/>
        </w:rPr>
        <w:t>humanas</w:t>
      </w:r>
      <w:r w:rsidRPr="00506990">
        <w:rPr>
          <w:rFonts w:ascii="Times New Roman" w:eastAsia="Times New Roman" w:hAnsi="Times New Roman" w:cs="Times New Roman"/>
          <w:color w:val="000000"/>
          <w:spacing w:val="-5"/>
          <w:sz w:val="22"/>
          <w:szCs w:val="22"/>
          <w:lang w:val="es-AR"/>
        </w:rPr>
        <w:t>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4BDA2212" w14:textId="77777777" w:rsidR="00135CC9" w:rsidRPr="00506990" w:rsidRDefault="00135CC9" w:rsidP="00135CC9">
      <w:pPr>
        <w:shd w:val="clear" w:color="auto" w:fill="FFFFFF"/>
        <w:spacing w:before="100" w:beforeAutospacing="1" w:after="100" w:afterAutospacing="1"/>
        <w:rPr>
          <w:rFonts w:ascii="Times New Roman" w:eastAsia="Times New Roman" w:hAnsi="Times New Roman" w:cs="Times New Roman"/>
          <w:color w:val="000000"/>
          <w:spacing w:val="-5"/>
          <w:sz w:val="22"/>
          <w:szCs w:val="22"/>
          <w:lang w:val="es-AR"/>
        </w:rPr>
      </w:pPr>
      <w:r w:rsidRPr="00506990">
        <w:rPr>
          <w:rFonts w:ascii="Times New Roman" w:eastAsia="Times New Roman" w:hAnsi="Times New Roman" w:cs="Times New Roman"/>
          <w:color w:val="000000"/>
          <w:spacing w:val="-5"/>
          <w:sz w:val="22"/>
          <w:szCs w:val="22"/>
          <w:lang w:val="es-AR"/>
        </w:rPr>
        <w:t>La norma citada dispuso asimismo que los sujetos comprendidos en sus previsiones debieran presentar a la ADMINISTRACION FEDERAL DE INGRESOS PUBLICOS (AFIP) la información recolectada, en las formas y plazos que ella dispusiese.</w:t>
      </w:r>
    </w:p>
    <w:p w14:paraId="0A59D9CB" w14:textId="77777777" w:rsidR="00135CC9" w:rsidRPr="00506990" w:rsidRDefault="00135CC9" w:rsidP="00135CC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En ese contexto, la ADMINISTRACION FEDERAL DE INGRESOS PUBLICOS (AFIP), a través de la Resolución General 3826/2015 del 29/12/2015 ha implementado el régimen de información pertinente. Las instituciones financieras obligadas a reportar (definidas como tales) </w:t>
      </w:r>
      <w:r w:rsidRPr="00506990">
        <w:rPr>
          <w:rFonts w:ascii="Times New Roman" w:eastAsia="Times New Roman" w:hAnsi="Times New Roman" w:cs="Times New Roman"/>
          <w:color w:val="000000"/>
          <w:spacing w:val="-5"/>
          <w:sz w:val="22"/>
          <w:szCs w:val="22"/>
          <w:lang w:val="es-AR"/>
        </w:rPr>
        <w:t>deberán observar las normas de debida diligencia establecidas en el “Common Reporting Standard” (“NORMAS COMUNES DE PRESENTACIÓN DE INFORMACIÓN” o “CRS”, por sus siglas en inglés)  elaborado por la Organización para la Cooperación y el Desarrollo Económicos (OCDE), incluidas en la misma resolución. La información deberá ser suministrada por año calendario a partir de 2016, incluyendo, bajo ciertas condiciones, información de cuentas preexistentes al 31/12/2015 y cuentas nuevas a partir del 1/01/2016. Además de los datos identificatorios de las cuentas declarables y de sus titulares, se incluirán en el reporte los saldos existentes al 31 de diciembre de cada año y los movimientos anuales (importe bruto total pagado en concepto de intereses, utilidades, amortizaciones de activos financieros, etc.) acaecidos en las mismas.</w:t>
      </w:r>
      <w:r w:rsidRPr="00506990">
        <w:rPr>
          <w:rFonts w:ascii="Times New Roman" w:eastAsia="Times New Roman" w:hAnsi="Times New Roman" w:cs="Times New Roman"/>
          <w:sz w:val="22"/>
          <w:szCs w:val="22"/>
          <w:lang w:val="es-AR"/>
        </w:rPr>
        <w:t xml:space="preserve"> </w:t>
      </w:r>
    </w:p>
    <w:p w14:paraId="3404FEA3" w14:textId="77777777" w:rsidR="00135CC9" w:rsidRPr="00506990" w:rsidRDefault="00135CC9" w:rsidP="00135CC9">
      <w:pPr>
        <w:rPr>
          <w:rFonts w:ascii="Times New Roman" w:eastAsia="Times New Roman" w:hAnsi="Times New Roman" w:cs="Times New Roman"/>
          <w:b/>
          <w:bCs/>
          <w:caps/>
          <w:sz w:val="22"/>
          <w:szCs w:val="22"/>
          <w:lang w:val="es-AR"/>
        </w:rPr>
      </w:pPr>
    </w:p>
    <w:p w14:paraId="3EA98E67" w14:textId="77777777" w:rsidR="00135CC9" w:rsidRPr="00506990" w:rsidRDefault="00135CC9" w:rsidP="00135CC9">
      <w:pPr>
        <w:rPr>
          <w:rFonts w:ascii="Times New Roman" w:eastAsia="Times New Roman" w:hAnsi="Times New Roman" w:cs="Times New Roman"/>
          <w:b/>
          <w:sz w:val="22"/>
          <w:szCs w:val="22"/>
          <w:lang w:val="es-AR"/>
        </w:rPr>
      </w:pPr>
      <w:r w:rsidRPr="00506990">
        <w:rPr>
          <w:rFonts w:ascii="Times New Roman" w:eastAsia="Times New Roman" w:hAnsi="Times New Roman" w:cs="Times New Roman"/>
          <w:b/>
          <w:bCs/>
          <w:sz w:val="22"/>
          <w:szCs w:val="22"/>
          <w:lang w:val="es-AR"/>
        </w:rPr>
        <w:t xml:space="preserve">ATENTO A QUE LA REGLAMENTACIÓN DE LOS FIDEICOMISOS FINANCIEROS NO HA SIDO INTERPRETADA AÚN POR LOS TRIBUNALES Y QUE </w:t>
      </w:r>
      <w:r w:rsidRPr="00506990">
        <w:rPr>
          <w:rFonts w:ascii="Times New Roman" w:eastAsia="Times New Roman" w:hAnsi="Times New Roman" w:cs="Times New Roman"/>
          <w:b/>
          <w:sz w:val="22"/>
          <w:szCs w:val="22"/>
          <w:lang w:val="es-AR"/>
        </w:rPr>
        <w:t xml:space="preserve">LAS INTERPRETACIONES </w:t>
      </w:r>
      <w:r w:rsidRPr="00506990">
        <w:rPr>
          <w:rFonts w:ascii="Times New Roman" w:eastAsia="Times New Roman" w:hAnsi="Times New Roman" w:cs="Times New Roman"/>
          <w:b/>
          <w:bCs/>
          <w:sz w:val="22"/>
          <w:szCs w:val="22"/>
          <w:lang w:val="es-AR"/>
        </w:rPr>
        <w:t>DE LAS AUTORIDADES FISCALES RESPONSABLES DE SU APLICACIÓN NO RESULTAN SUFICIENTES PARA ESCLARECER TODOS AQUELLOS ASPECTOS QUE GENERAN DUDA</w:t>
      </w:r>
      <w:r w:rsidRPr="00506990">
        <w:rPr>
          <w:rFonts w:ascii="Times New Roman" w:eastAsia="Times New Roman" w:hAnsi="Times New Roman" w:cs="Times New Roman"/>
          <w:b/>
          <w:sz w:val="22"/>
          <w:szCs w:val="22"/>
          <w:lang w:val="es-AR"/>
        </w:rPr>
        <w:t>. POR LO EXPUESTO</w:t>
      </w:r>
      <w:r w:rsidRPr="00506990">
        <w:rPr>
          <w:rFonts w:ascii="Times New Roman" w:eastAsia="Times New Roman" w:hAnsi="Times New Roman" w:cs="Times New Roman"/>
          <w:b/>
          <w:bCs/>
          <w:sz w:val="22"/>
          <w:szCs w:val="22"/>
          <w:lang w:val="es-AR"/>
        </w:rPr>
        <w:t>, NO PUEDE ASEGURARSE LA APLICACIÓN O INTERPRETACIÓN QUE DE DICHAS NORMATIVAS EFECTÚEN LOS MISMOS Y EN PARTICULAR EL BANCO CENTRAL DE LA REPÚBLICA ARGENTINA, LA ADMINISTRACION FEDERAL DE INGRESOS PÚBLICOS Y LAS DIRECCIONES DE RENTAS LOCALES.</w:t>
      </w:r>
    </w:p>
    <w:p w14:paraId="14C490D2" w14:textId="28C82EE6" w:rsidR="000D2637" w:rsidRPr="00506990" w:rsidRDefault="00577C2C" w:rsidP="00B228F5">
      <w:pPr>
        <w:pStyle w:val="Ttulo1"/>
        <w:jc w:val="center"/>
        <w:rPr>
          <w:rFonts w:ascii="Times New Roman" w:hAnsi="Times New Roman"/>
          <w:sz w:val="22"/>
          <w:szCs w:val="22"/>
        </w:rPr>
      </w:pPr>
      <w:bookmarkStart w:id="98" w:name="_Toc521424879"/>
      <w:bookmarkStart w:id="99"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00" w:name="_Toc521424880"/>
      <w:bookmarkEnd w:id="98"/>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00"/>
      <w:r w:rsidR="004E3807">
        <w:rPr>
          <w:rFonts w:ascii="Times New Roman" w:hAnsi="Times New Roman"/>
          <w:sz w:val="22"/>
          <w:szCs w:val="22"/>
        </w:rPr>
        <w:t>X</w:t>
      </w:r>
      <w:bookmarkEnd w:id="99"/>
      <w:r w:rsidR="00FB6BD1">
        <w:rPr>
          <w:rFonts w:ascii="Times New Roman" w:hAnsi="Times New Roman"/>
          <w:sz w:val="22"/>
          <w:szCs w:val="22"/>
        </w:rPr>
        <w:t>X</w:t>
      </w:r>
      <w:r w:rsidR="00585BF3">
        <w:rPr>
          <w:rFonts w:ascii="Times New Roman" w:hAnsi="Times New Roman"/>
          <w:sz w:val="22"/>
          <w:szCs w:val="22"/>
        </w:rPr>
        <w:t>I</w:t>
      </w:r>
      <w:r w:rsidR="00307C38">
        <w:rPr>
          <w:rFonts w:ascii="Times New Roman" w:hAnsi="Times New Roman"/>
          <w:sz w:val="22"/>
          <w:szCs w:val="22"/>
        </w:rPr>
        <w:t>I</w:t>
      </w:r>
      <w:r w:rsidR="00151843">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690E33E7" w14:textId="5262CBCD"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ROSARIO ADMINISTRADORA SOCIEDAD FIDUCIARIA S.A. una sociedad inscripta en el Registro Público de Comercio de la Provincia de Santa Fe, de la ciudad de Rosario, bajo el número 532 de registro de Estatutos el 30 de diciembre de 1997, Folio 11220, Tomo 78, inscripción en la Inspección General de Personas Jurídicas de la Provincia de Santa Fe conforme Resolución Nº 923/97, e inscripta como fiduciario financiero bajo el Nº 41 en la Comisión Nacional de Valores, con CUIT nro.: 33-69371055-9; representada por los que firman al pie del presente, en su carácter de Apoderados, con domicilio social inscripto en Paraguay 777, Piso 9º, ciudad de Rosario, Pcia. De Santa Fe, (en adelante el “Fiduciario”)</w:t>
      </w:r>
      <w:r w:rsidRPr="00506990">
        <w:rPr>
          <w:rFonts w:ascii="Times New Roman" w:hAnsi="Times New Roman" w:cs="Times New Roman"/>
          <w:iCs/>
          <w:color w:val="0D0D0D" w:themeColor="text1" w:themeTint="F2"/>
          <w:sz w:val="22"/>
          <w:szCs w:val="22"/>
        </w:rPr>
        <w:t>, y BAZAR AVENIDA S.A. una sociedad a</w:t>
      </w:r>
      <w:r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742 Folio 270/1, Libro 1; cuya sede </w:t>
      </w:r>
      <w:r w:rsidR="00E677A6" w:rsidRPr="00506990">
        <w:rPr>
          <w:rFonts w:ascii="Times New Roman" w:hAnsi="Times New Roman" w:cs="Times New Roman"/>
          <w:bCs/>
          <w:color w:val="0D0D0D" w:themeColor="text1" w:themeTint="F2"/>
          <w:sz w:val="22"/>
          <w:szCs w:val="22"/>
          <w:lang w:val="es-AR"/>
        </w:rPr>
        <w:t>en curso de inscripción</w:t>
      </w:r>
      <w:r w:rsidRPr="00506990">
        <w:rPr>
          <w:rFonts w:ascii="Times New Roman" w:hAnsi="Times New Roman" w:cs="Times New Roman"/>
          <w:bCs/>
          <w:color w:val="0D0D0D" w:themeColor="text1" w:themeTint="F2"/>
          <w:sz w:val="22"/>
          <w:szCs w:val="22"/>
          <w:lang w:val="es-AR"/>
        </w:rPr>
        <w:t xml:space="preserve"> </w:t>
      </w:r>
      <w:r w:rsidR="00BA3CC4" w:rsidRPr="00506990">
        <w:rPr>
          <w:rFonts w:ascii="Times New Roman" w:hAnsi="Times New Roman" w:cs="Times New Roman"/>
          <w:bCs/>
          <w:color w:val="0D0D0D" w:themeColor="text1" w:themeTint="F2"/>
          <w:sz w:val="22"/>
          <w:szCs w:val="22"/>
          <w:lang w:val="es-AR"/>
        </w:rPr>
        <w:t xml:space="preserve">por cambio de sede social </w:t>
      </w:r>
      <w:r w:rsidRPr="00506990">
        <w:rPr>
          <w:rFonts w:ascii="Times New Roman" w:hAnsi="Times New Roman" w:cs="Times New Roman"/>
          <w:bCs/>
          <w:color w:val="0D0D0D" w:themeColor="text1" w:themeTint="F2"/>
          <w:sz w:val="22"/>
          <w:szCs w:val="22"/>
          <w:lang w:val="es-AR"/>
        </w:rPr>
        <w:t xml:space="preserve">se </w:t>
      </w:r>
      <w:r w:rsidRPr="000579E7">
        <w:rPr>
          <w:rFonts w:ascii="Times New Roman" w:hAnsi="Times New Roman" w:cs="Times New Roman"/>
          <w:color w:val="0D0D0D" w:themeColor="text1" w:themeTint="F2"/>
          <w:sz w:val="22"/>
          <w:szCs w:val="22"/>
        </w:rPr>
        <w:t xml:space="preserve">encuentra en </w:t>
      </w:r>
      <w:r w:rsidR="009B5242" w:rsidRPr="00F31462">
        <w:rPr>
          <w:rFonts w:ascii="Times New Roman" w:hAnsi="Times New Roman" w:cs="Times New Roman"/>
          <w:color w:val="0D0D0D" w:themeColor="text1" w:themeTint="F2"/>
          <w:sz w:val="22"/>
          <w:szCs w:val="22"/>
        </w:rPr>
        <w:t>Cayetano Santi</w:t>
      </w:r>
      <w:r w:rsidR="009B5242" w:rsidDel="009B5242">
        <w:rPr>
          <w:rFonts w:ascii="Times New Roman" w:hAnsi="Times New Roman" w:cs="Times New Roman"/>
          <w:color w:val="0D0D0D" w:themeColor="text1" w:themeTint="F2"/>
          <w:sz w:val="22"/>
          <w:szCs w:val="22"/>
        </w:rPr>
        <w:t xml:space="preserve"> </w:t>
      </w:r>
      <w:r w:rsidR="00C55026">
        <w:rPr>
          <w:rFonts w:ascii="Times New Roman" w:hAnsi="Times New Roman" w:cs="Times New Roman"/>
          <w:color w:val="0D0D0D" w:themeColor="text1" w:themeTint="F2"/>
          <w:sz w:val="22"/>
          <w:szCs w:val="22"/>
        </w:rPr>
        <w:t xml:space="preserve"> N°1045 </w:t>
      </w:r>
      <w:r w:rsidRPr="00F31462">
        <w:rPr>
          <w:rFonts w:ascii="Times New Roman" w:hAnsi="Times New Roman" w:cs="Times New Roman"/>
          <w:color w:val="0D0D0D" w:themeColor="text1" w:themeTint="F2"/>
          <w:sz w:val="22"/>
          <w:szCs w:val="22"/>
        </w:rPr>
        <w:t>de la ciudad de Rafaela, Provincia de Santa Fe, representada por quienes firman</w:t>
      </w:r>
      <w:r w:rsidRPr="00806657">
        <w:rPr>
          <w:rFonts w:ascii="Times New Roman" w:hAnsi="Times New Roman" w:cs="Times New Roman"/>
          <w:bCs/>
          <w:color w:val="0D0D0D" w:themeColor="text1" w:themeTint="F2"/>
          <w:sz w:val="22"/>
          <w:szCs w:val="22"/>
          <w:lang w:val="es-AR"/>
        </w:rPr>
        <w:t xml:space="preserve"> al pie del presente, en carácter de apoderados,</w:t>
      </w:r>
      <w:r w:rsidR="00B43F7C">
        <w:rPr>
          <w:rFonts w:ascii="Times New Roman" w:hAnsi="Times New Roman" w:cs="Times New Roman"/>
          <w:b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 en adelante </w:t>
      </w:r>
      <w:r w:rsidRPr="00506990">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Bazar</w:t>
      </w:r>
      <w:r w:rsidRPr="00506990">
        <w:rPr>
          <w:rFonts w:ascii="Times New Roman" w:hAnsi="Times New Roman" w:cs="Times New Roman"/>
          <w:iCs/>
          <w:color w:val="0D0D0D" w:themeColor="text1" w:themeTint="F2"/>
          <w:sz w:val="22"/>
          <w:szCs w:val="22"/>
          <w:lang w:val="es-MX"/>
        </w:rPr>
        <w:t>”)</w:t>
      </w:r>
      <w:r w:rsidRPr="00506990">
        <w:rPr>
          <w:rFonts w:ascii="Times New Roman" w:hAnsi="Times New Roman" w:cs="Times New Roman"/>
          <w:iCs/>
          <w:color w:val="0D0D0D" w:themeColor="text1" w:themeTint="F2"/>
          <w:sz w:val="22"/>
          <w:szCs w:val="22"/>
        </w:rPr>
        <w:t>,</w:t>
      </w:r>
      <w:r w:rsidR="00CC479E"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y </w:t>
      </w:r>
      <w:r w:rsidR="00CC479E" w:rsidRPr="00506990">
        <w:rPr>
          <w:rFonts w:ascii="Times New Roman" w:hAnsi="Times New Roman" w:cs="Times New Roman"/>
          <w:color w:val="0D0D0D" w:themeColor="text1" w:themeTint="F2"/>
          <w:sz w:val="22"/>
          <w:szCs w:val="22"/>
        </w:rPr>
        <w:t>CONSUMO</w:t>
      </w:r>
      <w:r w:rsidR="00CC479E" w:rsidRPr="00506990">
        <w:rPr>
          <w:rFonts w:ascii="Times New Roman" w:hAnsi="Times New Roman" w:cs="Times New Roman"/>
          <w:iCs/>
          <w:color w:val="0D0D0D" w:themeColor="text1" w:themeTint="F2"/>
          <w:sz w:val="22"/>
          <w:szCs w:val="22"/>
        </w:rPr>
        <w:t xml:space="preserve"> S.A. una sociedad a</w:t>
      </w:r>
      <w:r w:rsidR="00CC479E"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1220, Folio 151/151, Libro III; cuya sede social inscripta se encuentra en </w:t>
      </w:r>
      <w:r w:rsidR="009B5242" w:rsidRPr="009B5242">
        <w:rPr>
          <w:rFonts w:ascii="Times New Roman" w:hAnsi="Times New Roman" w:cs="Times New Roman"/>
          <w:bCs/>
          <w:color w:val="0D0D0D" w:themeColor="text1" w:themeTint="F2"/>
          <w:sz w:val="22"/>
          <w:szCs w:val="22"/>
          <w:lang w:val="es-AR"/>
        </w:rPr>
        <w:t>Cayetano Santi</w:t>
      </w:r>
      <w:r w:rsidR="00C55026">
        <w:rPr>
          <w:rFonts w:ascii="Times New Roman" w:hAnsi="Times New Roman" w:cs="Times New Roman"/>
          <w:bCs/>
          <w:color w:val="0D0D0D" w:themeColor="text1" w:themeTint="F2"/>
          <w:sz w:val="22"/>
          <w:szCs w:val="22"/>
          <w:lang w:val="es-AR"/>
        </w:rPr>
        <w:t xml:space="preserve"> N° 1045</w:t>
      </w:r>
      <w:r w:rsidR="00CC479E" w:rsidRPr="00506990">
        <w:rPr>
          <w:rFonts w:ascii="Times New Roman" w:hAnsi="Times New Roman" w:cs="Times New Roman"/>
          <w:bCs/>
          <w:color w:val="0D0D0D" w:themeColor="text1" w:themeTint="F2"/>
          <w:sz w:val="22"/>
          <w:szCs w:val="22"/>
          <w:lang w:val="es-AR"/>
        </w:rPr>
        <w:t xml:space="preserve"> de la ciudad de Rafaela, Provincia de Santa Fe, representada por quienes firman al pie del presente, en carácter de apoderados,</w:t>
      </w:r>
      <w:r w:rsidR="00B43F7C">
        <w:rPr>
          <w:rFonts w:ascii="Times New Roman" w:hAnsi="Times New Roman" w:cs="Times New Roman"/>
          <w:bCs/>
          <w:color w:val="0D0D0D" w:themeColor="text1" w:themeTint="F2"/>
          <w:sz w:val="22"/>
          <w:szCs w:val="22"/>
          <w:lang w:val="es-AR"/>
        </w:rPr>
        <w:t xml:space="preserve"> </w:t>
      </w:r>
      <w:r w:rsidR="00CC479E" w:rsidRPr="00506990">
        <w:rPr>
          <w:rFonts w:ascii="Times New Roman" w:hAnsi="Times New Roman" w:cs="Times New Roman"/>
          <w:iCs/>
          <w:color w:val="0D0D0D" w:themeColor="text1" w:themeTint="F2"/>
          <w:sz w:val="22"/>
          <w:szCs w:val="22"/>
        </w:rPr>
        <w:t xml:space="preserve">(en adelante </w:t>
      </w:r>
      <w:r w:rsidR="00CC479E" w:rsidRPr="00506990">
        <w:rPr>
          <w:rFonts w:ascii="Times New Roman" w:hAnsi="Times New Roman" w:cs="Times New Roman"/>
          <w:iCs/>
          <w:color w:val="0D0D0D" w:themeColor="text1" w:themeTint="F2"/>
          <w:sz w:val="22"/>
          <w:szCs w:val="22"/>
          <w:lang w:val="es-MX"/>
        </w:rPr>
        <w:t>“Consumo” y junto a Bazar</w:t>
      </w:r>
      <w:r w:rsidR="00B43F7C">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 xml:space="preserve"> los “Fiduciantes”) </w:t>
      </w:r>
      <w:r w:rsidRPr="00506990">
        <w:rPr>
          <w:rFonts w:ascii="Times New Roman" w:hAnsi="Times New Roman" w:cs="Times New Roman"/>
          <w:color w:val="0D0D0D" w:themeColor="text1" w:themeTint="F2"/>
          <w:sz w:val="22"/>
          <w:szCs w:val="22"/>
        </w:rPr>
        <w:t xml:space="preserve">todos en conjunto las (“Partes”), celebran el presente contrato suplementario de fideicomiso (el “Contrato Suplementario”) para la emisión de </w:t>
      </w:r>
      <w:r w:rsidR="00151843">
        <w:rPr>
          <w:rFonts w:ascii="Times New Roman" w:eastAsia="Times New Roman" w:hAnsi="Times New Roman" w:cs="Times New Roman"/>
          <w:color w:val="0D0D0D" w:themeColor="text1" w:themeTint="F2"/>
          <w:sz w:val="22"/>
          <w:szCs w:val="22"/>
          <w:lang w:val="es-AR"/>
        </w:rPr>
        <w:t>Valores de Deuda Fiduciaria</w:t>
      </w:r>
      <w:r w:rsidR="00286ECE"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rPr>
        <w:t>en el presente Fideicomiso Financiero, a constituir</w:t>
      </w:r>
      <w:r w:rsidR="00C05064">
        <w:rPr>
          <w:rFonts w:ascii="Times New Roman" w:hAnsi="Times New Roman" w:cs="Times New Roman"/>
          <w:color w:val="0D0D0D" w:themeColor="text1" w:themeTint="F2"/>
          <w:sz w:val="22"/>
          <w:szCs w:val="22"/>
        </w:rPr>
        <w:t xml:space="preserve">se como </w:t>
      </w:r>
      <w:r w:rsidR="00284043">
        <w:rPr>
          <w:rFonts w:ascii="Times New Roman" w:hAnsi="Times New Roman" w:cs="Times New Roman"/>
          <w:color w:val="0D0D0D" w:themeColor="text1" w:themeTint="F2"/>
          <w:sz w:val="22"/>
          <w:szCs w:val="22"/>
        </w:rPr>
        <w:t xml:space="preserve">sexta </w:t>
      </w:r>
      <w:r w:rsidR="00C05064">
        <w:rPr>
          <w:rFonts w:ascii="Times New Roman" w:hAnsi="Times New Roman" w:cs="Times New Roman"/>
          <w:color w:val="0D0D0D" w:themeColor="text1" w:themeTint="F2"/>
          <w:sz w:val="22"/>
          <w:szCs w:val="22"/>
        </w:rPr>
        <w:t>serie</w:t>
      </w:r>
      <w:r w:rsidRPr="00506990">
        <w:rPr>
          <w:rFonts w:ascii="Times New Roman" w:hAnsi="Times New Roman" w:cs="Times New Roman"/>
          <w:color w:val="0D0D0D" w:themeColor="text1" w:themeTint="F2"/>
          <w:sz w:val="22"/>
          <w:szCs w:val="22"/>
        </w:rPr>
        <w:t xml:space="preserve"> bajo el Programa Global </w:t>
      </w:r>
      <w:r w:rsidR="00C05064">
        <w:rPr>
          <w:rFonts w:ascii="Times New Roman" w:hAnsi="Times New Roman" w:cs="Times New Roman"/>
          <w:color w:val="0D0D0D" w:themeColor="text1" w:themeTint="F2"/>
          <w:sz w:val="22"/>
          <w:szCs w:val="22"/>
        </w:rPr>
        <w:t xml:space="preserve">de Valores Fiduciarios </w:t>
      </w:r>
      <w:r w:rsidRPr="00506990">
        <w:rPr>
          <w:rFonts w:ascii="Times New Roman" w:hAnsi="Times New Roman" w:cs="Times New Roman"/>
          <w:color w:val="0D0D0D" w:themeColor="text1" w:themeTint="F2"/>
          <w:sz w:val="22"/>
          <w:szCs w:val="22"/>
        </w:rPr>
        <w:t>“CONFIBONO</w:t>
      </w:r>
      <w:r w:rsidR="00C05064">
        <w:rPr>
          <w:rFonts w:ascii="Times New Roman" w:hAnsi="Times New Roman" w:cs="Times New Roman"/>
          <w:color w:val="0D0D0D" w:themeColor="text1" w:themeTint="F2"/>
          <w:sz w:val="22"/>
          <w:szCs w:val="22"/>
        </w:rPr>
        <w:t xml:space="preserve"> II</w:t>
      </w:r>
      <w:r w:rsidRPr="00506990">
        <w:rPr>
          <w:rFonts w:ascii="Times New Roman" w:hAnsi="Times New Roman" w:cs="Times New Roman"/>
          <w:color w:val="0D0D0D" w:themeColor="text1" w:themeTint="F2"/>
          <w:sz w:val="22"/>
          <w:szCs w:val="22"/>
        </w:rPr>
        <w:t>” (el “Programa”); con arreglo a lo establecido en el contrato de fideicomiso marco del Programa (el “Contrato Marco”), contenido en el Prospecto Global del Programa, y de conformidad con lo dispuesto a continuación:</w:t>
      </w:r>
    </w:p>
    <w:p w14:paraId="60EA109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0E8B4B5F"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SECCIÓN PRELIMINAR</w:t>
      </w:r>
    </w:p>
    <w:p w14:paraId="10D73F2D"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DEFINICIONES</w:t>
      </w:r>
    </w:p>
    <w:p w14:paraId="2C9F55A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77A592E6" w14:textId="77777777" w:rsidR="0050339C" w:rsidRPr="00506990" w:rsidRDefault="0050339C" w:rsidP="0050339C">
      <w:pPr>
        <w:rPr>
          <w:rFonts w:ascii="Times New Roman" w:hAnsi="Times New Roman" w:cs="Times New Roman"/>
          <w:iCs/>
          <w:color w:val="0D0D0D" w:themeColor="text1" w:themeTint="F2"/>
          <w:spacing w:val="-3"/>
          <w:sz w:val="22"/>
          <w:szCs w:val="22"/>
        </w:rPr>
      </w:pPr>
      <w:r w:rsidRPr="00506990">
        <w:rPr>
          <w:rFonts w:ascii="Times New Roman" w:hAnsi="Times New Roman" w:cs="Times New Roman"/>
          <w:iCs/>
          <w:color w:val="0D0D0D" w:themeColor="text1" w:themeTint="F2"/>
          <w:spacing w:val="-3"/>
          <w:sz w:val="22"/>
          <w:szCs w:val="22"/>
        </w:rPr>
        <w:t>A efectos del presente, los términos empleados en mayúsculas tendrán la definición que se les asigna en el Contrato Marco del Programa, si no estuvieran definidos de otro modo en el presente Suplemento de Prospecto.</w:t>
      </w:r>
    </w:p>
    <w:p w14:paraId="26017A5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21BF2DF4"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“Administrador</w:t>
      </w:r>
      <w:r w:rsidR="00CC479E"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00CB5AE3" w:rsidRPr="00FE7FBE">
        <w:rPr>
          <w:rFonts w:ascii="Times New Roman" w:hAnsi="Times New Roman" w:cs="Times New Roman"/>
          <w:bCs/>
          <w:iCs/>
          <w:color w:val="0D0D0D" w:themeColor="text1" w:themeTint="F2"/>
          <w:sz w:val="22"/>
          <w:szCs w:val="22"/>
        </w:rPr>
        <w:t>Son</w:t>
      </w:r>
      <w:r w:rsidR="00CB5AE3">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Bazar Avenida S.A.</w:t>
      </w:r>
      <w:r w:rsidR="00CC479E" w:rsidRPr="00506990">
        <w:rPr>
          <w:rFonts w:ascii="Times New Roman" w:hAnsi="Times New Roman" w:cs="Times New Roman"/>
          <w:iCs/>
          <w:color w:val="0D0D0D" w:themeColor="text1" w:themeTint="F2"/>
          <w:sz w:val="22"/>
          <w:szCs w:val="22"/>
        </w:rPr>
        <w:t xml:space="preserve"> y Consumo S.A.</w:t>
      </w:r>
      <w:r w:rsidR="00CB5AE3">
        <w:rPr>
          <w:rFonts w:ascii="Times New Roman" w:hAnsi="Times New Roman" w:cs="Times New Roman"/>
          <w:iCs/>
          <w:color w:val="0D0D0D" w:themeColor="text1" w:themeTint="F2"/>
          <w:sz w:val="22"/>
          <w:szCs w:val="22"/>
        </w:rPr>
        <w:t xml:space="preserve"> en su rol de Administradores del Activo Fideicomitido</w:t>
      </w:r>
      <w:r w:rsidRPr="00506990">
        <w:rPr>
          <w:rFonts w:ascii="Times New Roman" w:hAnsi="Times New Roman" w:cs="Times New Roman"/>
          <w:iCs/>
          <w:color w:val="0D0D0D" w:themeColor="text1" w:themeTint="F2"/>
          <w:sz w:val="22"/>
          <w:szCs w:val="22"/>
        </w:rPr>
        <w:t>, quien</w:t>
      </w:r>
      <w:r w:rsidR="00CC479E"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tendrá</w:t>
      </w:r>
      <w:r w:rsidR="00CC479E"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w:t>
      </w:r>
      <w:r w:rsidR="00CB5AE3">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dministración de los Créditos.</w:t>
      </w:r>
    </w:p>
    <w:p w14:paraId="3E52B505"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F75052"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sidDel="00920199">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“Agente</w:t>
      </w:r>
      <w:r w:rsidR="00CC479E"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iCs/>
          <w:color w:val="0D0D0D" w:themeColor="text1" w:themeTint="F2"/>
          <w:spacing w:val="-3"/>
          <w:sz w:val="22"/>
          <w:szCs w:val="22"/>
        </w:rPr>
        <w:t>l</w:t>
      </w:r>
      <w:r w:rsidR="00CC479E" w:rsidRPr="00506990">
        <w:rPr>
          <w:rFonts w:ascii="Times New Roman" w:hAnsi="Times New Roman" w:cs="Times New Roman"/>
          <w:iCs/>
          <w:color w:val="0D0D0D" w:themeColor="text1" w:themeTint="F2"/>
          <w:spacing w:val="-3"/>
          <w:sz w:val="22"/>
          <w:szCs w:val="22"/>
        </w:rPr>
        <w:t>os</w:t>
      </w:r>
      <w:r w:rsidRPr="00506990">
        <w:rPr>
          <w:rFonts w:ascii="Times New Roman" w:hAnsi="Times New Roman" w:cs="Times New Roman"/>
          <w:iCs/>
          <w:color w:val="0D0D0D" w:themeColor="text1" w:themeTint="F2"/>
          <w:spacing w:val="-3"/>
          <w:sz w:val="22"/>
          <w:szCs w:val="22"/>
        </w:rPr>
        <w:t xml:space="preserve"> Fiduciante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en su carácter de responsable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de la cobranza de los Créditos que se cobren por la gestión extrajudicial y judicial de los créditos y sujeto pasivo del Impuesto al Valor Agregado que recae sobre los intereses de financiación que incluyen los Créditos.</w:t>
      </w:r>
    </w:p>
    <w:p w14:paraId="7BD1028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p>
    <w:p w14:paraId="1C5BADDF" w14:textId="5324EEB2"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 de Control y Revisión”: </w:t>
      </w:r>
      <w:r w:rsidRPr="00506990">
        <w:rPr>
          <w:rFonts w:ascii="Times New Roman" w:hAnsi="Times New Roman" w:cs="Times New Roman"/>
          <w:color w:val="0D0D0D" w:themeColor="text1" w:themeTint="F2"/>
          <w:sz w:val="22"/>
          <w:szCs w:val="22"/>
        </w:rPr>
        <w:t>Daniel H. Zubillaga, en carácter de Agente de Control y Revisión titular</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xml:space="preserve">, en carácter de suplente, </w:t>
      </w:r>
      <w:r w:rsidR="005034D2">
        <w:rPr>
          <w:rFonts w:ascii="Times New Roman" w:hAnsi="Times New Roman" w:cs="Times New Roman"/>
          <w:color w:val="0D0D0D" w:themeColor="text1" w:themeTint="F2"/>
          <w:sz w:val="22"/>
          <w:szCs w:val="22"/>
        </w:rPr>
        <w:t>y Guillermo A. Barbero, en carácter suplente</w:t>
      </w:r>
      <w:r w:rsidR="005034D2"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w:t>
      </w:r>
      <w:r w:rsidR="005034D2" w:rsidRPr="00506990">
        <w:rPr>
          <w:rFonts w:ascii="Times New Roman" w:hAnsi="Times New Roman" w:cs="Times New Roman"/>
          <w:color w:val="0D0D0D" w:themeColor="text1" w:themeTint="F2"/>
          <w:sz w:val="22"/>
          <w:szCs w:val="22"/>
        </w:rPr>
        <w:t>os</w:t>
      </w:r>
      <w:r w:rsidR="005034D2" w:rsidRPr="00506990" w:rsidDel="005034D2">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 miembros de Zubillaga &amp; Asociados S.A (en adelante el “Agente de Control y Revisión”), o la persona o personas que el Fiduciario designe conforme a lo establecido en el artículo 3.14.</w:t>
      </w:r>
    </w:p>
    <w:p w14:paraId="042A04FB"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B0DB0CD" w14:textId="1A645523" w:rsidR="0050339C" w:rsidRPr="00506990" w:rsidRDefault="0050339C" w:rsidP="0050339C">
      <w:pPr>
        <w:spacing w:line="240" w:lineRule="atLeast"/>
        <w:rPr>
          <w:rFonts w:ascii="Times New Roman" w:hAnsi="Times New Roman" w:cs="Times New Roman"/>
          <w:b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t>“Agente de Custodia”:</w:t>
      </w:r>
      <w:r w:rsidRPr="00506990">
        <w:rPr>
          <w:rFonts w:ascii="Times New Roman" w:hAnsi="Times New Roman" w:cs="Times New Roman"/>
          <w:bCs/>
          <w:color w:val="0D0D0D" w:themeColor="text1" w:themeTint="F2"/>
          <w:sz w:val="22"/>
          <w:szCs w:val="22"/>
          <w:lang w:val="pt-BR"/>
        </w:rPr>
        <w:t xml:space="preserve"> </w:t>
      </w:r>
      <w:r w:rsidR="00DD2C14">
        <w:rPr>
          <w:rFonts w:ascii="Times New Roman" w:hAnsi="Times New Roman" w:cs="Times New Roman"/>
          <w:bCs/>
          <w:color w:val="0D0D0D" w:themeColor="text1" w:themeTint="F2"/>
          <w:sz w:val="22"/>
          <w:szCs w:val="22"/>
          <w:lang w:val="pt-BR"/>
        </w:rPr>
        <w:t>AZ Administración de Archivos</w:t>
      </w:r>
      <w:r w:rsidR="00DD2C14" w:rsidRPr="00506990">
        <w:rPr>
          <w:rFonts w:ascii="Times New Roman" w:hAnsi="Times New Roman" w:cs="Times New Roman"/>
          <w:bCs/>
          <w:color w:val="0D0D0D" w:themeColor="text1" w:themeTint="F2"/>
          <w:sz w:val="22"/>
          <w:szCs w:val="22"/>
          <w:lang w:val="pt-BR"/>
        </w:rPr>
        <w:t xml:space="preserve"> </w:t>
      </w:r>
      <w:r w:rsidRPr="00506990">
        <w:rPr>
          <w:rFonts w:ascii="Times New Roman" w:hAnsi="Times New Roman" w:cs="Times New Roman"/>
          <w:bCs/>
          <w:color w:val="0D0D0D" w:themeColor="text1" w:themeTint="F2"/>
          <w:sz w:val="22"/>
          <w:szCs w:val="22"/>
          <w:lang w:val="pt-BR"/>
        </w:rPr>
        <w:t>S.A..</w:t>
      </w:r>
    </w:p>
    <w:p w14:paraId="37449B57"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pt-BR"/>
        </w:rPr>
      </w:pPr>
    </w:p>
    <w:p w14:paraId="5E081D8A" w14:textId="77777777" w:rsidR="0050339C" w:rsidRPr="00506990" w:rsidRDefault="0050339C" w:rsidP="0050339C">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t>“</w:t>
      </w:r>
      <w:r w:rsidRPr="00506990">
        <w:rPr>
          <w:rFonts w:ascii="Times New Roman" w:hAnsi="Times New Roman" w:cs="Times New Roman"/>
          <w:b/>
          <w:bCs/>
          <w:iCs/>
          <w:color w:val="0D0D0D" w:themeColor="text1" w:themeTint="F2"/>
          <w:sz w:val="22"/>
          <w:szCs w:val="22"/>
          <w:lang w:val="pt-BR"/>
        </w:rPr>
        <w:t xml:space="preserve">Agente Recaudador”: </w:t>
      </w:r>
      <w:r w:rsidRPr="00506990">
        <w:rPr>
          <w:rFonts w:ascii="Times New Roman" w:hAnsi="Times New Roman" w:cs="Times New Roman"/>
          <w:bCs/>
          <w:iCs/>
          <w:color w:val="0D0D0D" w:themeColor="text1" w:themeTint="F2"/>
          <w:sz w:val="22"/>
          <w:szCs w:val="22"/>
          <w:lang w:val="pt-BR"/>
        </w:rPr>
        <w:t xml:space="preserve">Tinsa S.A </w:t>
      </w:r>
      <w:r w:rsidRPr="00506990">
        <w:rPr>
          <w:rFonts w:ascii="Times New Roman" w:hAnsi="Times New Roman" w:cs="Times New Roman"/>
          <w:iCs/>
          <w:color w:val="0D0D0D" w:themeColor="text1" w:themeTint="F2"/>
          <w:sz w:val="22"/>
          <w:szCs w:val="22"/>
          <w:lang w:val="pt-BR"/>
        </w:rPr>
        <w:t>(Cobro Express).</w:t>
      </w:r>
    </w:p>
    <w:p w14:paraId="7862152A" w14:textId="77777777" w:rsidR="0050339C" w:rsidRPr="00506990" w:rsidRDefault="0050339C" w:rsidP="0050339C">
      <w:pPr>
        <w:rPr>
          <w:rFonts w:ascii="Times New Roman" w:hAnsi="Times New Roman" w:cs="Times New Roman"/>
          <w:b/>
          <w:bCs/>
          <w:iCs/>
          <w:color w:val="0D0D0D" w:themeColor="text1" w:themeTint="F2"/>
          <w:sz w:val="22"/>
          <w:szCs w:val="22"/>
          <w:lang w:val="pt-BR"/>
        </w:rPr>
      </w:pPr>
    </w:p>
    <w:p w14:paraId="65D2EAE2" w14:textId="476F8FF1"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“Agentes Externos de Recaudación”: </w:t>
      </w:r>
      <w:r w:rsidRPr="00506990">
        <w:rPr>
          <w:rFonts w:ascii="Times New Roman" w:hAnsi="Times New Roman" w:cs="Times New Roman"/>
          <w:bCs/>
          <w:iCs/>
          <w:color w:val="0D0D0D" w:themeColor="text1" w:themeTint="F2"/>
          <w:sz w:val="22"/>
          <w:szCs w:val="22"/>
        </w:rPr>
        <w:t>son las entidades que TINSA S.A., en su carácter de Agente Recaudador subcontrata a los efectos de llevar a cabo la recaudación de los Créditos.</w:t>
      </w:r>
      <w:r w:rsidR="00563A4E">
        <w:rPr>
          <w:rFonts w:ascii="Times New Roman" w:hAnsi="Times New Roman" w:cs="Times New Roman"/>
          <w:bCs/>
          <w:iCs/>
          <w:color w:val="0D0D0D" w:themeColor="text1" w:themeTint="F2"/>
          <w:sz w:val="22"/>
          <w:szCs w:val="22"/>
        </w:rPr>
        <w:t xml:space="preserve"> A la fecha TINSA S.A. ha celebrado convenios con </w:t>
      </w:r>
      <w:r w:rsidR="00635795" w:rsidRPr="00635795">
        <w:rPr>
          <w:rFonts w:ascii="Times New Roman" w:hAnsi="Times New Roman" w:cs="Times New Roman"/>
          <w:bCs/>
          <w:iCs/>
          <w:color w:val="0D0D0D" w:themeColor="text1" w:themeTint="F2"/>
          <w:sz w:val="22"/>
          <w:szCs w:val="22"/>
        </w:rPr>
        <w:t>Red Informática de Pagos S.A. (</w:t>
      </w:r>
      <w:r w:rsidR="00635795">
        <w:rPr>
          <w:rFonts w:ascii="Times New Roman" w:hAnsi="Times New Roman" w:cs="Times New Roman"/>
          <w:bCs/>
          <w:iCs/>
          <w:color w:val="0D0D0D" w:themeColor="text1" w:themeTint="F2"/>
          <w:sz w:val="22"/>
          <w:szCs w:val="22"/>
        </w:rPr>
        <w:t>“RIPSA”), Servicio Electrónico</w:t>
      </w:r>
      <w:r w:rsidR="00635795" w:rsidRPr="00635795">
        <w:rPr>
          <w:rFonts w:ascii="Times New Roman" w:hAnsi="Times New Roman" w:cs="Times New Roman"/>
          <w:bCs/>
          <w:iCs/>
          <w:color w:val="0D0D0D" w:themeColor="text1" w:themeTint="F2"/>
          <w:sz w:val="22"/>
          <w:szCs w:val="22"/>
        </w:rPr>
        <w:t xml:space="preserve"> de Pago S.A. (“Pago Fácil”) y Gire S.A. (“Rapipago”)</w:t>
      </w:r>
      <w:r w:rsidR="00563A4E" w:rsidRPr="00635795">
        <w:rPr>
          <w:rFonts w:ascii="Times New Roman" w:hAnsi="Times New Roman" w:cs="Times New Roman"/>
          <w:bCs/>
          <w:iCs/>
          <w:color w:val="0D0D0D" w:themeColor="text1" w:themeTint="F2"/>
          <w:sz w:val="22"/>
          <w:szCs w:val="22"/>
        </w:rPr>
        <w:t>.</w:t>
      </w:r>
    </w:p>
    <w:p w14:paraId="6789DF67" w14:textId="77777777" w:rsidR="0050339C" w:rsidRPr="00506990" w:rsidRDefault="0050339C" w:rsidP="0050339C">
      <w:pPr>
        <w:rPr>
          <w:rFonts w:ascii="Times New Roman" w:hAnsi="Times New Roman" w:cs="Times New Roman"/>
          <w:b/>
          <w:bCs/>
          <w:iCs/>
          <w:color w:val="0D0D0D" w:themeColor="text1" w:themeTint="F2"/>
          <w:sz w:val="22"/>
          <w:szCs w:val="22"/>
        </w:rPr>
      </w:pPr>
    </w:p>
    <w:p w14:paraId="2F4C6390"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“AIF”</w:t>
      </w:r>
      <w:r w:rsidRPr="00506990">
        <w:rPr>
          <w:rFonts w:ascii="Times New Roman" w:hAnsi="Times New Roman" w:cs="Times New Roman"/>
          <w:b/>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Autopista de Información Financiera de la CNV.</w:t>
      </w:r>
    </w:p>
    <w:p w14:paraId="2094496E" w14:textId="77777777" w:rsidR="009B026C" w:rsidRPr="00506990" w:rsidRDefault="009B026C" w:rsidP="0050339C">
      <w:pPr>
        <w:rPr>
          <w:rFonts w:ascii="Times New Roman" w:hAnsi="Times New Roman" w:cs="Times New Roman"/>
          <w:iCs/>
          <w:color w:val="0D0D0D" w:themeColor="text1" w:themeTint="F2"/>
          <w:sz w:val="22"/>
          <w:szCs w:val="22"/>
        </w:rPr>
      </w:pPr>
    </w:p>
    <w:p w14:paraId="73D1CAB0" w14:textId="71E23F34" w:rsidR="009B026C" w:rsidRPr="00506990" w:rsidRDefault="009B026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“Asamblea de Beneficiarios”</w:t>
      </w:r>
      <w:r w:rsidRPr="00506990">
        <w:rPr>
          <w:rFonts w:ascii="Times New Roman" w:hAnsi="Times New Roman" w:cs="Times New Roman"/>
          <w:iCs/>
          <w:color w:val="0D0D0D" w:themeColor="text1" w:themeTint="F2"/>
          <w:sz w:val="22"/>
          <w:szCs w:val="22"/>
        </w:rPr>
        <w:t>: es una asamblea de Beneficiarios convocada para adoptar una resolución de conformidad con lo previsto en el presente Contrato Suplementario.</w:t>
      </w:r>
      <w:r w:rsidR="00310C61">
        <w:rPr>
          <w:rFonts w:ascii="Times New Roman" w:hAnsi="Times New Roman" w:cs="Times New Roman"/>
          <w:iCs/>
          <w:color w:val="0D0D0D" w:themeColor="text1" w:themeTint="F2"/>
          <w:sz w:val="22"/>
          <w:szCs w:val="22"/>
        </w:rPr>
        <w:t xml:space="preserve"> Su convocatoria, quórum, deliberación y resolución, y todo otro aspecto concerniente a la misma que no se encuentre previsto en el Contrato Suplementario se regirá por lo dispuesto en el Contrato Marco.</w:t>
      </w:r>
    </w:p>
    <w:p w14:paraId="5259B7F3"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56F2C26A" w14:textId="098FD321"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“Aviso de </w:t>
      </w:r>
      <w:r w:rsidRPr="00506990">
        <w:rPr>
          <w:rFonts w:ascii="Times New Roman" w:hAnsi="Times New Roman" w:cs="Times New Roman"/>
          <w:b/>
          <w:iCs/>
          <w:color w:val="0D0D0D" w:themeColor="text1" w:themeTint="F2"/>
          <w:sz w:val="22"/>
          <w:szCs w:val="22"/>
        </w:rPr>
        <w:t>Suscripción</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significa el aviso a ser publicado por el Fiduciario –al menos - en la AIF y en los sistemas de información de los mercados autorizados donde listen</w:t>
      </w:r>
      <w:r w:rsidRPr="00506990">
        <w:rPr>
          <w:rFonts w:ascii="Times New Roman" w:hAnsi="Times New Roman" w:cs="Times New Roman"/>
          <w:iCs/>
          <w:color w:val="0D0D0D" w:themeColor="text1" w:themeTint="F2"/>
          <w:sz w:val="22"/>
          <w:szCs w:val="22"/>
          <w:lang w:val="es-AR"/>
        </w:rPr>
        <w:t xml:space="preserve"> y/o negocien</w:t>
      </w:r>
      <w:r w:rsidRPr="00506990">
        <w:rPr>
          <w:rFonts w:ascii="Times New Roman" w:hAnsi="Times New Roman" w:cs="Times New Roman"/>
          <w:iCs/>
          <w:color w:val="0D0D0D" w:themeColor="text1" w:themeTint="F2"/>
          <w:sz w:val="22"/>
          <w:szCs w:val="22"/>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en el que se indicará -como mínimo – los datos requeridos por las NORMAS de la CNV. </w:t>
      </w:r>
    </w:p>
    <w:p w14:paraId="3A192DE1" w14:textId="77777777" w:rsidR="0050339C" w:rsidRPr="00506990" w:rsidRDefault="0050339C" w:rsidP="0050339C">
      <w:pPr>
        <w:rPr>
          <w:rFonts w:ascii="Times New Roman" w:hAnsi="Times New Roman" w:cs="Times New Roman"/>
          <w:iCs/>
          <w:color w:val="0D0D0D" w:themeColor="text1" w:themeTint="F2"/>
          <w:sz w:val="22"/>
          <w:szCs w:val="22"/>
        </w:rPr>
      </w:pPr>
    </w:p>
    <w:p w14:paraId="7301F49D" w14:textId="77777777" w:rsidR="0050339C" w:rsidRPr="00506990" w:rsidRDefault="0050339C" w:rsidP="0050339C">
      <w:pPr>
        <w:pStyle w:val="Textonotapie"/>
        <w:suppressAutoHyphens/>
        <w:rPr>
          <w:rFonts w:ascii="Times New Roman" w:hAnsi="Times New Roman"/>
          <w:iCs/>
          <w:color w:val="0D0D0D" w:themeColor="text1" w:themeTint="F2"/>
          <w:sz w:val="22"/>
          <w:szCs w:val="22"/>
        </w:rPr>
      </w:pPr>
      <w:r w:rsidRPr="00506990">
        <w:rPr>
          <w:rFonts w:ascii="Times New Roman" w:hAnsi="Times New Roman"/>
          <w:bCs/>
          <w:iCs/>
          <w:color w:val="0D0D0D" w:themeColor="text1" w:themeTint="F2"/>
          <w:sz w:val="22"/>
          <w:szCs w:val="22"/>
        </w:rPr>
        <w:t>“</w:t>
      </w:r>
      <w:r w:rsidRPr="00506990">
        <w:rPr>
          <w:rFonts w:ascii="Times New Roman" w:hAnsi="Times New Roman"/>
          <w:b/>
          <w:bCs/>
          <w:iCs/>
          <w:color w:val="0D0D0D" w:themeColor="text1" w:themeTint="F2"/>
          <w:sz w:val="22"/>
          <w:szCs w:val="22"/>
        </w:rPr>
        <w:t>Bienes Fideicomitidos”:</w:t>
      </w:r>
      <w:r w:rsidRPr="00506990">
        <w:rPr>
          <w:rFonts w:ascii="Times New Roman" w:hAnsi="Times New Roman"/>
          <w:iCs/>
          <w:color w:val="0D0D0D" w:themeColor="text1" w:themeTint="F2"/>
          <w:sz w:val="22"/>
          <w:szCs w:val="22"/>
        </w:rPr>
        <w:t xml:space="preserve"> </w:t>
      </w:r>
      <w:r w:rsidRPr="00506990">
        <w:rPr>
          <w:rFonts w:ascii="Times New Roman" w:hAnsi="Times New Roman"/>
          <w:color w:val="0D0D0D" w:themeColor="text1" w:themeTint="F2"/>
          <w:sz w:val="22"/>
          <w:szCs w:val="22"/>
        </w:rPr>
        <w:t>Créditos de consumo y personales originados por l</w:t>
      </w:r>
      <w:r w:rsidR="006E36BA"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6E36BA"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facturas, y en pagarés que fueron endosados a favor de Rosario Administradora Sociedad Fiduciaria como fiduciario del Fideicomiso. </w:t>
      </w:r>
      <w:r w:rsidRPr="00506990">
        <w:rPr>
          <w:rFonts w:ascii="Times New Roman" w:hAnsi="Times New Roman"/>
          <w:iCs/>
          <w:color w:val="0D0D0D" w:themeColor="text1" w:themeTint="F2"/>
          <w:sz w:val="22"/>
          <w:szCs w:val="22"/>
        </w:rPr>
        <w:t>También constituyen Bienes Fideicomitidos,</w:t>
      </w:r>
      <w:r w:rsidRPr="00506990">
        <w:rPr>
          <w:rFonts w:ascii="Times New Roman" w:hAnsi="Times New Roman"/>
          <w:color w:val="0D0D0D" w:themeColor="text1" w:themeTint="F2"/>
          <w:sz w:val="22"/>
          <w:szCs w:val="22"/>
        </w:rPr>
        <w:t xml:space="preserve"> todo producido, renta, amortización, indemnización, fruto, accesión </w:t>
      </w:r>
      <w:r w:rsidRPr="00506990">
        <w:rPr>
          <w:rFonts w:ascii="Times New Roman" w:hAnsi="Times New Roman"/>
          <w:iCs/>
          <w:color w:val="0D0D0D" w:themeColor="text1" w:themeTint="F2"/>
          <w:sz w:val="22"/>
          <w:szCs w:val="22"/>
        </w:rPr>
        <w:t>de los Créditos y el resultado</w:t>
      </w:r>
      <w:r w:rsidRPr="00506990">
        <w:rPr>
          <w:rFonts w:ascii="Times New Roman" w:hAnsi="Times New Roman"/>
          <w:color w:val="0D0D0D" w:themeColor="text1" w:themeTint="F2"/>
          <w:sz w:val="22"/>
          <w:szCs w:val="22"/>
        </w:rPr>
        <w:t xml:space="preserve"> de la inversión de los Fondos Líquidos Disponibles. </w:t>
      </w:r>
      <w:r w:rsidRPr="00506990">
        <w:rPr>
          <w:rFonts w:ascii="Times New Roman" w:hAnsi="Times New Roman"/>
          <w:iCs/>
          <w:color w:val="0D0D0D" w:themeColor="text1" w:themeTint="F2"/>
          <w:sz w:val="22"/>
          <w:szCs w:val="22"/>
        </w:rPr>
        <w:t xml:space="preserve"> </w:t>
      </w:r>
    </w:p>
    <w:p w14:paraId="2D12301C" w14:textId="77777777" w:rsidR="0050339C" w:rsidRPr="00506990" w:rsidRDefault="0050339C" w:rsidP="0050339C">
      <w:pPr>
        <w:rPr>
          <w:rFonts w:ascii="Times New Roman" w:hAnsi="Times New Roman" w:cs="Times New Roman"/>
          <w:color w:val="0D0D0D" w:themeColor="text1" w:themeTint="F2"/>
          <w:sz w:val="22"/>
          <w:szCs w:val="22"/>
        </w:rPr>
      </w:pPr>
    </w:p>
    <w:p w14:paraId="2DCC6C6D" w14:textId="77777777" w:rsidR="0050339C" w:rsidRPr="00506990" w:rsidRDefault="0050339C" w:rsidP="0050339C">
      <w:pPr>
        <w:suppressLineNumber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“Cobranza”:</w:t>
      </w:r>
      <w:r w:rsidRPr="00506990">
        <w:rPr>
          <w:rFonts w:ascii="Times New Roman" w:hAnsi="Times New Roman" w:cs="Times New Roman"/>
          <w:color w:val="0D0D0D" w:themeColor="text1" w:themeTint="F2"/>
          <w:sz w:val="22"/>
          <w:szCs w:val="22"/>
        </w:rPr>
        <w:t xml:space="preserve"> las sumas ingresadas al Fideicomiso en concepto de pagos realizados por los Deudores con imputación a los Créditos fideicomitidos.</w:t>
      </w:r>
    </w:p>
    <w:p w14:paraId="16686BAA" w14:textId="77777777" w:rsidR="0050339C" w:rsidRPr="00506990" w:rsidRDefault="0050339C" w:rsidP="0050339C">
      <w:pPr>
        <w:rPr>
          <w:rFonts w:ascii="Times New Roman" w:hAnsi="Times New Roman" w:cs="Times New Roman"/>
          <w:iCs/>
          <w:color w:val="0D0D0D" w:themeColor="text1" w:themeTint="F2"/>
          <w:sz w:val="22"/>
          <w:szCs w:val="22"/>
        </w:rPr>
      </w:pPr>
    </w:p>
    <w:p w14:paraId="3EF718F9" w14:textId="1622E015" w:rsidR="000B1EFD" w:rsidRPr="00506990" w:rsidRDefault="000B1EFD" w:rsidP="000B1EFD">
      <w:pPr>
        <w:pStyle w:val="Textonotapie"/>
        <w:suppressAutoHyphens/>
        <w:rPr>
          <w:rFonts w:ascii="Times New Roman" w:hAnsi="Times New Roman"/>
          <w:iCs/>
          <w:color w:val="0D0D0D" w:themeColor="text1" w:themeTint="F2"/>
          <w:sz w:val="22"/>
          <w:szCs w:val="22"/>
          <w:lang w:val="es-ES"/>
        </w:rPr>
      </w:pPr>
      <w:r w:rsidRPr="00A01A11">
        <w:rPr>
          <w:rFonts w:ascii="Times New Roman" w:hAnsi="Times New Roman"/>
          <w:b/>
          <w:color w:val="0D0D0D" w:themeColor="text1" w:themeTint="F2"/>
          <w:sz w:val="22"/>
          <w:szCs w:val="22"/>
          <w:lang w:val="es-AR"/>
        </w:rPr>
        <w:t xml:space="preserve">“Colocadores”: </w:t>
      </w:r>
      <w:r w:rsidR="00DD2C14">
        <w:rPr>
          <w:rFonts w:ascii="Times New Roman" w:hAnsi="Times New Roman"/>
          <w:color w:val="0D0D0D" w:themeColor="text1" w:themeTint="F2"/>
          <w:sz w:val="22"/>
          <w:szCs w:val="22"/>
          <w:lang w:val="es-AR"/>
        </w:rPr>
        <w:t>Macro</w:t>
      </w:r>
      <w:r w:rsidR="00DD2C14" w:rsidRPr="00A01A11">
        <w:rPr>
          <w:rFonts w:ascii="Times New Roman" w:hAnsi="Times New Roman"/>
          <w:color w:val="0D0D0D" w:themeColor="text1" w:themeTint="F2"/>
          <w:sz w:val="22"/>
          <w:szCs w:val="22"/>
          <w:lang w:val="es-AR"/>
        </w:rPr>
        <w:t xml:space="preserve"> </w:t>
      </w:r>
      <w:r w:rsidR="00005F07" w:rsidRPr="00A01A11">
        <w:rPr>
          <w:rFonts w:ascii="Times New Roman" w:hAnsi="Times New Roman"/>
          <w:color w:val="0D0D0D" w:themeColor="text1" w:themeTint="F2"/>
          <w:sz w:val="22"/>
          <w:szCs w:val="22"/>
          <w:lang w:val="es-AR"/>
        </w:rPr>
        <w:t>Securities</w:t>
      </w:r>
      <w:r w:rsidR="00E23F41" w:rsidRPr="00A01A11">
        <w:rPr>
          <w:rFonts w:ascii="Times New Roman" w:hAnsi="Times New Roman"/>
          <w:color w:val="0D0D0D" w:themeColor="text1" w:themeTint="F2"/>
          <w:sz w:val="22"/>
          <w:szCs w:val="22"/>
          <w:lang w:val="es-AR"/>
        </w:rPr>
        <w:t xml:space="preserve"> S.A.</w:t>
      </w:r>
      <w:r w:rsidRPr="00A01A11">
        <w:rPr>
          <w:rFonts w:ascii="Times New Roman" w:hAnsi="Times New Roman"/>
          <w:color w:val="0D0D0D" w:themeColor="text1" w:themeTint="F2"/>
          <w:sz w:val="22"/>
          <w:szCs w:val="22"/>
          <w:lang w:val="es-AR"/>
        </w:rPr>
        <w:t xml:space="preserve">, </w:t>
      </w:r>
      <w:r w:rsidR="00F45A69" w:rsidRPr="00A01A11">
        <w:rPr>
          <w:rFonts w:ascii="Times New Roman" w:hAnsi="Times New Roman"/>
          <w:color w:val="0D0D0D" w:themeColor="text1" w:themeTint="F2"/>
          <w:sz w:val="22"/>
          <w:szCs w:val="22"/>
          <w:lang w:val="es-AR"/>
        </w:rPr>
        <w:t xml:space="preserve">StoneX Securities S.A. </w:t>
      </w:r>
      <w:r w:rsidRPr="00506990">
        <w:rPr>
          <w:rFonts w:ascii="Times New Roman" w:hAnsi="Times New Roman"/>
          <w:color w:val="0D0D0D" w:themeColor="text1" w:themeTint="F2"/>
          <w:sz w:val="22"/>
          <w:szCs w:val="22"/>
          <w:lang w:val="es-ES"/>
        </w:rPr>
        <w:t xml:space="preserve">y los Agentes miembros del Mercado Argentino de Valores </w:t>
      </w:r>
      <w:r w:rsidRPr="00506990">
        <w:rPr>
          <w:rFonts w:ascii="Times New Roman" w:hAnsi="Times New Roman"/>
          <w:iCs/>
          <w:color w:val="0D0D0D" w:themeColor="text1" w:themeTint="F2"/>
          <w:sz w:val="22"/>
          <w:szCs w:val="22"/>
          <w:lang w:val="es-ES"/>
        </w:rPr>
        <w:t>S.A.</w:t>
      </w:r>
    </w:p>
    <w:p w14:paraId="2885D57C" w14:textId="77777777" w:rsidR="0050339C" w:rsidRPr="00506990" w:rsidRDefault="0050339C" w:rsidP="0050339C">
      <w:pPr>
        <w:rPr>
          <w:rFonts w:ascii="Times New Roman" w:hAnsi="Times New Roman" w:cs="Times New Roman"/>
          <w:iCs/>
          <w:color w:val="0D0D0D" w:themeColor="text1" w:themeTint="F2"/>
          <w:sz w:val="22"/>
          <w:szCs w:val="22"/>
          <w:lang w:val="es-ES"/>
        </w:rPr>
      </w:pPr>
    </w:p>
    <w:p w14:paraId="315BC566"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“Contrato Marco”:</w:t>
      </w:r>
      <w:r w:rsidRPr="00506990">
        <w:rPr>
          <w:rFonts w:ascii="Times New Roman" w:hAnsi="Times New Roman" w:cs="Times New Roman"/>
          <w:iCs/>
          <w:color w:val="0D0D0D" w:themeColor="text1" w:themeTint="F2"/>
          <w:sz w:val="22"/>
          <w:szCs w:val="22"/>
        </w:rPr>
        <w:t xml:space="preserve"> es el contrato marco para fideicomisos financieros otorgado por el Fiduciario</w:t>
      </w:r>
      <w:r w:rsidR="00B43F7C">
        <w:rPr>
          <w:rFonts w:ascii="Times New Roman" w:hAnsi="Times New Roman" w:cs="Times New Roman"/>
          <w:iCs/>
          <w:color w:val="0D0D0D" w:themeColor="text1" w:themeTint="F2"/>
          <w:sz w:val="22"/>
          <w:szCs w:val="22"/>
        </w:rPr>
        <w:t>, Consumo S.A.</w:t>
      </w:r>
      <w:r w:rsidRPr="00506990">
        <w:rPr>
          <w:rFonts w:ascii="Times New Roman" w:hAnsi="Times New Roman" w:cs="Times New Roman"/>
          <w:iCs/>
          <w:color w:val="0D0D0D" w:themeColor="text1" w:themeTint="F2"/>
          <w:sz w:val="22"/>
          <w:szCs w:val="22"/>
        </w:rPr>
        <w:t xml:space="preserve"> y Bazar Avenida S.A, inserto en el Prospecto del Programa. </w:t>
      </w:r>
    </w:p>
    <w:p w14:paraId="28B09B3E"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1A40746A"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“Contrato Suplementario”: </w:t>
      </w:r>
      <w:r w:rsidRPr="00506990">
        <w:rPr>
          <w:rFonts w:ascii="Times New Roman" w:hAnsi="Times New Roman" w:cs="Times New Roman"/>
          <w:iCs/>
          <w:color w:val="0D0D0D" w:themeColor="text1" w:themeTint="F2"/>
          <w:sz w:val="22"/>
          <w:szCs w:val="22"/>
        </w:rPr>
        <w:t>es el presente contrato suplementario de fideicomiso financiero.</w:t>
      </w:r>
    </w:p>
    <w:p w14:paraId="35BEC6A6"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72D7945C"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“Convenio de Recaudación”:</w:t>
      </w:r>
      <w:r w:rsidRPr="00506990">
        <w:rPr>
          <w:rFonts w:ascii="Times New Roman" w:hAnsi="Times New Roman"/>
          <w:bCs/>
          <w:iCs/>
          <w:color w:val="0D0D0D" w:themeColor="text1" w:themeTint="F2"/>
          <w:sz w:val="22"/>
          <w:szCs w:val="22"/>
          <w:lang w:val="es-AR"/>
        </w:rPr>
        <w:t xml:space="preserve"> es el Convenio suscripto entre l</w:t>
      </w:r>
      <w:r w:rsidR="006E36BA" w:rsidRPr="00506990">
        <w:rPr>
          <w:rFonts w:ascii="Times New Roman" w:hAnsi="Times New Roman"/>
          <w:bCs/>
          <w:iCs/>
          <w:color w:val="0D0D0D" w:themeColor="text1" w:themeTint="F2"/>
          <w:sz w:val="22"/>
          <w:szCs w:val="22"/>
          <w:lang w:val="es-AR"/>
        </w:rPr>
        <w:t>os</w:t>
      </w:r>
      <w:r w:rsidRPr="00506990">
        <w:rPr>
          <w:rFonts w:ascii="Times New Roman" w:hAnsi="Times New Roman"/>
          <w:bCs/>
          <w:iCs/>
          <w:color w:val="0D0D0D" w:themeColor="text1" w:themeTint="F2"/>
          <w:sz w:val="22"/>
          <w:szCs w:val="22"/>
          <w:lang w:val="es-AR"/>
        </w:rPr>
        <w:t xml:space="preserve"> Fiduciante</w:t>
      </w:r>
      <w:r w:rsidR="006E36BA" w:rsidRPr="00506990">
        <w:rPr>
          <w:rFonts w:ascii="Times New Roman" w:hAnsi="Times New Roman"/>
          <w:bCs/>
          <w:iCs/>
          <w:color w:val="0D0D0D" w:themeColor="text1" w:themeTint="F2"/>
          <w:sz w:val="22"/>
          <w:szCs w:val="22"/>
          <w:lang w:val="es-AR"/>
        </w:rPr>
        <w:t>s</w:t>
      </w:r>
      <w:r w:rsidRPr="00506990">
        <w:rPr>
          <w:rFonts w:ascii="Times New Roman" w:hAnsi="Times New Roman"/>
          <w:bCs/>
          <w:iCs/>
          <w:color w:val="0D0D0D" w:themeColor="text1" w:themeTint="F2"/>
          <w:sz w:val="22"/>
          <w:szCs w:val="22"/>
          <w:lang w:val="es-AR"/>
        </w:rPr>
        <w:t xml:space="preserve"> y TINSA S.A. por intermedio del cual esta última asume la percepción de la Cobranza de los Créditos.</w:t>
      </w:r>
    </w:p>
    <w:p w14:paraId="53638741"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2C48AFF1" w14:textId="0A0CF15C" w:rsidR="0050339C"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“CCC”:</w:t>
      </w:r>
      <w:r w:rsidRPr="00506990">
        <w:rPr>
          <w:rFonts w:ascii="Times New Roman" w:hAnsi="Times New Roman"/>
          <w:bCs/>
          <w:iCs/>
          <w:color w:val="0D0D0D" w:themeColor="text1" w:themeTint="F2"/>
          <w:sz w:val="22"/>
          <w:szCs w:val="22"/>
          <w:lang w:val="es-AR"/>
        </w:rPr>
        <w:t xml:space="preserve"> Código Civil y Comercial de la Nación</w:t>
      </w:r>
    </w:p>
    <w:p w14:paraId="2D94057A" w14:textId="0B5F8AB1" w:rsidR="00163892" w:rsidRDefault="00163892" w:rsidP="0050339C">
      <w:pPr>
        <w:pStyle w:val="Textocomentario"/>
        <w:rPr>
          <w:rFonts w:ascii="Times New Roman" w:hAnsi="Times New Roman"/>
          <w:bCs/>
          <w:iCs/>
          <w:color w:val="0D0D0D" w:themeColor="text1" w:themeTint="F2"/>
          <w:sz w:val="22"/>
          <w:szCs w:val="22"/>
          <w:lang w:val="es-AR"/>
        </w:rPr>
      </w:pPr>
    </w:p>
    <w:p w14:paraId="3CDA324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“CPCCN”: </w:t>
      </w:r>
      <w:r w:rsidRPr="00506990">
        <w:rPr>
          <w:rFonts w:ascii="Times New Roman" w:hAnsi="Times New Roman" w:cs="Times New Roman"/>
          <w:iCs/>
          <w:color w:val="0D0D0D" w:themeColor="text1" w:themeTint="F2"/>
          <w:sz w:val="22"/>
          <w:szCs w:val="22"/>
        </w:rPr>
        <w:t>es el Código Procesal Civil y Comercial de la Nación.</w:t>
      </w:r>
    </w:p>
    <w:p w14:paraId="19C76C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297E9B2"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Créditos”: </w:t>
      </w:r>
      <w:r w:rsidRPr="00506990">
        <w:rPr>
          <w:rFonts w:ascii="Times New Roman" w:hAnsi="Times New Roman" w:cs="Times New Roman"/>
          <w:iCs/>
          <w:color w:val="0D0D0D" w:themeColor="text1" w:themeTint="F2"/>
          <w:sz w:val="22"/>
          <w:szCs w:val="22"/>
        </w:rPr>
        <w:t>créditos de consumo y personales originados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instrumentados en pagarés.</w:t>
      </w:r>
    </w:p>
    <w:p w14:paraId="68ECFF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6710919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“Criterios de Elegibilidad”:</w:t>
      </w:r>
      <w:r w:rsidRPr="00506990">
        <w:rPr>
          <w:rFonts w:ascii="Times New Roman" w:hAnsi="Times New Roman" w:cs="Times New Roman"/>
          <w:iCs/>
          <w:color w:val="0D0D0D" w:themeColor="text1" w:themeTint="F2"/>
          <w:sz w:val="22"/>
          <w:szCs w:val="22"/>
        </w:rPr>
        <w:t xml:space="preserve"> Tiene el significado previsto en el artículo 1.3.</w:t>
      </w:r>
    </w:p>
    <w:p w14:paraId="01ADBA7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0D6A5E6"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“Cuenta Fiduciaria”: </w:t>
      </w:r>
      <w:r w:rsidRPr="00506990">
        <w:rPr>
          <w:rFonts w:ascii="Times New Roman" w:hAnsi="Times New Roman" w:cs="Times New Roman"/>
          <w:color w:val="0D0D0D" w:themeColor="text1" w:themeTint="F2"/>
          <w:sz w:val="22"/>
          <w:szCs w:val="22"/>
        </w:rPr>
        <w:t xml:space="preserve">es la cuenta bancaria </w:t>
      </w:r>
      <w:r w:rsidR="00AD389A">
        <w:rPr>
          <w:rFonts w:ascii="Times New Roman" w:hAnsi="Times New Roman" w:cs="Times New Roman"/>
          <w:color w:val="0D0D0D" w:themeColor="text1" w:themeTint="F2"/>
          <w:sz w:val="22"/>
          <w:szCs w:val="22"/>
        </w:rPr>
        <w:t>que abrirá</w:t>
      </w:r>
      <w:r w:rsidRPr="00506990">
        <w:rPr>
          <w:rFonts w:ascii="Times New Roman" w:hAnsi="Times New Roman" w:cs="Times New Roman"/>
          <w:color w:val="0D0D0D" w:themeColor="text1" w:themeTint="F2"/>
          <w:sz w:val="22"/>
          <w:szCs w:val="22"/>
        </w:rPr>
        <w:t xml:space="preserve"> el Fiduciario en Banco Macro S.A. </w:t>
      </w:r>
      <w:r w:rsidR="00AD389A">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en la que se depositarán los recursos líquidos del Fideicomiso.</w:t>
      </w:r>
    </w:p>
    <w:p w14:paraId="45A70D0C" w14:textId="77777777" w:rsidR="0050339C" w:rsidRPr="00506990" w:rsidRDefault="0050339C" w:rsidP="0050339C">
      <w:pPr>
        <w:rPr>
          <w:rFonts w:ascii="Times New Roman" w:hAnsi="Times New Roman" w:cs="Times New Roman"/>
          <w:color w:val="0D0D0D" w:themeColor="text1" w:themeTint="F2"/>
          <w:sz w:val="22"/>
          <w:szCs w:val="22"/>
        </w:rPr>
      </w:pPr>
    </w:p>
    <w:p w14:paraId="34AC6171"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“Documentos”: </w:t>
      </w:r>
      <w:r w:rsidRPr="00506990">
        <w:rPr>
          <w:rFonts w:ascii="Times New Roman" w:hAnsi="Times New Roman" w:cs="Times New Roman"/>
          <w:color w:val="0D0D0D" w:themeColor="text1" w:themeTint="F2"/>
          <w:sz w:val="22"/>
          <w:szCs w:val="22"/>
        </w:rPr>
        <w:t>los Documentos Respaldatorios y los Documentos Adicionales.</w:t>
      </w:r>
    </w:p>
    <w:p w14:paraId="5422FBD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D249ED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 xml:space="preserve">“Documentos Respaldatorios”: </w:t>
      </w:r>
      <w:r w:rsidRPr="00506990">
        <w:rPr>
          <w:rFonts w:ascii="Times New Roman" w:hAnsi="Times New Roman" w:cs="Times New Roman"/>
          <w:iCs/>
          <w:color w:val="0D0D0D" w:themeColor="text1" w:themeTint="F2"/>
          <w:sz w:val="22"/>
          <w:szCs w:val="22"/>
          <w:lang w:val="es-AR"/>
        </w:rPr>
        <w:t>los Pagarés -los que fueron endosados sin recurso a favor del Fiduciario-</w:t>
      </w:r>
      <w:r w:rsidR="00B43F7C">
        <w:rPr>
          <w:rFonts w:ascii="Times New Roman" w:hAnsi="Times New Roman" w:cs="Times New Roman"/>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documento </w:t>
      </w:r>
      <w:r w:rsidRPr="00506990">
        <w:rPr>
          <w:rFonts w:ascii="Times New Roman" w:hAnsi="Times New Roman" w:cs="Times New Roman"/>
          <w:iCs/>
          <w:color w:val="0D0D0D" w:themeColor="text1" w:themeTint="F2"/>
          <w:sz w:val="22"/>
          <w:szCs w:val="22"/>
        </w:rPr>
        <w:t>suficiente para permitir el ejercicio de los derechos relativos a la propiedad fiduciaria</w:t>
      </w:r>
      <w:r w:rsidRPr="00506990">
        <w:rPr>
          <w:rFonts w:ascii="Times New Roman" w:hAnsi="Times New Roman" w:cs="Times New Roman"/>
          <w:iCs/>
          <w:color w:val="0D0D0D" w:themeColor="text1" w:themeTint="F2"/>
          <w:sz w:val="22"/>
          <w:szCs w:val="22"/>
          <w:lang w:val="es-AR"/>
        </w:rPr>
        <w:t>.</w:t>
      </w:r>
    </w:p>
    <w:p w14:paraId="60EE138A"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28707DE2" w14:textId="77777777" w:rsidR="0050339C" w:rsidRPr="00506990" w:rsidRDefault="0050339C" w:rsidP="0050339C">
      <w:pPr>
        <w:rPr>
          <w:rFonts w:ascii="Times New Roman" w:hAnsi="Times New Roman" w:cs="Times New Roman"/>
          <w:color w:val="0D0D0D" w:themeColor="text1" w:themeTint="F2"/>
          <w:spacing w:val="-3"/>
          <w:sz w:val="22"/>
          <w:szCs w:val="22"/>
        </w:rPr>
      </w:pPr>
      <w:r w:rsidRPr="00506990">
        <w:rPr>
          <w:rFonts w:ascii="Times New Roman" w:eastAsia="Times New Roman" w:hAnsi="Times New Roman" w:cs="Times New Roman"/>
          <w:b/>
          <w:color w:val="0D0D0D" w:themeColor="text1" w:themeTint="F2"/>
          <w:spacing w:val="-3"/>
          <w:sz w:val="22"/>
          <w:szCs w:val="22"/>
          <w:lang w:val="es-ES"/>
        </w:rPr>
        <w:t>“Documentos Adicionales”:</w:t>
      </w:r>
      <w:r w:rsidRPr="00506990">
        <w:rPr>
          <w:rFonts w:ascii="Times New Roman" w:eastAsia="Times New Roman" w:hAnsi="Times New Roman" w:cs="Times New Roman"/>
          <w:color w:val="0D0D0D" w:themeColor="text1" w:themeTint="F2"/>
          <w:spacing w:val="-3"/>
          <w:sz w:val="22"/>
          <w:szCs w:val="22"/>
          <w:lang w:val="es-ES"/>
        </w:rPr>
        <w:t xml:space="preserve"> todos los instrumentos, en soporte papel o magnético, que sirven de prueba de la existencia de los Créditos y que no esté incluida dentro de la Documentos Respaldatorios.</w:t>
      </w:r>
    </w:p>
    <w:p w14:paraId="7E9A1E6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8CD39E"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“Día Hábil”: </w:t>
      </w:r>
      <w:r w:rsidRPr="00506990">
        <w:rPr>
          <w:rFonts w:ascii="Times New Roman" w:hAnsi="Times New Roman" w:cs="Times New Roman"/>
          <w:iCs/>
          <w:color w:val="0D0D0D" w:themeColor="text1" w:themeTint="F2"/>
          <w:spacing w:val="-3"/>
          <w:sz w:val="22"/>
          <w:szCs w:val="22"/>
        </w:rPr>
        <w:t>es un día en el cual los bancos comerciales no están autorizados a cerrar en la Ciudad de Buenos Aires.</w:t>
      </w:r>
    </w:p>
    <w:p w14:paraId="2A9F46D1" w14:textId="77777777" w:rsidR="0050339C" w:rsidRPr="00506990" w:rsidRDefault="0050339C" w:rsidP="0050339C">
      <w:pPr>
        <w:rPr>
          <w:rFonts w:ascii="Times New Roman" w:hAnsi="Times New Roman" w:cs="Times New Roman"/>
          <w:iCs/>
          <w:color w:val="0D0D0D" w:themeColor="text1" w:themeTint="F2"/>
          <w:sz w:val="22"/>
          <w:szCs w:val="22"/>
        </w:rPr>
      </w:pPr>
    </w:p>
    <w:p w14:paraId="3B6C817D" w14:textId="36970B0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“Eventos Especiales”: </w:t>
      </w:r>
      <w:r w:rsidRPr="00506990">
        <w:rPr>
          <w:rFonts w:ascii="Times New Roman" w:hAnsi="Times New Roman" w:cs="Times New Roman"/>
          <w:iCs/>
          <w:color w:val="0D0D0D" w:themeColor="text1" w:themeTint="F2"/>
          <w:sz w:val="22"/>
          <w:szCs w:val="22"/>
        </w:rPr>
        <w:t>tiene el significado asignado en el artículo 2.1</w:t>
      </w:r>
      <w:r w:rsidR="000D40C5">
        <w:rPr>
          <w:rFonts w:ascii="Times New Roman" w:hAnsi="Times New Roman" w:cs="Times New Roman"/>
          <w:iCs/>
          <w:color w:val="0D0D0D" w:themeColor="text1" w:themeTint="F2"/>
          <w:sz w:val="22"/>
          <w:szCs w:val="22"/>
        </w:rPr>
        <w:t>0</w:t>
      </w:r>
      <w:r w:rsidRPr="00506990">
        <w:rPr>
          <w:rFonts w:ascii="Times New Roman" w:hAnsi="Times New Roman" w:cs="Times New Roman"/>
          <w:iCs/>
          <w:color w:val="0D0D0D" w:themeColor="text1" w:themeTint="F2"/>
          <w:sz w:val="22"/>
          <w:szCs w:val="22"/>
        </w:rPr>
        <w:t xml:space="preserve"> del Contrato Suplementario de Fideicomiso.</w:t>
      </w:r>
    </w:p>
    <w:p w14:paraId="4CB06FC7" w14:textId="77777777" w:rsidR="0050339C" w:rsidRPr="00506990" w:rsidRDefault="0050339C" w:rsidP="0050339C">
      <w:pPr>
        <w:rPr>
          <w:rFonts w:ascii="Times New Roman" w:hAnsi="Times New Roman" w:cs="Times New Roman"/>
          <w:iCs/>
          <w:color w:val="0D0D0D" w:themeColor="text1" w:themeTint="F2"/>
          <w:sz w:val="22"/>
          <w:szCs w:val="22"/>
        </w:rPr>
      </w:pPr>
    </w:p>
    <w:p w14:paraId="27BCF731" w14:textId="20ADF2FF" w:rsidR="0050339C" w:rsidRPr="00543196" w:rsidRDefault="0050339C" w:rsidP="0050339C">
      <w:pPr>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Corte</w:t>
      </w:r>
      <w:r w:rsidRPr="008C4F05">
        <w:rPr>
          <w:rFonts w:ascii="Times New Roman" w:hAnsi="Times New Roman" w:cs="Times New Roman"/>
          <w:b/>
          <w:bCs/>
          <w:iCs/>
          <w:color w:val="0D0D0D" w:themeColor="text1" w:themeTint="F2"/>
          <w:sz w:val="22"/>
          <w:szCs w:val="22"/>
        </w:rPr>
        <w:t xml:space="preserve">”: </w:t>
      </w:r>
      <w:r w:rsidR="00AD7778" w:rsidRPr="008C4F05">
        <w:rPr>
          <w:rFonts w:ascii="Times New Roman" w:hAnsi="Times New Roman" w:cs="Times New Roman"/>
          <w:bCs/>
          <w:iCs/>
          <w:color w:val="0D0D0D" w:themeColor="text1" w:themeTint="F2"/>
          <w:sz w:val="22"/>
          <w:szCs w:val="22"/>
        </w:rPr>
        <w:t>es el</w:t>
      </w:r>
      <w:r w:rsidR="00D7280F" w:rsidRPr="008C4F05">
        <w:rPr>
          <w:rFonts w:ascii="Times New Roman" w:hAnsi="Times New Roman" w:cs="Times New Roman"/>
          <w:bCs/>
          <w:iCs/>
          <w:color w:val="0D0D0D" w:themeColor="text1" w:themeTint="F2"/>
          <w:sz w:val="22"/>
          <w:szCs w:val="22"/>
          <w:lang w:val="es-AR"/>
        </w:rPr>
        <w:t xml:space="preserve"> </w:t>
      </w:r>
      <w:r w:rsidR="00826738">
        <w:rPr>
          <w:rFonts w:ascii="Times New Roman" w:hAnsi="Times New Roman" w:cs="Times New Roman"/>
          <w:bCs/>
          <w:iCs/>
          <w:color w:val="0D0D0D" w:themeColor="text1" w:themeTint="F2"/>
          <w:sz w:val="22"/>
          <w:szCs w:val="22"/>
          <w:lang w:val="es-AR"/>
        </w:rPr>
        <w:t>31</w:t>
      </w:r>
      <w:r w:rsidR="009240A9" w:rsidRPr="002063D1">
        <w:rPr>
          <w:rFonts w:ascii="Times New Roman" w:hAnsi="Times New Roman" w:cs="Times New Roman"/>
          <w:bCs/>
          <w:iCs/>
          <w:color w:val="0D0D0D" w:themeColor="text1" w:themeTint="F2"/>
          <w:sz w:val="22"/>
          <w:szCs w:val="22"/>
        </w:rPr>
        <w:t xml:space="preserve"> </w:t>
      </w:r>
      <w:r w:rsidR="00AD7778" w:rsidRPr="002063D1">
        <w:rPr>
          <w:rFonts w:ascii="Times New Roman" w:hAnsi="Times New Roman" w:cs="Times New Roman"/>
          <w:bCs/>
          <w:iCs/>
          <w:color w:val="0D0D0D" w:themeColor="text1" w:themeTint="F2"/>
          <w:sz w:val="22"/>
          <w:szCs w:val="22"/>
        </w:rPr>
        <w:t>de</w:t>
      </w:r>
      <w:r w:rsidR="007C12C9" w:rsidRPr="002063D1">
        <w:rPr>
          <w:rFonts w:ascii="Times New Roman" w:hAnsi="Times New Roman" w:cs="Times New Roman"/>
          <w:bCs/>
          <w:iCs/>
          <w:color w:val="0D0D0D" w:themeColor="text1" w:themeTint="F2"/>
          <w:sz w:val="22"/>
          <w:szCs w:val="22"/>
          <w:lang w:val="es-AR"/>
        </w:rPr>
        <w:t xml:space="preserve"> </w:t>
      </w:r>
      <w:r w:rsidR="00826738">
        <w:rPr>
          <w:rFonts w:ascii="Times New Roman" w:hAnsi="Times New Roman" w:cs="Times New Roman"/>
          <w:bCs/>
          <w:iCs/>
          <w:color w:val="0D0D0D" w:themeColor="text1" w:themeTint="F2"/>
          <w:sz w:val="22"/>
          <w:szCs w:val="22"/>
          <w:lang w:val="es-AR"/>
        </w:rPr>
        <w:t>octubre</w:t>
      </w:r>
      <w:r w:rsidR="009240A9" w:rsidRPr="00C854EF">
        <w:rPr>
          <w:rFonts w:ascii="Times New Roman" w:hAnsi="Times New Roman" w:cs="Times New Roman"/>
          <w:iCs/>
          <w:color w:val="0D0D0D" w:themeColor="text1" w:themeTint="F2"/>
          <w:sz w:val="22"/>
          <w:szCs w:val="22"/>
        </w:rPr>
        <w:t xml:space="preserve"> </w:t>
      </w:r>
      <w:r w:rsidR="00AD7778" w:rsidRPr="00C854EF">
        <w:rPr>
          <w:rFonts w:ascii="Times New Roman" w:hAnsi="Times New Roman" w:cs="Times New Roman"/>
          <w:bCs/>
          <w:iCs/>
          <w:color w:val="0D0D0D" w:themeColor="text1" w:themeTint="F2"/>
          <w:sz w:val="22"/>
          <w:szCs w:val="22"/>
        </w:rPr>
        <w:t>de</w:t>
      </w:r>
      <w:r w:rsidR="00AD7778" w:rsidRPr="00BD01FD">
        <w:rPr>
          <w:rFonts w:ascii="Times New Roman" w:hAnsi="Times New Roman" w:cs="Times New Roman"/>
          <w:bCs/>
          <w:iCs/>
          <w:color w:val="0D0D0D" w:themeColor="text1" w:themeTint="F2"/>
          <w:sz w:val="22"/>
          <w:szCs w:val="22"/>
        </w:rPr>
        <w:t xml:space="preserve"> </w:t>
      </w:r>
      <w:r w:rsidR="00AC0974" w:rsidRPr="00BD01FD">
        <w:rPr>
          <w:rFonts w:ascii="Times New Roman" w:hAnsi="Times New Roman" w:cs="Times New Roman"/>
          <w:bCs/>
          <w:iCs/>
          <w:color w:val="0D0D0D" w:themeColor="text1" w:themeTint="F2"/>
          <w:sz w:val="22"/>
          <w:szCs w:val="22"/>
        </w:rPr>
        <w:t>202</w:t>
      </w:r>
      <w:r w:rsidR="00B87B0D">
        <w:rPr>
          <w:rFonts w:ascii="Times New Roman" w:hAnsi="Times New Roman" w:cs="Times New Roman"/>
          <w:bCs/>
          <w:iCs/>
          <w:color w:val="0D0D0D" w:themeColor="text1" w:themeTint="F2"/>
          <w:sz w:val="22"/>
          <w:szCs w:val="22"/>
        </w:rPr>
        <w:t>3</w:t>
      </w:r>
      <w:r w:rsidR="00AD7778" w:rsidRPr="008230AE">
        <w:rPr>
          <w:rFonts w:ascii="Times New Roman" w:hAnsi="Times New Roman" w:cs="Times New Roman"/>
          <w:bCs/>
          <w:iCs/>
          <w:color w:val="0D0D0D" w:themeColor="text1" w:themeTint="F2"/>
          <w:sz w:val="22"/>
          <w:szCs w:val="22"/>
        </w:rPr>
        <w:t>, fecha</w:t>
      </w:r>
      <w:r w:rsidR="00AD7778" w:rsidRPr="00543196">
        <w:rPr>
          <w:rFonts w:ascii="Times New Roman" w:hAnsi="Times New Roman" w:cs="Times New Roman"/>
          <w:bCs/>
          <w:iCs/>
          <w:color w:val="0D0D0D" w:themeColor="text1" w:themeTint="F2"/>
          <w:sz w:val="22"/>
          <w:szCs w:val="22"/>
        </w:rPr>
        <w:t xml:space="preserve"> a partir de la cual se asignará el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lujo de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ondos </w:t>
      </w:r>
      <w:r w:rsidR="007C6FA9" w:rsidRPr="00543196">
        <w:rPr>
          <w:rFonts w:ascii="Times New Roman" w:hAnsi="Times New Roman" w:cs="Times New Roman"/>
          <w:bCs/>
          <w:iCs/>
          <w:color w:val="0D0D0D" w:themeColor="text1" w:themeTint="F2"/>
          <w:sz w:val="22"/>
          <w:szCs w:val="22"/>
        </w:rPr>
        <w:t>t</w:t>
      </w:r>
      <w:r w:rsidR="00AD7778" w:rsidRPr="00543196">
        <w:rPr>
          <w:rFonts w:ascii="Times New Roman" w:hAnsi="Times New Roman" w:cs="Times New Roman"/>
          <w:bCs/>
          <w:iCs/>
          <w:color w:val="0D0D0D" w:themeColor="text1" w:themeTint="F2"/>
          <w:sz w:val="22"/>
          <w:szCs w:val="22"/>
        </w:rPr>
        <w:t>eórico al Fideicomiso</w:t>
      </w:r>
      <w:r w:rsidRPr="00543196">
        <w:rPr>
          <w:rFonts w:ascii="Times New Roman" w:hAnsi="Times New Roman" w:cs="Times New Roman"/>
          <w:bCs/>
          <w:iCs/>
          <w:color w:val="0D0D0D" w:themeColor="text1" w:themeTint="F2"/>
          <w:sz w:val="22"/>
          <w:szCs w:val="22"/>
        </w:rPr>
        <w:t xml:space="preserve">. </w:t>
      </w:r>
    </w:p>
    <w:p w14:paraId="1763DABC" w14:textId="77777777" w:rsidR="0050339C" w:rsidRPr="00543196" w:rsidRDefault="0050339C" w:rsidP="0050339C">
      <w:pPr>
        <w:rPr>
          <w:rFonts w:ascii="Times New Roman" w:hAnsi="Times New Roman" w:cs="Times New Roman"/>
          <w:bCs/>
          <w:iCs/>
          <w:color w:val="0D0D0D" w:themeColor="text1" w:themeTint="F2"/>
          <w:sz w:val="22"/>
          <w:szCs w:val="22"/>
        </w:rPr>
      </w:pPr>
    </w:p>
    <w:p w14:paraId="3B7D9695" w14:textId="5FDA3046" w:rsidR="002D0AB8" w:rsidRPr="008B3986" w:rsidRDefault="0050339C" w:rsidP="0050339C">
      <w:pPr>
        <w:rPr>
          <w:rFonts w:ascii="Times New Roman" w:hAnsi="Times New Roman"/>
          <w:b/>
          <w:color w:val="0D0D0D" w:themeColor="text1" w:themeTint="F2"/>
          <w:sz w:val="22"/>
        </w:rPr>
      </w:pPr>
      <w:r w:rsidRPr="008B73F7">
        <w:rPr>
          <w:rFonts w:ascii="Times New Roman" w:hAnsi="Times New Roman" w:cs="Times New Roman"/>
          <w:b/>
          <w:bCs/>
          <w:iCs/>
          <w:color w:val="0D0D0D" w:themeColor="text1" w:themeTint="F2"/>
          <w:sz w:val="22"/>
          <w:szCs w:val="22"/>
        </w:rPr>
        <w:t xml:space="preserve">“Fechas de </w:t>
      </w:r>
      <w:r w:rsidRPr="008C4F05">
        <w:rPr>
          <w:rFonts w:ascii="Times New Roman" w:hAnsi="Times New Roman" w:cs="Times New Roman"/>
          <w:b/>
          <w:bCs/>
          <w:iCs/>
          <w:color w:val="0D0D0D" w:themeColor="text1" w:themeTint="F2"/>
          <w:sz w:val="22"/>
          <w:szCs w:val="22"/>
        </w:rPr>
        <w:t>Selección</w:t>
      </w:r>
      <w:r w:rsidRPr="00EF1433">
        <w:rPr>
          <w:rFonts w:ascii="Times New Roman" w:hAnsi="Times New Roman" w:cs="Times New Roman"/>
          <w:b/>
          <w:bCs/>
          <w:iCs/>
          <w:color w:val="0D0D0D" w:themeColor="text1" w:themeTint="F2"/>
          <w:sz w:val="22"/>
          <w:szCs w:val="22"/>
        </w:rPr>
        <w:t xml:space="preserve">”: </w:t>
      </w:r>
      <w:r w:rsidRPr="00EF1433">
        <w:rPr>
          <w:rFonts w:ascii="Times New Roman" w:hAnsi="Times New Roman" w:cs="Times New Roman"/>
          <w:bCs/>
          <w:iCs/>
          <w:color w:val="0D0D0D" w:themeColor="text1" w:themeTint="F2"/>
          <w:sz w:val="22"/>
          <w:szCs w:val="22"/>
        </w:rPr>
        <w:t>corresponde a la fecha de análisis de los Criterios de Elegibilidad</w:t>
      </w:r>
      <w:r w:rsidR="00AA4F8E" w:rsidRPr="00EF1433">
        <w:rPr>
          <w:rFonts w:ascii="Times New Roman" w:hAnsi="Times New Roman" w:cs="Times New Roman"/>
          <w:bCs/>
          <w:iCs/>
          <w:color w:val="0D0D0D" w:themeColor="text1" w:themeTint="F2"/>
          <w:sz w:val="22"/>
          <w:szCs w:val="22"/>
        </w:rPr>
        <w:t xml:space="preserve">. </w:t>
      </w:r>
      <w:r w:rsidR="001734ED" w:rsidRPr="00EF1433">
        <w:rPr>
          <w:rFonts w:ascii="Times New Roman" w:hAnsi="Times New Roman" w:cs="Times New Roman"/>
          <w:bCs/>
          <w:iCs/>
          <w:color w:val="0D0D0D" w:themeColor="text1" w:themeTint="F2"/>
          <w:sz w:val="22"/>
          <w:szCs w:val="22"/>
        </w:rPr>
        <w:t>El lote 1 al</w:t>
      </w:r>
      <w:r w:rsidR="00925B2D" w:rsidRPr="00EF1433">
        <w:rPr>
          <w:rFonts w:ascii="Times New Roman" w:hAnsi="Times New Roman" w:cs="Times New Roman"/>
          <w:bCs/>
          <w:iCs/>
          <w:color w:val="0D0D0D" w:themeColor="text1" w:themeTint="F2"/>
          <w:sz w:val="22"/>
          <w:szCs w:val="22"/>
        </w:rPr>
        <w:t xml:space="preserve"> </w:t>
      </w:r>
      <w:r w:rsidR="004E1D51">
        <w:rPr>
          <w:rFonts w:ascii="Times New Roman" w:hAnsi="Times New Roman" w:cs="Times New Roman"/>
          <w:bCs/>
          <w:iCs/>
          <w:color w:val="0D0D0D" w:themeColor="text1" w:themeTint="F2"/>
          <w:sz w:val="22"/>
          <w:szCs w:val="22"/>
        </w:rPr>
        <w:t>30</w:t>
      </w:r>
      <w:r w:rsidR="002D0AB8">
        <w:rPr>
          <w:rFonts w:ascii="Times New Roman" w:hAnsi="Times New Roman" w:cs="Times New Roman"/>
          <w:bCs/>
          <w:iCs/>
          <w:color w:val="0D0D0D" w:themeColor="text1" w:themeTint="F2"/>
          <w:sz w:val="22"/>
          <w:szCs w:val="22"/>
        </w:rPr>
        <w:t xml:space="preserve"> de </w:t>
      </w:r>
      <w:r w:rsidR="004E1D51">
        <w:rPr>
          <w:rFonts w:ascii="Times New Roman" w:hAnsi="Times New Roman" w:cs="Times New Roman"/>
          <w:bCs/>
          <w:iCs/>
          <w:color w:val="0D0D0D" w:themeColor="text1" w:themeTint="F2"/>
          <w:sz w:val="22"/>
          <w:szCs w:val="22"/>
        </w:rPr>
        <w:t>julio</w:t>
      </w:r>
      <w:r w:rsidR="00B75F62">
        <w:rPr>
          <w:rFonts w:ascii="Times New Roman" w:hAnsi="Times New Roman" w:cs="Times New Roman"/>
          <w:bCs/>
          <w:iCs/>
          <w:color w:val="0D0D0D" w:themeColor="text1" w:themeTint="F2"/>
          <w:sz w:val="22"/>
          <w:szCs w:val="22"/>
        </w:rPr>
        <w:t xml:space="preserve"> de 2023</w:t>
      </w:r>
      <w:r w:rsidR="00825B17" w:rsidRPr="00EF1433">
        <w:rPr>
          <w:rFonts w:ascii="Times New Roman" w:hAnsi="Times New Roman" w:cs="Times New Roman"/>
          <w:iCs/>
          <w:color w:val="0D0D0D" w:themeColor="text1" w:themeTint="F2"/>
          <w:sz w:val="22"/>
          <w:szCs w:val="22"/>
        </w:rPr>
        <w:t xml:space="preserve">, </w:t>
      </w:r>
      <w:r w:rsidR="001734ED" w:rsidRPr="004E1D51">
        <w:rPr>
          <w:rFonts w:ascii="Times New Roman" w:hAnsi="Times New Roman" w:cs="Times New Roman"/>
          <w:bCs/>
          <w:iCs/>
          <w:color w:val="0D0D0D" w:themeColor="text1" w:themeTint="F2"/>
          <w:sz w:val="22"/>
          <w:szCs w:val="22"/>
        </w:rPr>
        <w:t>el lote 2 al</w:t>
      </w:r>
      <w:r w:rsidR="00925B2D" w:rsidRPr="004E1D51">
        <w:rPr>
          <w:rFonts w:ascii="Times New Roman" w:hAnsi="Times New Roman" w:cs="Times New Roman"/>
          <w:bCs/>
          <w:iCs/>
          <w:color w:val="0D0D0D" w:themeColor="text1" w:themeTint="F2"/>
          <w:sz w:val="22"/>
          <w:szCs w:val="22"/>
        </w:rPr>
        <w:t xml:space="preserve"> </w:t>
      </w:r>
      <w:r w:rsidR="002D0AB8" w:rsidRPr="004E1D51">
        <w:rPr>
          <w:rFonts w:ascii="Times New Roman" w:hAnsi="Times New Roman" w:cs="Times New Roman"/>
          <w:bCs/>
          <w:iCs/>
          <w:color w:val="0D0D0D" w:themeColor="text1" w:themeTint="F2"/>
          <w:sz w:val="22"/>
          <w:szCs w:val="22"/>
        </w:rPr>
        <w:t xml:space="preserve">15 de </w:t>
      </w:r>
      <w:r w:rsidR="004E1D51" w:rsidRPr="002276F7">
        <w:rPr>
          <w:rFonts w:ascii="Times New Roman" w:hAnsi="Times New Roman" w:cs="Times New Roman"/>
          <w:bCs/>
          <w:iCs/>
          <w:color w:val="0D0D0D" w:themeColor="text1" w:themeTint="F2"/>
          <w:sz w:val="22"/>
          <w:szCs w:val="22"/>
        </w:rPr>
        <w:t>agosto</w:t>
      </w:r>
      <w:r w:rsidR="004E1D51" w:rsidRPr="004E1D51">
        <w:rPr>
          <w:rFonts w:ascii="Times New Roman" w:hAnsi="Times New Roman" w:cs="Times New Roman"/>
          <w:bCs/>
          <w:iCs/>
          <w:color w:val="0D0D0D" w:themeColor="text1" w:themeTint="F2"/>
          <w:sz w:val="22"/>
          <w:szCs w:val="22"/>
        </w:rPr>
        <w:t xml:space="preserve"> </w:t>
      </w:r>
      <w:r w:rsidR="00B75F62" w:rsidRPr="004E1D51">
        <w:rPr>
          <w:rFonts w:ascii="Times New Roman" w:hAnsi="Times New Roman" w:cs="Times New Roman"/>
          <w:bCs/>
          <w:iCs/>
          <w:color w:val="0D0D0D" w:themeColor="text1" w:themeTint="F2"/>
          <w:sz w:val="22"/>
          <w:szCs w:val="22"/>
        </w:rPr>
        <w:t>de 2023</w:t>
      </w:r>
      <w:r w:rsidR="00277820" w:rsidRPr="004E1D51">
        <w:rPr>
          <w:rFonts w:ascii="Times New Roman" w:hAnsi="Times New Roman" w:cs="Times New Roman"/>
          <w:bCs/>
          <w:iCs/>
          <w:color w:val="0D0D0D" w:themeColor="text1" w:themeTint="F2"/>
          <w:sz w:val="22"/>
          <w:szCs w:val="22"/>
        </w:rPr>
        <w:t>,</w:t>
      </w:r>
      <w:r w:rsidR="004E1D51" w:rsidRPr="002276F7">
        <w:rPr>
          <w:rFonts w:ascii="Times New Roman" w:hAnsi="Times New Roman" w:cs="Times New Roman"/>
          <w:bCs/>
          <w:iCs/>
          <w:color w:val="0D0D0D" w:themeColor="text1" w:themeTint="F2"/>
          <w:sz w:val="22"/>
          <w:szCs w:val="22"/>
        </w:rPr>
        <w:t xml:space="preserve"> el lote 3 al 24 de agosto de 2023,</w:t>
      </w:r>
      <w:r w:rsidR="002D0AB8" w:rsidRPr="004E1D51">
        <w:rPr>
          <w:rFonts w:ascii="Times New Roman" w:hAnsi="Times New Roman" w:cs="Times New Roman"/>
          <w:bCs/>
          <w:iCs/>
          <w:color w:val="0D0D0D" w:themeColor="text1" w:themeTint="F2"/>
          <w:sz w:val="22"/>
          <w:szCs w:val="22"/>
        </w:rPr>
        <w:t xml:space="preserve"> </w:t>
      </w:r>
      <w:r w:rsidR="004E1D51">
        <w:rPr>
          <w:rFonts w:ascii="Times New Roman" w:hAnsi="Times New Roman" w:cs="Times New Roman"/>
          <w:bCs/>
          <w:iCs/>
          <w:color w:val="0D0D0D" w:themeColor="text1" w:themeTint="F2"/>
          <w:sz w:val="22"/>
          <w:szCs w:val="22"/>
        </w:rPr>
        <w:t>el</w:t>
      </w:r>
      <w:r w:rsidR="00825B17" w:rsidRPr="004E1D51">
        <w:rPr>
          <w:rFonts w:ascii="Times New Roman" w:hAnsi="Times New Roman" w:cs="Times New Roman"/>
          <w:bCs/>
          <w:iCs/>
          <w:color w:val="0D0D0D" w:themeColor="text1" w:themeTint="F2"/>
          <w:sz w:val="22"/>
          <w:szCs w:val="22"/>
        </w:rPr>
        <w:t xml:space="preserve"> lote </w:t>
      </w:r>
      <w:r w:rsidR="004E1D51" w:rsidRPr="002276F7">
        <w:rPr>
          <w:rFonts w:ascii="Times New Roman" w:hAnsi="Times New Roman" w:cs="Times New Roman"/>
          <w:bCs/>
          <w:iCs/>
          <w:color w:val="0D0D0D" w:themeColor="text1" w:themeTint="F2"/>
          <w:sz w:val="22"/>
          <w:szCs w:val="22"/>
        </w:rPr>
        <w:t>4</w:t>
      </w:r>
      <w:r w:rsidR="004E1D51">
        <w:rPr>
          <w:rFonts w:ascii="Times New Roman" w:hAnsi="Times New Roman" w:cs="Times New Roman"/>
          <w:bCs/>
          <w:iCs/>
          <w:color w:val="0D0D0D" w:themeColor="text1" w:themeTint="F2"/>
          <w:sz w:val="22"/>
          <w:szCs w:val="22"/>
        </w:rPr>
        <w:t xml:space="preserve"> al 31 de julio de 2023</w:t>
      </w:r>
      <w:r w:rsidR="002D0AB8" w:rsidRPr="004E1D51">
        <w:rPr>
          <w:rFonts w:ascii="Times New Roman" w:hAnsi="Times New Roman" w:cs="Times New Roman"/>
          <w:bCs/>
          <w:iCs/>
          <w:color w:val="0D0D0D" w:themeColor="text1" w:themeTint="F2"/>
          <w:sz w:val="22"/>
          <w:szCs w:val="22"/>
        </w:rPr>
        <w:t xml:space="preserve"> y </w:t>
      </w:r>
      <w:r w:rsidR="004E1D51">
        <w:rPr>
          <w:rFonts w:ascii="Times New Roman" w:hAnsi="Times New Roman" w:cs="Times New Roman"/>
          <w:bCs/>
          <w:iCs/>
          <w:color w:val="0D0D0D" w:themeColor="text1" w:themeTint="F2"/>
          <w:sz w:val="22"/>
          <w:szCs w:val="22"/>
        </w:rPr>
        <w:t xml:space="preserve">lote </w:t>
      </w:r>
      <w:r w:rsidR="004E1D51" w:rsidRPr="002276F7">
        <w:rPr>
          <w:rFonts w:ascii="Times New Roman" w:hAnsi="Times New Roman" w:cs="Times New Roman"/>
          <w:bCs/>
          <w:iCs/>
          <w:color w:val="0D0D0D" w:themeColor="text1" w:themeTint="F2"/>
          <w:sz w:val="22"/>
          <w:szCs w:val="22"/>
        </w:rPr>
        <w:t>5</w:t>
      </w:r>
      <w:r w:rsidR="00825B17" w:rsidRPr="004E1D51">
        <w:rPr>
          <w:rFonts w:ascii="Times New Roman" w:hAnsi="Times New Roman" w:cs="Times New Roman"/>
          <w:bCs/>
          <w:iCs/>
          <w:color w:val="0D0D0D" w:themeColor="text1" w:themeTint="F2"/>
          <w:sz w:val="22"/>
          <w:szCs w:val="22"/>
        </w:rPr>
        <w:t xml:space="preserve"> al</w:t>
      </w:r>
      <w:r w:rsidR="00925B2D" w:rsidRPr="004E1D51">
        <w:rPr>
          <w:rFonts w:ascii="Times New Roman" w:hAnsi="Times New Roman" w:cs="Times New Roman"/>
          <w:bCs/>
          <w:iCs/>
          <w:color w:val="0D0D0D" w:themeColor="text1" w:themeTint="F2"/>
          <w:sz w:val="22"/>
          <w:szCs w:val="22"/>
        </w:rPr>
        <w:t xml:space="preserve"> </w:t>
      </w:r>
      <w:r w:rsidR="00B75F62" w:rsidRPr="004E1D51">
        <w:rPr>
          <w:rFonts w:ascii="Times New Roman" w:hAnsi="Times New Roman" w:cs="Times New Roman"/>
          <w:bCs/>
          <w:iCs/>
          <w:color w:val="0D0D0D" w:themeColor="text1" w:themeTint="F2"/>
          <w:sz w:val="22"/>
          <w:szCs w:val="22"/>
        </w:rPr>
        <w:t>3</w:t>
      </w:r>
      <w:r w:rsidR="004E1D51" w:rsidRPr="002276F7">
        <w:rPr>
          <w:rFonts w:ascii="Times New Roman" w:hAnsi="Times New Roman" w:cs="Times New Roman"/>
          <w:bCs/>
          <w:iCs/>
          <w:color w:val="0D0D0D" w:themeColor="text1" w:themeTint="F2"/>
          <w:sz w:val="22"/>
          <w:szCs w:val="22"/>
        </w:rPr>
        <w:t>1</w:t>
      </w:r>
      <w:r w:rsidR="00B75F62" w:rsidRPr="004E1D51">
        <w:rPr>
          <w:rFonts w:ascii="Times New Roman" w:hAnsi="Times New Roman" w:cs="Times New Roman"/>
          <w:bCs/>
          <w:iCs/>
          <w:color w:val="0D0D0D" w:themeColor="text1" w:themeTint="F2"/>
          <w:sz w:val="22"/>
          <w:szCs w:val="22"/>
        </w:rPr>
        <w:t xml:space="preserve"> de </w:t>
      </w:r>
      <w:r w:rsidR="004E1D51" w:rsidRPr="002276F7">
        <w:rPr>
          <w:rFonts w:ascii="Times New Roman" w:hAnsi="Times New Roman" w:cs="Times New Roman"/>
          <w:bCs/>
          <w:iCs/>
          <w:color w:val="0D0D0D" w:themeColor="text1" w:themeTint="F2"/>
          <w:sz w:val="22"/>
          <w:szCs w:val="22"/>
        </w:rPr>
        <w:t>agosto</w:t>
      </w:r>
      <w:r w:rsidR="004E1D51" w:rsidRPr="004E1D51">
        <w:rPr>
          <w:rFonts w:ascii="Times New Roman" w:hAnsi="Times New Roman" w:cs="Times New Roman"/>
          <w:bCs/>
          <w:iCs/>
          <w:color w:val="0D0D0D" w:themeColor="text1" w:themeTint="F2"/>
          <w:sz w:val="22"/>
          <w:szCs w:val="22"/>
        </w:rPr>
        <w:t xml:space="preserve"> </w:t>
      </w:r>
      <w:r w:rsidR="00B75F62" w:rsidRPr="004E1D51">
        <w:rPr>
          <w:rFonts w:ascii="Times New Roman" w:hAnsi="Times New Roman" w:cs="Times New Roman"/>
          <w:bCs/>
          <w:iCs/>
          <w:color w:val="0D0D0D" w:themeColor="text1" w:themeTint="F2"/>
          <w:sz w:val="22"/>
          <w:szCs w:val="22"/>
        </w:rPr>
        <w:t>de 2023.</w:t>
      </w:r>
      <w:r w:rsidR="00307C38" w:rsidRPr="002276F7">
        <w:rPr>
          <w:rFonts w:ascii="Times New Roman" w:hAnsi="Times New Roman" w:cs="Times New Roman"/>
          <w:b/>
          <w:color w:val="000000" w:themeColor="text1"/>
          <w:sz w:val="22"/>
          <w:szCs w:val="22"/>
        </w:rPr>
        <w:t xml:space="preserve"> </w:t>
      </w:r>
    </w:p>
    <w:p w14:paraId="479D91C5" w14:textId="77777777" w:rsidR="0050339C" w:rsidRPr="00506990" w:rsidRDefault="0050339C" w:rsidP="0050339C">
      <w:pPr>
        <w:rPr>
          <w:rFonts w:ascii="Times New Roman" w:hAnsi="Times New Roman" w:cs="Times New Roman"/>
          <w:iCs/>
          <w:color w:val="0D0D0D" w:themeColor="text1" w:themeTint="F2"/>
          <w:sz w:val="22"/>
          <w:szCs w:val="22"/>
        </w:rPr>
      </w:pPr>
    </w:p>
    <w:p w14:paraId="02EE1A7F" w14:textId="12F8FFB2"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Fecha de Liquidación y Emisión”: </w:t>
      </w:r>
      <w:r w:rsidRPr="00506990">
        <w:rPr>
          <w:rFonts w:ascii="Times New Roman" w:hAnsi="Times New Roman" w:cs="Times New Roman"/>
          <w:iCs/>
          <w:color w:val="0D0D0D" w:themeColor="text1" w:themeTint="F2"/>
          <w:sz w:val="22"/>
          <w:szCs w:val="22"/>
        </w:rPr>
        <w:t xml:space="preserve">tendrá lugar dentro de las 48 </w:t>
      </w:r>
      <w:r w:rsidRPr="00506990">
        <w:rPr>
          <w:rFonts w:ascii="Times New Roman" w:hAnsi="Times New Roman" w:cs="Times New Roman"/>
          <w:color w:val="0D0D0D" w:themeColor="text1" w:themeTint="F2"/>
          <w:sz w:val="22"/>
          <w:szCs w:val="22"/>
        </w:rPr>
        <w:t>horas hábiles bursátiles posteriores al</w:t>
      </w:r>
      <w:r w:rsidRPr="00506990">
        <w:rPr>
          <w:rFonts w:ascii="Times New Roman" w:hAnsi="Times New Roman" w:cs="Times New Roman"/>
          <w:iCs/>
          <w:color w:val="0D0D0D" w:themeColor="text1" w:themeTint="F2"/>
          <w:sz w:val="22"/>
          <w:szCs w:val="22"/>
        </w:rPr>
        <w:t xml:space="preserve"> último día del Período de Colocación de los </w:t>
      </w:r>
      <w:r w:rsidR="00151843">
        <w:rPr>
          <w:rFonts w:ascii="Times New Roman" w:eastAsia="Times New Roman" w:hAnsi="Times New Roman" w:cs="Times New Roman"/>
          <w:color w:val="0D0D0D" w:themeColor="text1" w:themeTint="F2"/>
          <w:sz w:val="22"/>
          <w:szCs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u otra fecha que se especifique  en el Aviso de Suscripción.</w:t>
      </w:r>
    </w:p>
    <w:p w14:paraId="037B2B25" w14:textId="77777777" w:rsidR="0050339C" w:rsidRPr="00506990" w:rsidRDefault="0050339C" w:rsidP="0050339C">
      <w:pPr>
        <w:rPr>
          <w:rFonts w:ascii="Times New Roman" w:hAnsi="Times New Roman" w:cs="Times New Roman"/>
          <w:iCs/>
          <w:color w:val="0D0D0D" w:themeColor="text1" w:themeTint="F2"/>
          <w:sz w:val="22"/>
          <w:szCs w:val="22"/>
        </w:rPr>
      </w:pPr>
    </w:p>
    <w:p w14:paraId="2732D5FB" w14:textId="75761019"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r w:rsidRPr="00506990">
        <w:rPr>
          <w:rFonts w:ascii="Times New Roman" w:hAnsi="Times New Roman" w:cs="Times New Roman"/>
          <w:iCs/>
          <w:color w:val="0D0D0D" w:themeColor="text1" w:themeTint="F2"/>
          <w:sz w:val="22"/>
          <w:szCs w:val="22"/>
        </w:rPr>
        <w:t xml:space="preserve"> tiene el significado asignado en el artículo 2.</w:t>
      </w:r>
      <w:r w:rsidR="000D40C5">
        <w:rPr>
          <w:rFonts w:ascii="Times New Roman" w:hAnsi="Times New Roman" w:cs="Times New Roman"/>
          <w:iCs/>
          <w:color w:val="0D0D0D" w:themeColor="text1" w:themeTint="F2"/>
          <w:sz w:val="22"/>
          <w:szCs w:val="22"/>
        </w:rPr>
        <w:t>8</w:t>
      </w:r>
      <w:r w:rsidRPr="00506990">
        <w:rPr>
          <w:rFonts w:ascii="Times New Roman" w:hAnsi="Times New Roman" w:cs="Times New Roman"/>
          <w:iCs/>
          <w:color w:val="0D0D0D" w:themeColor="text1" w:themeTint="F2"/>
          <w:sz w:val="22"/>
          <w:szCs w:val="22"/>
        </w:rPr>
        <w:t xml:space="preserve"> del Contrato Suplementario de Fideicomiso.</w:t>
      </w:r>
    </w:p>
    <w:p w14:paraId="6447B6BE" w14:textId="33D6759D" w:rsidR="00563C2C" w:rsidRPr="008B3986" w:rsidRDefault="00563C2C" w:rsidP="00427D58">
      <w:pPr>
        <w:rPr>
          <w:rFonts w:ascii="Times New Roman" w:hAnsi="Times New Roman"/>
          <w:b/>
          <w:color w:val="0D0D0D" w:themeColor="text1" w:themeTint="F2"/>
          <w:sz w:val="22"/>
        </w:rPr>
      </w:pPr>
    </w:p>
    <w:p w14:paraId="174B7EEB" w14:textId="6CF2585E" w:rsidR="0050339C" w:rsidRDefault="000F6A5F"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“Fideicomisario”: </w:t>
      </w:r>
      <w:r w:rsidRPr="00506990">
        <w:rPr>
          <w:rFonts w:ascii="Times New Roman" w:hAnsi="Times New Roman" w:cs="Times New Roman"/>
          <w:iCs/>
          <w:color w:val="0D0D0D" w:themeColor="text1" w:themeTint="F2"/>
          <w:sz w:val="22"/>
          <w:szCs w:val="22"/>
        </w:rPr>
        <w:t>los Fiduciantes.</w:t>
      </w:r>
    </w:p>
    <w:p w14:paraId="2834F8D9" w14:textId="77777777" w:rsidR="001331E2" w:rsidRPr="00506990" w:rsidRDefault="001331E2" w:rsidP="0050339C">
      <w:pPr>
        <w:rPr>
          <w:rFonts w:ascii="Times New Roman" w:hAnsi="Times New Roman" w:cs="Times New Roman"/>
          <w:iCs/>
          <w:color w:val="0D0D0D" w:themeColor="text1" w:themeTint="F2"/>
          <w:sz w:val="22"/>
          <w:szCs w:val="22"/>
        </w:rPr>
      </w:pPr>
    </w:p>
    <w:p w14:paraId="4650BCD6" w14:textId="0273E9D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“Fideicomiso”: </w:t>
      </w:r>
      <w:r w:rsidRPr="00506990">
        <w:rPr>
          <w:rFonts w:ascii="Times New Roman" w:hAnsi="Times New Roman" w:cs="Times New Roman"/>
          <w:iCs/>
          <w:color w:val="0D0D0D" w:themeColor="text1" w:themeTint="F2"/>
          <w:sz w:val="22"/>
          <w:szCs w:val="22"/>
        </w:rPr>
        <w:t>el Fideicomiso Financiero “CONFIBONO L</w:t>
      </w:r>
      <w:r w:rsidR="00265033">
        <w:rPr>
          <w:rFonts w:ascii="Times New Roman" w:hAnsi="Times New Roman" w:cs="Times New Roman"/>
          <w:iCs/>
          <w:color w:val="0D0D0D" w:themeColor="text1" w:themeTint="F2"/>
          <w:sz w:val="22"/>
          <w:szCs w:val="22"/>
        </w:rPr>
        <w:t>X</w:t>
      </w:r>
      <w:r w:rsidR="00FB6BD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307C38">
        <w:rPr>
          <w:rFonts w:ascii="Times New Roman" w:hAnsi="Times New Roman" w:cs="Times New Roman"/>
          <w:iCs/>
          <w:color w:val="0D0D0D" w:themeColor="text1" w:themeTint="F2"/>
          <w:sz w:val="22"/>
          <w:szCs w:val="22"/>
        </w:rPr>
        <w:t>I</w:t>
      </w:r>
      <w:r w:rsidR="00E05EDF">
        <w:rPr>
          <w:rFonts w:ascii="Times New Roman" w:hAnsi="Times New Roman" w:cs="Times New Roman"/>
          <w:iCs/>
          <w:color w:val="0D0D0D" w:themeColor="text1" w:themeTint="F2"/>
          <w:sz w:val="22"/>
          <w:szCs w:val="22"/>
        </w:rPr>
        <w:t>I</w:t>
      </w:r>
      <w:r w:rsidRPr="00506990">
        <w:rPr>
          <w:rFonts w:ascii="Times New Roman" w:hAnsi="Times New Roman" w:cs="Times New Roman"/>
          <w:iCs/>
          <w:color w:val="0D0D0D" w:themeColor="text1" w:themeTint="F2"/>
          <w:sz w:val="22"/>
          <w:szCs w:val="22"/>
        </w:rPr>
        <w:t>”</w:t>
      </w:r>
    </w:p>
    <w:p w14:paraId="226931D0" w14:textId="77777777" w:rsidR="0050339C" w:rsidRPr="00506990" w:rsidRDefault="0050339C" w:rsidP="0050339C">
      <w:pPr>
        <w:rPr>
          <w:rFonts w:ascii="Times New Roman" w:hAnsi="Times New Roman" w:cs="Times New Roman"/>
          <w:iCs/>
          <w:color w:val="0D0D0D" w:themeColor="text1" w:themeTint="F2"/>
          <w:sz w:val="22"/>
          <w:szCs w:val="22"/>
        </w:rPr>
      </w:pPr>
    </w:p>
    <w:p w14:paraId="38A8CAC2"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Bazar Avenida</w:t>
      </w:r>
      <w:r w:rsidRPr="00506990">
        <w:rPr>
          <w:rFonts w:ascii="Times New Roman" w:hAnsi="Times New Roman" w:cs="Times New Roman"/>
          <w:iCs/>
          <w:color w:val="0D0D0D" w:themeColor="text1" w:themeTint="F2"/>
          <w:sz w:val="22"/>
          <w:szCs w:val="22"/>
        </w:rPr>
        <w:t xml:space="preserve"> S.A.</w:t>
      </w:r>
      <w:r w:rsidR="003C5928" w:rsidRPr="00506990">
        <w:rPr>
          <w:rFonts w:ascii="Times New Roman" w:hAnsi="Times New Roman" w:cs="Times New Roman"/>
          <w:iCs/>
          <w:color w:val="0D0D0D" w:themeColor="text1" w:themeTint="F2"/>
          <w:sz w:val="22"/>
          <w:szCs w:val="22"/>
        </w:rPr>
        <w:t xml:space="preserve"> y Consumo S.A.</w:t>
      </w:r>
    </w:p>
    <w:p w14:paraId="3E77584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038299E7"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“Fiduciario”: </w:t>
      </w:r>
      <w:r w:rsidRPr="00506990">
        <w:rPr>
          <w:rFonts w:ascii="Times New Roman" w:hAnsi="Times New Roman" w:cs="Times New Roman"/>
          <w:bCs/>
          <w:iCs/>
          <w:color w:val="0D0D0D" w:themeColor="text1" w:themeTint="F2"/>
          <w:sz w:val="22"/>
          <w:szCs w:val="22"/>
        </w:rPr>
        <w:t>Rosario Administradora Sociedad Fiduciaria</w:t>
      </w:r>
      <w:r w:rsidRPr="00506990">
        <w:rPr>
          <w:rFonts w:ascii="Times New Roman" w:hAnsi="Times New Roman" w:cs="Times New Roman"/>
          <w:iCs/>
          <w:color w:val="0D0D0D" w:themeColor="text1" w:themeTint="F2"/>
          <w:sz w:val="22"/>
          <w:szCs w:val="22"/>
        </w:rPr>
        <w:t xml:space="preserve"> S.A.</w:t>
      </w:r>
    </w:p>
    <w:p w14:paraId="4456DAE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5319B626" w14:textId="4D549760"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“Fondo de Liquidez”:</w:t>
      </w:r>
      <w:r w:rsidRPr="00506990">
        <w:rPr>
          <w:rFonts w:ascii="Times New Roman" w:hAnsi="Times New Roman" w:cs="Times New Roman"/>
          <w:iCs/>
          <w:color w:val="0D0D0D" w:themeColor="text1" w:themeTint="F2"/>
          <w:sz w:val="22"/>
          <w:szCs w:val="22"/>
        </w:rPr>
        <w:t xml:space="preserve"> tiene el significado asignado en el artículo 2.</w:t>
      </w:r>
      <w:r w:rsidR="000D40C5">
        <w:rPr>
          <w:rFonts w:ascii="Times New Roman" w:hAnsi="Times New Roman" w:cs="Times New Roman"/>
          <w:iCs/>
          <w:color w:val="0D0D0D" w:themeColor="text1" w:themeTint="F2"/>
          <w:sz w:val="22"/>
          <w:szCs w:val="22"/>
        </w:rPr>
        <w:t>6</w:t>
      </w:r>
      <w:r w:rsidRPr="00506990">
        <w:rPr>
          <w:rFonts w:ascii="Times New Roman" w:hAnsi="Times New Roman" w:cs="Times New Roman"/>
          <w:iCs/>
          <w:color w:val="0D0D0D" w:themeColor="text1" w:themeTint="F2"/>
          <w:sz w:val="22"/>
          <w:szCs w:val="22"/>
        </w:rPr>
        <w:t xml:space="preserve"> del Contrato Suplementario de Fideicomiso.</w:t>
      </w:r>
    </w:p>
    <w:p w14:paraId="1C6DB9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881B4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“Fondo de Gastos”:</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es el previsto en el artículo 1.6, constituido en beneficio del Fideicomiso Financiero, y destinado a cubrir los Gastos del Fideicomiso. </w:t>
      </w:r>
    </w:p>
    <w:p w14:paraId="62F852B2"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6B896FD2"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“Fondos Líquidos Disponibles”: </w:t>
      </w:r>
      <w:r w:rsidRPr="00506990">
        <w:rPr>
          <w:rFonts w:ascii="Times New Roman" w:hAnsi="Times New Roman" w:cs="Times New Roman"/>
          <w:color w:val="0D0D0D" w:themeColor="text1" w:themeTint="F2"/>
          <w:sz w:val="22"/>
          <w:szCs w:val="22"/>
        </w:rPr>
        <w:t>significan los fondos que se obtengan de los Bienes Fideicomitidos y que conforme los términos del presente Contrato Suplementario aún no deban ser distribuidos a los Beneficiarios y permanezcan en forma transitoria en poder del Fiduciario.</w:t>
      </w:r>
    </w:p>
    <w:p w14:paraId="1293C07B"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494BE575" w14:textId="77777777" w:rsidR="0050339C" w:rsidRPr="00140C52" w:rsidRDefault="0050339C" w:rsidP="0050339C">
      <w:pPr>
        <w:widowControl w:val="0"/>
        <w:rPr>
          <w:rFonts w:ascii="Times New Roman" w:hAnsi="Times New Roman" w:cs="Times New Roman"/>
          <w:color w:val="0D0D0D" w:themeColor="text1" w:themeTint="F2"/>
          <w:sz w:val="22"/>
          <w:szCs w:val="22"/>
        </w:rPr>
      </w:pPr>
      <w:r w:rsidRPr="00AC5521">
        <w:rPr>
          <w:rFonts w:ascii="Times New Roman" w:eastAsia="Times New Roman" w:hAnsi="Times New Roman" w:cs="Times New Roman"/>
          <w:b/>
          <w:color w:val="0D0D0D" w:themeColor="text1" w:themeTint="F2"/>
          <w:sz w:val="22"/>
          <w:szCs w:val="22"/>
          <w:lang w:val="es-AR"/>
        </w:rPr>
        <w:t>“Fondo de Reserva Impositivo”:</w:t>
      </w:r>
      <w:r w:rsidRPr="00AC5521">
        <w:rPr>
          <w:rFonts w:ascii="Times New Roman" w:eastAsia="Times New Roman" w:hAnsi="Times New Roman" w:cs="Times New Roman"/>
          <w:color w:val="0D0D0D" w:themeColor="text1" w:themeTint="F2"/>
          <w:sz w:val="22"/>
          <w:szCs w:val="22"/>
          <w:lang w:val="es-AR"/>
        </w:rPr>
        <w:t xml:space="preserve"> tiene el significado previsto en el artículo 1.9 </w:t>
      </w:r>
      <w:r w:rsidRPr="00140C52">
        <w:rPr>
          <w:rFonts w:ascii="Times New Roman" w:hAnsi="Times New Roman" w:cs="Times New Roman"/>
          <w:iCs/>
          <w:color w:val="0D0D0D" w:themeColor="text1" w:themeTint="F2"/>
          <w:sz w:val="22"/>
          <w:szCs w:val="22"/>
        </w:rPr>
        <w:t>del Contrato Suplementario de Fideicomiso.</w:t>
      </w:r>
    </w:p>
    <w:p w14:paraId="7FAE8ADF"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66129741" w14:textId="55307E40" w:rsidR="0050339C" w:rsidRPr="00506990" w:rsidRDefault="0050339C" w:rsidP="0050339C">
      <w:pPr>
        <w:rPr>
          <w:rFonts w:ascii="Times New Roman" w:hAnsi="Times New Roman" w:cs="Times New Roman"/>
          <w:color w:val="0D0D0D" w:themeColor="text1" w:themeTint="F2"/>
          <w:sz w:val="22"/>
          <w:szCs w:val="20"/>
        </w:rPr>
      </w:pPr>
      <w:r w:rsidRPr="00506990">
        <w:rPr>
          <w:rFonts w:ascii="Times New Roman" w:hAnsi="Times New Roman" w:cs="Times New Roman"/>
          <w:b/>
          <w:color w:val="0D0D0D" w:themeColor="text1" w:themeTint="F2"/>
          <w:sz w:val="22"/>
          <w:szCs w:val="20"/>
        </w:rPr>
        <w:t>“Gastos del Fideicomiso”:</w:t>
      </w:r>
      <w:r w:rsidRPr="00506990">
        <w:rPr>
          <w:rFonts w:ascii="Times New Roman" w:hAnsi="Times New Roman" w:cs="Times New Roman"/>
          <w:color w:val="0D0D0D" w:themeColor="text1" w:themeTint="F2"/>
          <w:sz w:val="22"/>
          <w:szCs w:val="20"/>
        </w:rPr>
        <w:t xml:space="preserve"> significa todos los aranceles, impuestos, tasas, comisiones, costos, cargas, honorarios y demás gastos y erogaciones en que se hubiere incurrido para la celebración del Fideicomiso y en los que se incurra durante la vida del mismo, que están a cargo del Fideicomiso, incluyendo, de manera no taxativa: (i) las retribuciones acordadas a favor del Fiduciario en el presente Contrato; (ii) </w:t>
      </w:r>
      <w:r w:rsidRPr="00506990">
        <w:rPr>
          <w:rFonts w:ascii="Times New Roman" w:hAnsi="Times New Roman" w:cs="Times New Roman"/>
          <w:color w:val="0D0D0D" w:themeColor="text1" w:themeTint="F2"/>
          <w:spacing w:val="-2"/>
          <w:sz w:val="22"/>
          <w:szCs w:val="20"/>
        </w:rPr>
        <w:t xml:space="preserve">los derechos y aranceles de oferta pública y listado de los mercados donde se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hAnsi="Times New Roman" w:cs="Times New Roman"/>
          <w:color w:val="0D0D0D" w:themeColor="text1" w:themeTint="F2"/>
          <w:spacing w:val="-2"/>
          <w:sz w:val="22"/>
          <w:szCs w:val="20"/>
        </w:rPr>
        <w:t xml:space="preserve">, (iii) </w:t>
      </w:r>
      <w:r w:rsidRPr="00506990">
        <w:rPr>
          <w:rFonts w:ascii="Times New Roman" w:hAnsi="Times New Roman" w:cs="Times New Roman"/>
          <w:color w:val="0D0D0D" w:themeColor="text1" w:themeTint="F2"/>
          <w:sz w:val="22"/>
          <w:szCs w:val="20"/>
        </w:rPr>
        <w:t xml:space="preserve">los honorarios de los asesores legales del Fiduciario durante la existencia del Fideicomiso, (iv) los honorarios de los asesores contables e impositivos del Fideicomiso; (v) los honorarios de las calificadoras de riesgo, de corresponder; (vi) los honorarios y gastos de escribanía, de corresponder; (vii) los honorarios del Agente de Control y Revisión; (viii) los gastos de publicación de toda información del Fideicomiso en los boletines bursátiles; (ix) los gastos que demanden los informes que debe preparar el Fiduciario; (x) en su caso, las comisiones por transferencias interbancarias; (xi) en su caso, los costos de notificaciones y el otorgamiento de poderes; (xii) los gastos incurridos en la gestión de cobro de los Créditos, incluyendo los honorarios legales, tasas de justicia, aranceles, etc., y (xiii) en general, todos los demás costos y gastos ordinarios en que deba incurrir el Fiduciario para la conservación, administración y defensa de los Bienes Fideicomitidos. </w:t>
      </w:r>
    </w:p>
    <w:p w14:paraId="72417765"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48E5547"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“Gastos Afrontados por l</w:t>
      </w:r>
      <w:r w:rsidR="006E36BA" w:rsidRPr="00506990">
        <w:rPr>
          <w:rFonts w:ascii="Times New Roman" w:hAnsi="Times New Roman" w:cs="Times New Roman"/>
          <w:b/>
          <w:color w:val="0D0D0D" w:themeColor="text1" w:themeTint="F2"/>
          <w:sz w:val="22"/>
          <w:szCs w:val="22"/>
        </w:rPr>
        <w:t>os</w:t>
      </w:r>
      <w:r w:rsidRPr="00506990">
        <w:rPr>
          <w:rFonts w:ascii="Times New Roman" w:hAnsi="Times New Roman" w:cs="Times New Roman"/>
          <w:b/>
          <w:color w:val="0D0D0D" w:themeColor="text1" w:themeTint="F2"/>
          <w:sz w:val="22"/>
          <w:szCs w:val="22"/>
        </w:rPr>
        <w:t xml:space="preserve"> Fiduciante</w:t>
      </w:r>
      <w:r w:rsidR="006E36BA"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w:t>
      </w:r>
      <w:r w:rsidRPr="00506990">
        <w:rPr>
          <w:rFonts w:ascii="Times New Roman" w:hAnsi="Times New Roman" w:cs="Times New Roman"/>
          <w:color w:val="0D0D0D" w:themeColor="text1" w:themeTint="F2"/>
          <w:sz w:val="22"/>
          <w:szCs w:val="22"/>
        </w:rPr>
        <w:t xml:space="preserve"> Tienen el significado asignado en el artículo 1.6 (ii).</w:t>
      </w:r>
    </w:p>
    <w:p w14:paraId="736A5ABC"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227C53F" w14:textId="454C091D"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“Mayoría Extraordinaria de Beneficiarios”:</w:t>
      </w:r>
      <w:r w:rsidRPr="00506990">
        <w:rPr>
          <w:rFonts w:ascii="Times New Roman" w:hAnsi="Times New Roman" w:cs="Times New Roman"/>
          <w:color w:val="0D0D0D" w:themeColor="text1" w:themeTint="F2"/>
          <w:sz w:val="22"/>
          <w:szCs w:val="22"/>
        </w:rPr>
        <w:t xml:space="preserve"> cuando la decisión se adopte en una Asamblea, será la mayoría absoluta (más del 50%) de los votos presentes en una asamblea extraordinaria. 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w:t>
      </w:r>
      <w:r w:rsidR="00151843">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mayoría absoluta (más del 50%) del valor nominal de los </w:t>
      </w:r>
      <w:r w:rsidR="00151843">
        <w:rPr>
          <w:rFonts w:ascii="Times New Roman" w:eastAsia="Times New Roman" w:hAnsi="Times New Roman" w:cs="Times New Roman"/>
          <w:color w:val="0D0D0D" w:themeColor="text1" w:themeTint="F2"/>
          <w:sz w:val="22"/>
          <w:szCs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color w:val="0D0D0D" w:themeColor="text1" w:themeTint="F2"/>
          <w:sz w:val="22"/>
          <w:szCs w:val="22"/>
        </w:rPr>
        <w:t xml:space="preserve">en circulación, o los de una Clase o Serie determinada, según se trate. En los casos de insuficiencia patrimonial o </w:t>
      </w:r>
      <w:r w:rsidR="002965C9" w:rsidRPr="00506990">
        <w:rPr>
          <w:rFonts w:ascii="Times New Roman" w:hAnsi="Times New Roman" w:cs="Times New Roman"/>
          <w:color w:val="0D0D0D" w:themeColor="text1" w:themeTint="F2"/>
          <w:sz w:val="22"/>
          <w:szCs w:val="22"/>
        </w:rPr>
        <w:t>reestructuración</w:t>
      </w:r>
      <w:r w:rsidRPr="00506990">
        <w:rPr>
          <w:rFonts w:ascii="Times New Roman" w:hAnsi="Times New Roman" w:cs="Times New Roman"/>
          <w:color w:val="0D0D0D" w:themeColor="text1" w:themeTint="F2"/>
          <w:sz w:val="22"/>
          <w:szCs w:val="22"/>
        </w:rPr>
        <w:t xml:space="preserve"> de pagos a los beneficiarios, será las tres cuartas partes de los valores emitidos y en circulación.</w:t>
      </w:r>
    </w:p>
    <w:p w14:paraId="5AC6F1E7"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p>
    <w:p w14:paraId="1D3B19F7" w14:textId="7E364E13"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pacing w:val="-3"/>
          <w:sz w:val="22"/>
          <w:szCs w:val="22"/>
        </w:rPr>
        <w:t xml:space="preserve">“Mayoría Ordinaria de Beneficiarios”: </w:t>
      </w:r>
      <w:r w:rsidRPr="00506990">
        <w:rPr>
          <w:rFonts w:ascii="Times New Roman" w:hAnsi="Times New Roman" w:cs="Times New Roman"/>
          <w:color w:val="0D0D0D" w:themeColor="text1" w:themeTint="F2"/>
          <w:sz w:val="22"/>
          <w:szCs w:val="22"/>
        </w:rPr>
        <w:t>cuando la decisión se adopte en una Asamblea, será la mayoría simple de los votos presentes en una asamblea ordinaria.</w:t>
      </w:r>
      <w:r w:rsidR="007073F9"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hAnsi="Times New Roman" w:cs="Times New Roman"/>
          <w:color w:val="0D0D0D" w:themeColor="text1" w:themeTint="F2"/>
          <w:sz w:val="22"/>
          <w:szCs w:val="22"/>
          <w:lang w:val="es-AR"/>
        </w:rPr>
        <w:t xml:space="preserve">,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voluntad de la mayoría simple del valor nominal de los </w:t>
      </w:r>
      <w:r w:rsidR="00151843">
        <w:rPr>
          <w:rFonts w:ascii="Times New Roman" w:eastAsia="Times New Roman" w:hAnsi="Times New Roman" w:cs="Times New Roman"/>
          <w:color w:val="0D0D0D" w:themeColor="text1" w:themeTint="F2"/>
          <w:sz w:val="22"/>
          <w:szCs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color w:val="0D0D0D" w:themeColor="text1" w:themeTint="F2"/>
          <w:sz w:val="22"/>
          <w:szCs w:val="22"/>
        </w:rPr>
        <w:t>en circulación, o los de una Clase o Serie determinada, según se trate.</w:t>
      </w:r>
    </w:p>
    <w:p w14:paraId="7F5FD38C" w14:textId="77777777" w:rsidR="006654CF" w:rsidRPr="00506990" w:rsidRDefault="006654CF" w:rsidP="0050339C">
      <w:pPr>
        <w:widowControl w:val="0"/>
        <w:rPr>
          <w:rFonts w:ascii="Times New Roman" w:hAnsi="Times New Roman" w:cs="Times New Roman"/>
          <w:color w:val="0D0D0D" w:themeColor="text1" w:themeTint="F2"/>
          <w:sz w:val="22"/>
          <w:szCs w:val="22"/>
        </w:rPr>
      </w:pPr>
    </w:p>
    <w:p w14:paraId="1A439241"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“MAV”:</w:t>
      </w:r>
      <w:r w:rsidRPr="00506990">
        <w:rPr>
          <w:rFonts w:ascii="Times New Roman" w:hAnsi="Times New Roman" w:cs="Times New Roman"/>
          <w:color w:val="0D0D0D" w:themeColor="text1" w:themeTint="F2"/>
          <w:sz w:val="22"/>
          <w:szCs w:val="22"/>
        </w:rPr>
        <w:t xml:space="preserve"> Mercado Argentino de Valores S.A.</w:t>
      </w:r>
    </w:p>
    <w:p w14:paraId="2D4E8CC6"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97B5482" w14:textId="77777777"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color w:val="0D0D0D" w:themeColor="text1" w:themeTint="F2"/>
          <w:sz w:val="22"/>
          <w:szCs w:val="22"/>
        </w:rPr>
        <w:t>“NORMAS”:</w:t>
      </w:r>
      <w:r w:rsidRPr="00506990">
        <w:rPr>
          <w:rFonts w:ascii="Times New Roman" w:hAnsi="Times New Roman" w:cs="Times New Roman"/>
          <w:color w:val="0D0D0D" w:themeColor="text1" w:themeTint="F2"/>
          <w:sz w:val="22"/>
          <w:szCs w:val="22"/>
        </w:rPr>
        <w:t xml:space="preserve"> significan las NORMAS de la CNV según N.T 2013 </w:t>
      </w:r>
      <w:r w:rsidR="00CC47F5" w:rsidRPr="00506990">
        <w:rPr>
          <w:rFonts w:ascii="Times New Roman" w:hAnsi="Times New Roman" w:cs="Times New Roman"/>
          <w:color w:val="0D0D0D" w:themeColor="text1" w:themeTint="F2"/>
          <w:sz w:val="22"/>
          <w:szCs w:val="22"/>
        </w:rPr>
        <w:t>y modif.</w:t>
      </w:r>
      <w:r w:rsidRPr="00506990">
        <w:rPr>
          <w:rFonts w:ascii="Times New Roman" w:hAnsi="Times New Roman" w:cs="Times New Roman"/>
          <w:b/>
          <w:bCs/>
          <w:color w:val="0D0D0D" w:themeColor="text1" w:themeTint="F2"/>
          <w:sz w:val="22"/>
          <w:szCs w:val="22"/>
        </w:rPr>
        <w:t xml:space="preserve"> </w:t>
      </w:r>
    </w:p>
    <w:p w14:paraId="4B65CB21"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1B2E8A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“Pagaré”:</w:t>
      </w:r>
      <w:r w:rsidRPr="00506990">
        <w:rPr>
          <w:rFonts w:ascii="Times New Roman" w:hAnsi="Times New Roman" w:cs="Times New Roman"/>
          <w:iCs/>
          <w:color w:val="0D0D0D" w:themeColor="text1" w:themeTint="F2"/>
          <w:sz w:val="22"/>
          <w:szCs w:val="22"/>
        </w:rPr>
        <w:t xml:space="preserve"> son los pagarés endosados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al Fiduciario.</w:t>
      </w:r>
    </w:p>
    <w:p w14:paraId="6393988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0507B38" w14:textId="77777777" w:rsidR="0050339C" w:rsidRPr="00506990" w:rsidRDefault="0050339C" w:rsidP="0050339C">
      <w:pPr>
        <w:pStyle w:val="Textopredete"/>
        <w:jc w:val="both"/>
        <w:rPr>
          <w:rFonts w:ascii="Times New Roman" w:hAnsi="Times New Roman"/>
          <w:color w:val="0D0D0D" w:themeColor="text1" w:themeTint="F2"/>
          <w:sz w:val="22"/>
          <w:szCs w:val="22"/>
        </w:rPr>
      </w:pPr>
      <w:r w:rsidRPr="00506990">
        <w:rPr>
          <w:rFonts w:ascii="Times New Roman" w:hAnsi="Times New Roman"/>
          <w:b/>
          <w:bCs/>
          <w:iCs/>
          <w:color w:val="0D0D0D" w:themeColor="text1" w:themeTint="F2"/>
          <w:sz w:val="22"/>
          <w:szCs w:val="22"/>
        </w:rPr>
        <w:t xml:space="preserve">“Período de Colocación”: </w:t>
      </w:r>
      <w:r w:rsidRPr="00506990">
        <w:rPr>
          <w:rFonts w:ascii="Times New Roman" w:hAnsi="Times New Roman"/>
          <w:iCs/>
          <w:color w:val="0D0D0D" w:themeColor="text1" w:themeTint="F2"/>
          <w:sz w:val="22"/>
          <w:szCs w:val="22"/>
        </w:rPr>
        <w:t xml:space="preserve">el mismo se conforma de un plazo mínimo de </w:t>
      </w:r>
      <w:r w:rsidRPr="00506990">
        <w:rPr>
          <w:rFonts w:ascii="Times New Roman" w:hAnsi="Times New Roman"/>
          <w:color w:val="0D0D0D" w:themeColor="text1" w:themeTint="F2"/>
          <w:sz w:val="22"/>
          <w:szCs w:val="22"/>
        </w:rPr>
        <w:t>3 (tres</w:t>
      </w:r>
      <w:r w:rsidRPr="00506990">
        <w:rPr>
          <w:rFonts w:ascii="Times New Roman" w:hAnsi="Times New Roman"/>
          <w:iCs/>
          <w:color w:val="0D0D0D" w:themeColor="text1" w:themeTint="F2"/>
          <w:sz w:val="22"/>
          <w:szCs w:val="22"/>
        </w:rPr>
        <w:t>) Días Hábiles bursátiles para la difusión y mínimo de 1 (un) Día Hábil bursátil para la subasta o licitación pública.</w:t>
      </w:r>
    </w:p>
    <w:p w14:paraId="1A93E1F2" w14:textId="77777777" w:rsidR="0050339C" w:rsidRPr="00506990" w:rsidRDefault="0050339C" w:rsidP="0050339C">
      <w:pPr>
        <w:rPr>
          <w:rFonts w:ascii="Times New Roman" w:hAnsi="Times New Roman" w:cs="Times New Roman"/>
          <w:iCs/>
          <w:color w:val="0D0D0D" w:themeColor="text1" w:themeTint="F2"/>
          <w:sz w:val="22"/>
          <w:szCs w:val="22"/>
        </w:rPr>
      </w:pPr>
    </w:p>
    <w:p w14:paraId="364FC925" w14:textId="77777777" w:rsidR="0050339C" w:rsidRDefault="0050339C" w:rsidP="00BC12D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Periodo de Devengamiento”: </w:t>
      </w:r>
      <w:r w:rsidR="00D347A9">
        <w:rPr>
          <w:rFonts w:ascii="Times New Roman" w:hAnsi="Times New Roman" w:cs="Times New Roman"/>
          <w:iCs/>
          <w:color w:val="0D0D0D" w:themeColor="text1" w:themeTint="F2"/>
          <w:sz w:val="22"/>
          <w:szCs w:val="22"/>
        </w:rPr>
        <w:t>e</w:t>
      </w:r>
      <w:r w:rsidR="00BC12DC"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sidR="00BC12DC">
        <w:rPr>
          <w:rFonts w:ascii="Times New Roman" w:hAnsi="Times New Roman" w:cs="Times New Roman"/>
          <w:iCs/>
          <w:color w:val="0D0D0D" w:themeColor="text1" w:themeTint="F2"/>
          <w:sz w:val="22"/>
          <w:szCs w:val="22"/>
        </w:rPr>
        <w:t xml:space="preserve"> (inclusive)</w:t>
      </w:r>
      <w:r w:rsidR="00BC12DC" w:rsidRPr="00BC12DC">
        <w:rPr>
          <w:rFonts w:ascii="Times New Roman" w:hAnsi="Times New Roman" w:cs="Times New Roman"/>
          <w:iCs/>
          <w:color w:val="0D0D0D" w:themeColor="text1" w:themeTint="F2"/>
          <w:sz w:val="22"/>
          <w:szCs w:val="22"/>
        </w:rPr>
        <w:t>, considerando siempre un año de 360 días (12 meses de 30 días).</w:t>
      </w:r>
    </w:p>
    <w:p w14:paraId="2DE46E2E" w14:textId="2EFB6D4E" w:rsidR="00200640" w:rsidRDefault="00200640" w:rsidP="00BC12DC">
      <w:pPr>
        <w:suppressAutoHyphens/>
        <w:rPr>
          <w:rFonts w:ascii="Times New Roman" w:hAnsi="Times New Roman" w:cs="Times New Roman"/>
          <w:b/>
          <w:bCs/>
          <w:iCs/>
          <w:color w:val="0D0D0D" w:themeColor="text1" w:themeTint="F2"/>
          <w:sz w:val="22"/>
          <w:szCs w:val="22"/>
        </w:rPr>
      </w:pPr>
    </w:p>
    <w:p w14:paraId="2F63971B" w14:textId="0B85A0F3" w:rsidR="0050339C" w:rsidRPr="00506990" w:rsidRDefault="0050339C" w:rsidP="002370AF">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VDF”:</w:t>
      </w:r>
      <w:r w:rsidRPr="00506990">
        <w:rPr>
          <w:rFonts w:ascii="Times New Roman" w:hAnsi="Times New Roman" w:cs="Times New Roman"/>
          <w:iCs/>
          <w:color w:val="0D0D0D" w:themeColor="text1" w:themeTint="F2"/>
          <w:sz w:val="22"/>
          <w:szCs w:val="22"/>
        </w:rPr>
        <w:t xml:space="preserve"> tiene el significado asignado en el artículo 2.2 del Contrato Suplementario de Fideicomiso.</w:t>
      </w:r>
    </w:p>
    <w:p w14:paraId="1AA8A9B9" w14:textId="77777777" w:rsidR="0050339C" w:rsidRPr="00506990" w:rsidRDefault="0050339C" w:rsidP="0050339C">
      <w:pPr>
        <w:suppressLineNumbers/>
        <w:rPr>
          <w:rFonts w:ascii="Times New Roman" w:hAnsi="Times New Roman" w:cs="Times New Roman"/>
          <w:b/>
          <w:color w:val="0D0D0D" w:themeColor="text1" w:themeTint="F2"/>
          <w:sz w:val="22"/>
          <w:szCs w:val="22"/>
        </w:rPr>
      </w:pPr>
    </w:p>
    <w:p w14:paraId="5383D9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“Reservas”:</w:t>
      </w:r>
      <w:r w:rsidRPr="00506990">
        <w:rPr>
          <w:rFonts w:ascii="Times New Roman" w:hAnsi="Times New Roman" w:cs="Times New Roman"/>
          <w:iCs/>
          <w:color w:val="0D0D0D" w:themeColor="text1" w:themeTint="F2"/>
          <w:sz w:val="22"/>
          <w:szCs w:val="22"/>
        </w:rPr>
        <w:t xml:space="preserve"> tiene el significado asignado en el artículo 9.6 del Contrato Marco.</w:t>
      </w:r>
    </w:p>
    <w:p w14:paraId="043DCAAC" w14:textId="77777777" w:rsidR="0050339C" w:rsidRPr="00506990" w:rsidRDefault="0050339C" w:rsidP="0050339C">
      <w:pPr>
        <w:suppressAutoHyphens/>
        <w:rPr>
          <w:rFonts w:ascii="Times New Roman" w:hAnsi="Times New Roman" w:cs="Times New Roman"/>
          <w:b/>
          <w:color w:val="0D0D0D" w:themeColor="text1" w:themeTint="F2"/>
          <w:sz w:val="22"/>
          <w:szCs w:val="22"/>
        </w:rPr>
      </w:pPr>
    </w:p>
    <w:p w14:paraId="5194D0CC" w14:textId="58431354" w:rsidR="0050339C" w:rsidRPr="00506990" w:rsidRDefault="0050339C" w:rsidP="0050339C">
      <w:pPr>
        <w:suppressAutoHyphens/>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“Servicios”: </w:t>
      </w:r>
      <w:r w:rsidRPr="00506990">
        <w:rPr>
          <w:rFonts w:ascii="Times New Roman" w:hAnsi="Times New Roman" w:cs="Times New Roman"/>
          <w:bCs/>
          <w:iCs/>
          <w:color w:val="0D0D0D" w:themeColor="text1" w:themeTint="F2"/>
          <w:sz w:val="22"/>
          <w:szCs w:val="22"/>
        </w:rPr>
        <w:t xml:space="preserve">los pagos que por distintos conceptos corresponda hacer a los Beneficiarios bajo los términos y condiciones de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hAnsi="Times New Roman" w:cs="Times New Roman"/>
          <w:bCs/>
          <w:iCs/>
          <w:color w:val="0D0D0D" w:themeColor="text1" w:themeTint="F2"/>
          <w:sz w:val="22"/>
          <w:szCs w:val="22"/>
        </w:rPr>
        <w:t>.</w:t>
      </w:r>
    </w:p>
    <w:p w14:paraId="551AF14F" w14:textId="77777777" w:rsidR="00EA7955" w:rsidRDefault="00EA7955" w:rsidP="0050339C">
      <w:pPr>
        <w:spacing w:line="240" w:lineRule="atLeast"/>
        <w:rPr>
          <w:rFonts w:ascii="Times New Roman" w:hAnsi="Times New Roman" w:cs="Times New Roman"/>
          <w:iCs/>
          <w:color w:val="0D0D0D" w:themeColor="text1" w:themeTint="F2"/>
          <w:sz w:val="24"/>
          <w:szCs w:val="22"/>
        </w:rPr>
      </w:pPr>
    </w:p>
    <w:p w14:paraId="05A83D51" w14:textId="10B4A80A" w:rsidR="00F73AF2" w:rsidRDefault="00F73AF2" w:rsidP="00F73AF2">
      <w:pPr>
        <w:suppressAutoHyphens/>
        <w:rPr>
          <w:rFonts w:ascii="Times New Roman" w:hAnsi="Times New Roman" w:cs="Times New Roman"/>
          <w:color w:val="0D0D0D" w:themeColor="text1" w:themeTint="F2"/>
          <w:sz w:val="22"/>
          <w:szCs w:val="22"/>
        </w:rPr>
      </w:pPr>
      <w:r w:rsidRPr="00557525">
        <w:rPr>
          <w:rFonts w:ascii="Times New Roman" w:hAnsi="Times New Roman" w:cs="Times New Roman"/>
          <w:b/>
          <w:color w:val="0D0D0D" w:themeColor="text1" w:themeTint="F2"/>
          <w:sz w:val="22"/>
          <w:szCs w:val="22"/>
        </w:rPr>
        <w:t>“Tasa BADLAR para Bancos Privados” o “Tasa Badlar”</w:t>
      </w:r>
      <w:r>
        <w:rPr>
          <w:rFonts w:ascii="Times New Roman" w:hAnsi="Times New Roman" w:cs="Times New Roman"/>
          <w:color w:val="0D0D0D" w:themeColor="text1" w:themeTint="F2"/>
          <w:sz w:val="22"/>
          <w:szCs w:val="22"/>
        </w:rPr>
        <w:t xml:space="preserve">: </w:t>
      </w: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599C52EE" w14:textId="77777777" w:rsidR="00157C4E" w:rsidRPr="00EE5CF2" w:rsidRDefault="00157C4E" w:rsidP="00EE5CF2">
      <w:pPr>
        <w:spacing w:line="240" w:lineRule="atLeast"/>
        <w:rPr>
          <w:rFonts w:ascii="Times New Roman" w:hAnsi="Times New Roman"/>
          <w:b/>
          <w:color w:val="0D0D0D" w:themeColor="text1" w:themeTint="F2"/>
          <w:sz w:val="22"/>
        </w:rPr>
      </w:pPr>
    </w:p>
    <w:p w14:paraId="796625AA" w14:textId="4C2E606A" w:rsidR="00157C4E" w:rsidRPr="00506990" w:rsidRDefault="0050339C" w:rsidP="00157C4E">
      <w:pPr>
        <w:spacing w:line="240" w:lineRule="atLeast"/>
        <w:rPr>
          <w:rFonts w:ascii="Times New Roman" w:hAnsi="Times New Roman" w:cs="Times New Roman"/>
          <w:b/>
          <w:color w:val="0D0D0D" w:themeColor="text1" w:themeTint="F2"/>
          <w:sz w:val="22"/>
          <w:szCs w:val="21"/>
        </w:rPr>
      </w:pPr>
      <w:r w:rsidRPr="00506990">
        <w:rPr>
          <w:rFonts w:ascii="Times New Roman" w:hAnsi="Times New Roman" w:cs="Times New Roman"/>
          <w:b/>
          <w:color w:val="0D0D0D" w:themeColor="text1" w:themeTint="F2"/>
          <w:sz w:val="22"/>
          <w:szCs w:val="21"/>
        </w:rPr>
        <w:t xml:space="preserve">“Valor Fideicomitido”: </w:t>
      </w:r>
      <w:r w:rsidR="00C7312B" w:rsidRPr="00DB405C">
        <w:rPr>
          <w:rFonts w:ascii="Times New Roman" w:hAnsi="Times New Roman" w:cs="Times New Roman"/>
          <w:color w:val="0D0D0D" w:themeColor="text1" w:themeTint="F2"/>
          <w:sz w:val="22"/>
          <w:szCs w:val="21"/>
        </w:rPr>
        <w:t xml:space="preserve">es </w:t>
      </w:r>
      <w:r w:rsidR="00157C4E" w:rsidRPr="00506990">
        <w:rPr>
          <w:rFonts w:ascii="Times New Roman" w:hAnsi="Times New Roman" w:cs="Times New Roman"/>
          <w:color w:val="0D0D0D" w:themeColor="text1" w:themeTint="F2"/>
          <w:sz w:val="22"/>
          <w:szCs w:val="21"/>
        </w:rPr>
        <w:t xml:space="preserve">el </w:t>
      </w:r>
      <w:r w:rsidR="00151843" w:rsidRPr="00DB405C">
        <w:rPr>
          <w:rFonts w:ascii="Times New Roman" w:hAnsi="Times New Roman" w:cs="Times New Roman"/>
          <w:color w:val="0D0D0D" w:themeColor="text1" w:themeTint="F2"/>
          <w:sz w:val="22"/>
          <w:szCs w:val="21"/>
        </w:rPr>
        <w:t>saldo de capital de los Créditos fideicomitidos</w:t>
      </w:r>
      <w:r w:rsidR="00157C4E">
        <w:rPr>
          <w:rFonts w:ascii="Times New Roman" w:hAnsi="Times New Roman" w:cs="Times New Roman"/>
          <w:color w:val="0D0D0D" w:themeColor="text1" w:themeTint="F2"/>
          <w:sz w:val="22"/>
          <w:szCs w:val="21"/>
        </w:rPr>
        <w:t>.</w:t>
      </w:r>
    </w:p>
    <w:p w14:paraId="09634EB1" w14:textId="77777777" w:rsidR="0050339C" w:rsidRPr="00902490" w:rsidRDefault="0050339C" w:rsidP="0050339C">
      <w:pPr>
        <w:spacing w:line="240" w:lineRule="atLeast"/>
        <w:rPr>
          <w:rFonts w:ascii="Times New Roman" w:hAnsi="Times New Roman"/>
          <w:color w:val="0D0D0D" w:themeColor="text1" w:themeTint="F2"/>
          <w:sz w:val="22"/>
        </w:rPr>
      </w:pPr>
    </w:p>
    <w:p w14:paraId="41CE8C41" w14:textId="6D741B21" w:rsidR="0050339C" w:rsidRPr="00506990" w:rsidRDefault="0050339C" w:rsidP="0050339C">
      <w:pPr>
        <w:ind w:right="618"/>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o “VDF”: </w:t>
      </w:r>
      <w:r w:rsidRPr="00506990">
        <w:rPr>
          <w:rFonts w:ascii="Times New Roman" w:hAnsi="Times New Roman" w:cs="Times New Roman"/>
          <w:iCs/>
          <w:color w:val="0D0D0D" w:themeColor="text1" w:themeTint="F2"/>
          <w:sz w:val="22"/>
          <w:szCs w:val="22"/>
        </w:rPr>
        <w:t>son en conjunto los VDFA y VDFB.</w:t>
      </w:r>
    </w:p>
    <w:p w14:paraId="2BE77D0B" w14:textId="5F373F92" w:rsidR="0050339C" w:rsidRDefault="0050339C" w:rsidP="002370AF">
      <w:pPr>
        <w:ind w:right="618"/>
        <w:rPr>
          <w:rFonts w:ascii="Times New Roman" w:hAnsi="Times New Roman" w:cs="Times New Roman"/>
          <w:iCs/>
          <w:color w:val="0D0D0D" w:themeColor="text1" w:themeTint="F2"/>
          <w:sz w:val="22"/>
          <w:szCs w:val="22"/>
        </w:rPr>
      </w:pPr>
    </w:p>
    <w:p w14:paraId="6AB4EA42" w14:textId="740FC92F" w:rsidR="0050339C" w:rsidRPr="00506990" w:rsidRDefault="00CA0894">
      <w:pPr>
        <w:rPr>
          <w:rFonts w:ascii="Times New Roman" w:hAnsi="Times New Roman" w:cs="Times New Roman"/>
          <w:iCs/>
          <w:color w:val="0D0D0D" w:themeColor="text1" w:themeTint="F2"/>
          <w:sz w:val="22"/>
          <w:szCs w:val="22"/>
          <w:lang w:val="es-ES"/>
        </w:rPr>
      </w:pPr>
      <w:r w:rsidRPr="00506990" w:rsidDel="00CA0894">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lang w:val="es-ES"/>
        </w:rPr>
        <w:t>“VDFA”:</w:t>
      </w:r>
      <w:r w:rsidR="0050339C" w:rsidRPr="00506990">
        <w:rPr>
          <w:rFonts w:ascii="Times New Roman" w:hAnsi="Times New Roman" w:cs="Times New Roman"/>
          <w:iCs/>
          <w:color w:val="0D0D0D" w:themeColor="text1" w:themeTint="F2"/>
          <w:sz w:val="22"/>
          <w:szCs w:val="22"/>
          <w:lang w:val="es-ES"/>
        </w:rPr>
        <w:t xml:space="preserve"> los Valores de Deuda Fiduciaria Clase A.</w:t>
      </w:r>
    </w:p>
    <w:p w14:paraId="398BC8F5" w14:textId="77777777" w:rsidR="0050339C" w:rsidRPr="00506990" w:rsidRDefault="0050339C" w:rsidP="0050339C">
      <w:pPr>
        <w:rPr>
          <w:rFonts w:ascii="Times New Roman" w:hAnsi="Times New Roman" w:cs="Times New Roman"/>
          <w:b/>
          <w:bCs/>
          <w:iCs/>
          <w:color w:val="0D0D0D" w:themeColor="text1" w:themeTint="F2"/>
          <w:sz w:val="22"/>
          <w:szCs w:val="22"/>
          <w:lang w:val="es-ES"/>
        </w:rPr>
      </w:pPr>
    </w:p>
    <w:p w14:paraId="1B647B6C" w14:textId="5686164E" w:rsidR="0050339C" w:rsidRDefault="0050339C" w:rsidP="0050339C">
      <w:pPr>
        <w:rPr>
          <w:rFonts w:ascii="Times New Roman"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“VDFB”:</w:t>
      </w:r>
      <w:r w:rsidRPr="00506990">
        <w:rPr>
          <w:rFonts w:ascii="Times New Roman" w:hAnsi="Times New Roman" w:cs="Times New Roman"/>
          <w:iCs/>
          <w:color w:val="0D0D0D" w:themeColor="text1" w:themeTint="F2"/>
          <w:sz w:val="22"/>
          <w:szCs w:val="22"/>
          <w:lang w:val="es-ES"/>
        </w:rPr>
        <w:t xml:space="preserve"> los Valores de Deuda Fiduciaria Clase B.</w:t>
      </w:r>
    </w:p>
    <w:p w14:paraId="442538D0" w14:textId="77777777" w:rsidR="0011317D" w:rsidRPr="00506990" w:rsidRDefault="0011317D" w:rsidP="0050339C">
      <w:pPr>
        <w:rPr>
          <w:rFonts w:ascii="Times New Roman" w:hAnsi="Times New Roman" w:cs="Times New Roman"/>
          <w:iCs/>
          <w:color w:val="0D0D0D" w:themeColor="text1" w:themeTint="F2"/>
          <w:sz w:val="22"/>
          <w:szCs w:val="22"/>
          <w:lang w:val="es-ES"/>
        </w:rPr>
      </w:pPr>
    </w:p>
    <w:p w14:paraId="78DFA27E"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w:t>
      </w:r>
    </w:p>
    <w:p w14:paraId="3669A7D2"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DEL CONTRATO SUPLEMENTARIO</w:t>
      </w:r>
    </w:p>
    <w:p w14:paraId="0E57FA6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02F3150" w14:textId="52A548C4"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1.1. Constitución del Fideicomiso.</w:t>
      </w:r>
      <w:r w:rsidRPr="00506990">
        <w:rPr>
          <w:rFonts w:ascii="Times New Roman" w:hAnsi="Times New Roman" w:cs="Times New Roman"/>
          <w:iCs/>
          <w:color w:val="0D0D0D" w:themeColor="text1" w:themeTint="F2"/>
          <w:sz w:val="22"/>
          <w:szCs w:val="22"/>
        </w:rPr>
        <w:t xml:space="preserve"> El Fiduciario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constit</w:t>
      </w:r>
      <w:r w:rsidRPr="008230AE">
        <w:rPr>
          <w:rFonts w:ascii="Times New Roman" w:hAnsi="Times New Roman" w:cs="Times New Roman"/>
          <w:iCs/>
          <w:color w:val="0D0D0D" w:themeColor="text1" w:themeTint="F2"/>
          <w:sz w:val="22"/>
          <w:szCs w:val="22"/>
        </w:rPr>
        <w:t xml:space="preserve">uyen el presente Fideicomiso que se integra con Créditos por </w:t>
      </w:r>
      <w:r w:rsidRPr="006E760C">
        <w:rPr>
          <w:rFonts w:ascii="Times New Roman" w:hAnsi="Times New Roman" w:cs="Times New Roman"/>
          <w:iCs/>
          <w:color w:val="0D0D0D" w:themeColor="text1" w:themeTint="F2"/>
          <w:sz w:val="22"/>
          <w:szCs w:val="22"/>
        </w:rPr>
        <w:t xml:space="preserve">un Valor Fideicomitido </w:t>
      </w:r>
      <w:r w:rsidRPr="008B73F7">
        <w:rPr>
          <w:rFonts w:ascii="Times New Roman" w:hAnsi="Times New Roman" w:cs="Times New Roman"/>
          <w:iCs/>
          <w:color w:val="0D0D0D" w:themeColor="text1" w:themeTint="F2"/>
          <w:sz w:val="22"/>
          <w:szCs w:val="22"/>
        </w:rPr>
        <w:t xml:space="preserve">de </w:t>
      </w:r>
      <w:r w:rsidR="00A128AE">
        <w:rPr>
          <w:rFonts w:ascii="Times New Roman" w:hAnsi="Times New Roman" w:cs="Times New Roman"/>
          <w:iCs/>
          <w:color w:val="0D0D0D" w:themeColor="text1" w:themeTint="F2"/>
          <w:sz w:val="22"/>
          <w:szCs w:val="22"/>
        </w:rPr>
        <w:t>$</w:t>
      </w:r>
      <w:r w:rsidR="001E7BB0">
        <w:rPr>
          <w:rFonts w:ascii="Times New Roman" w:hAnsi="Times New Roman" w:cs="Times New Roman"/>
          <w:iCs/>
          <w:color w:val="0D0D0D" w:themeColor="text1" w:themeTint="F2"/>
          <w:sz w:val="22"/>
          <w:szCs w:val="22"/>
        </w:rPr>
        <w:t xml:space="preserve">1.466.192.470 </w:t>
      </w:r>
      <w:r w:rsidR="00AD3342">
        <w:rPr>
          <w:rFonts w:ascii="Times New Roman" w:hAnsi="Times New Roman" w:cs="Times New Roman"/>
          <w:iCs/>
          <w:color w:val="0D0D0D" w:themeColor="text1" w:themeTint="F2"/>
          <w:sz w:val="22"/>
          <w:szCs w:val="22"/>
        </w:rPr>
        <w:t xml:space="preserve">(pesos </w:t>
      </w:r>
      <w:r w:rsidR="001E7BB0">
        <w:rPr>
          <w:rFonts w:ascii="Times New Roman" w:hAnsi="Times New Roman" w:cs="Times New Roman"/>
          <w:iCs/>
          <w:color w:val="0D0D0D" w:themeColor="text1" w:themeTint="F2"/>
          <w:sz w:val="22"/>
          <w:szCs w:val="22"/>
        </w:rPr>
        <w:t>mil cuatrocientos sesenta y seis millones ciento noventa y dos mil cuatrocientos setenta</w:t>
      </w:r>
      <w:r w:rsidR="002004DC" w:rsidRPr="002004DC">
        <w:rPr>
          <w:rFonts w:ascii="Times New Roman" w:hAnsi="Times New Roman" w:cs="Times New Roman"/>
          <w:iCs/>
          <w:color w:val="0D0D0D" w:themeColor="text1" w:themeTint="F2"/>
          <w:sz w:val="22"/>
          <w:szCs w:val="22"/>
        </w:rPr>
        <w:t>)</w:t>
      </w:r>
      <w:r w:rsidR="00CC3EDE" w:rsidRPr="00563C2C">
        <w:rPr>
          <w:rFonts w:ascii="Times New Roman" w:hAnsi="Times New Roman" w:cs="Times New Roman"/>
          <w:iCs/>
          <w:color w:val="0D0D0D" w:themeColor="text1" w:themeTint="F2"/>
          <w:sz w:val="22"/>
          <w:szCs w:val="22"/>
        </w:rPr>
        <w:t xml:space="preserve">. El saldo de capital de los Créditos transferidos asciende a </w:t>
      </w:r>
      <w:r w:rsidR="00CC3EDE" w:rsidRPr="00563C2C">
        <w:rPr>
          <w:rStyle w:val="nfasis"/>
          <w:rFonts w:ascii="Times New Roman" w:hAnsi="Times New Roman"/>
          <w:i w:val="0"/>
          <w:color w:val="0D0D0D" w:themeColor="text1" w:themeTint="F2"/>
          <w:sz w:val="22"/>
          <w:szCs w:val="22"/>
        </w:rPr>
        <w:t>$</w:t>
      </w:r>
      <w:r w:rsidR="001E7BB0">
        <w:rPr>
          <w:rStyle w:val="nfasis"/>
          <w:rFonts w:ascii="Times New Roman" w:hAnsi="Times New Roman"/>
          <w:i w:val="0"/>
          <w:color w:val="0D0D0D" w:themeColor="text1" w:themeTint="F2"/>
          <w:sz w:val="22"/>
          <w:szCs w:val="22"/>
        </w:rPr>
        <w:t xml:space="preserve">1.466.192.470 </w:t>
      </w:r>
      <w:r w:rsidR="00CC3EDE" w:rsidRPr="00563C2C">
        <w:rPr>
          <w:rFonts w:ascii="Times New Roman" w:hAnsi="Times New Roman" w:cs="Times New Roman"/>
          <w:iCs/>
          <w:color w:val="0D0D0D" w:themeColor="text1" w:themeTint="F2"/>
          <w:sz w:val="22"/>
          <w:szCs w:val="22"/>
        </w:rPr>
        <w:t>(pesos</w:t>
      </w:r>
      <w:r w:rsidR="00CC3EDE">
        <w:rPr>
          <w:rFonts w:ascii="Times New Roman" w:hAnsi="Times New Roman" w:cs="Times New Roman"/>
          <w:iCs/>
          <w:color w:val="0D0D0D" w:themeColor="text1" w:themeTint="F2"/>
          <w:sz w:val="22"/>
          <w:szCs w:val="22"/>
        </w:rPr>
        <w:t xml:space="preserve"> </w:t>
      </w:r>
      <w:r w:rsidR="001E7BB0">
        <w:rPr>
          <w:rFonts w:ascii="Times New Roman" w:hAnsi="Times New Roman" w:cs="Times New Roman"/>
          <w:iCs/>
          <w:color w:val="0D0D0D" w:themeColor="text1" w:themeTint="F2"/>
          <w:sz w:val="22"/>
          <w:szCs w:val="22"/>
        </w:rPr>
        <w:t>mil cuatrocientos sesenta y seis millones ciento noventa y dos mil cuatrocientos setenta</w:t>
      </w:r>
      <w:r w:rsidR="00CC3EDE" w:rsidRPr="00563C2C">
        <w:rPr>
          <w:rFonts w:ascii="Times New Roman" w:hAnsi="Times New Roman" w:cs="Times New Roman"/>
          <w:iCs/>
          <w:color w:val="0D0D0D" w:themeColor="text1" w:themeTint="F2"/>
          <w:sz w:val="22"/>
          <w:szCs w:val="22"/>
        </w:rPr>
        <w:t>)</w:t>
      </w:r>
      <w:r w:rsidR="00A406A8" w:rsidRPr="008B73F7">
        <w:rPr>
          <w:rFonts w:ascii="Times New Roman" w:hAnsi="Times New Roman" w:cs="Times New Roman"/>
          <w:bCs/>
          <w:iCs/>
          <w:color w:val="0D0D0D" w:themeColor="text1" w:themeTint="F2"/>
          <w:sz w:val="22"/>
          <w:szCs w:val="22"/>
        </w:rPr>
        <w:t>.</w:t>
      </w:r>
      <w:r w:rsidR="009A050F" w:rsidRPr="008B73F7">
        <w:t xml:space="preserve"> </w:t>
      </w:r>
      <w:r w:rsidRPr="008B73F7">
        <w:rPr>
          <w:rFonts w:ascii="Times New Roman" w:hAnsi="Times New Roman" w:cs="Times New Roman"/>
          <w:iCs/>
          <w:color w:val="0D0D0D" w:themeColor="text1" w:themeTint="F2"/>
          <w:sz w:val="22"/>
          <w:szCs w:val="22"/>
        </w:rPr>
        <w:t>A partir</w:t>
      </w:r>
      <w:r w:rsidRPr="002872AD">
        <w:rPr>
          <w:rFonts w:ascii="Times New Roman" w:hAnsi="Times New Roman" w:cs="Times New Roman"/>
          <w:iCs/>
          <w:color w:val="0D0D0D" w:themeColor="text1" w:themeTint="F2"/>
          <w:sz w:val="22"/>
          <w:szCs w:val="22"/>
        </w:rPr>
        <w:t xml:space="preserve"> de la Fecha de Corte, el ingreso por devengamiento del Valor Fideicomitido de la cartera</w:t>
      </w:r>
      <w:r w:rsidRPr="002A3C02">
        <w:rPr>
          <w:rFonts w:ascii="Times New Roman" w:hAnsi="Times New Roman" w:cs="Times New Roman"/>
          <w:iCs/>
          <w:color w:val="0D0D0D" w:themeColor="text1" w:themeTint="F2"/>
          <w:sz w:val="22"/>
          <w:szCs w:val="22"/>
        </w:rPr>
        <w:t xml:space="preserve"> fideicomitida corresponde al Fideicomiso y fue fijada en el </w:t>
      </w:r>
      <w:r w:rsidRPr="002004DC">
        <w:rPr>
          <w:rFonts w:ascii="Times New Roman" w:hAnsi="Times New Roman" w:cs="Times New Roman"/>
          <w:iCs/>
          <w:color w:val="0D0D0D" w:themeColor="text1" w:themeTint="F2"/>
          <w:sz w:val="22"/>
          <w:szCs w:val="22"/>
        </w:rPr>
        <w:t>día</w:t>
      </w:r>
      <w:r w:rsidR="006E760C" w:rsidRPr="002004DC">
        <w:rPr>
          <w:rFonts w:ascii="Times New Roman" w:hAnsi="Times New Roman" w:cs="Times New Roman"/>
          <w:bCs/>
          <w:iCs/>
          <w:color w:val="0D0D0D" w:themeColor="text1" w:themeTint="F2"/>
          <w:sz w:val="22"/>
          <w:szCs w:val="22"/>
        </w:rPr>
        <w:t xml:space="preserve"> </w:t>
      </w:r>
      <w:r w:rsidR="00826738">
        <w:rPr>
          <w:rFonts w:ascii="Times New Roman" w:hAnsi="Times New Roman" w:cs="Times New Roman"/>
          <w:bCs/>
          <w:iCs/>
          <w:color w:val="0D0D0D" w:themeColor="text1" w:themeTint="F2"/>
          <w:sz w:val="22"/>
          <w:szCs w:val="22"/>
        </w:rPr>
        <w:t>31</w:t>
      </w:r>
      <w:r w:rsidR="00B75F62" w:rsidRPr="00EA5C6B">
        <w:rPr>
          <w:rFonts w:ascii="Times New Roman" w:hAnsi="Times New Roman" w:cs="Times New Roman"/>
          <w:bCs/>
          <w:iCs/>
          <w:color w:val="0D0D0D" w:themeColor="text1" w:themeTint="F2"/>
          <w:sz w:val="22"/>
          <w:szCs w:val="22"/>
        </w:rPr>
        <w:t xml:space="preserve"> de </w:t>
      </w:r>
      <w:r w:rsidR="00826738">
        <w:rPr>
          <w:rFonts w:ascii="Times New Roman" w:hAnsi="Times New Roman" w:cs="Times New Roman"/>
          <w:bCs/>
          <w:iCs/>
          <w:color w:val="0D0D0D" w:themeColor="text1" w:themeTint="F2"/>
          <w:sz w:val="22"/>
          <w:szCs w:val="22"/>
        </w:rPr>
        <w:t>octubre</w:t>
      </w:r>
      <w:r w:rsidR="00B75F62">
        <w:rPr>
          <w:rFonts w:ascii="Times New Roman" w:hAnsi="Times New Roman" w:cs="Times New Roman"/>
          <w:bCs/>
          <w:iCs/>
          <w:color w:val="0D0D0D" w:themeColor="text1" w:themeTint="F2"/>
          <w:sz w:val="22"/>
          <w:szCs w:val="22"/>
        </w:rPr>
        <w:t xml:space="preserve"> </w:t>
      </w:r>
      <w:r w:rsidRPr="002004DC">
        <w:rPr>
          <w:rFonts w:ascii="Times New Roman" w:hAnsi="Times New Roman" w:cs="Times New Roman"/>
          <w:iCs/>
          <w:color w:val="0D0D0D" w:themeColor="text1" w:themeTint="F2"/>
          <w:sz w:val="22"/>
          <w:szCs w:val="22"/>
        </w:rPr>
        <w:t>de 20</w:t>
      </w:r>
      <w:r w:rsidR="00EE42B9" w:rsidRPr="002004DC">
        <w:rPr>
          <w:rFonts w:ascii="Times New Roman" w:hAnsi="Times New Roman" w:cs="Times New Roman"/>
          <w:iCs/>
          <w:color w:val="0D0D0D" w:themeColor="text1" w:themeTint="F2"/>
          <w:sz w:val="22"/>
          <w:szCs w:val="22"/>
        </w:rPr>
        <w:t>2</w:t>
      </w:r>
      <w:r w:rsidR="00B87B0D" w:rsidRPr="002004DC">
        <w:rPr>
          <w:rFonts w:ascii="Times New Roman" w:hAnsi="Times New Roman" w:cs="Times New Roman"/>
          <w:iCs/>
          <w:color w:val="0D0D0D" w:themeColor="text1" w:themeTint="F2"/>
          <w:sz w:val="22"/>
          <w:szCs w:val="22"/>
        </w:rPr>
        <w:t>3</w:t>
      </w:r>
      <w:r w:rsidRPr="002872AD">
        <w:rPr>
          <w:rFonts w:ascii="Times New Roman" w:hAnsi="Times New Roman" w:cs="Times New Roman"/>
          <w:iCs/>
          <w:color w:val="0D0D0D" w:themeColor="text1" w:themeTint="F2"/>
          <w:sz w:val="22"/>
          <w:szCs w:val="22"/>
        </w:rPr>
        <w:t>. Los</w:t>
      </w:r>
      <w:r w:rsidRPr="006E760C">
        <w:rPr>
          <w:rFonts w:ascii="Times New Roman" w:hAnsi="Times New Roman" w:cs="Times New Roman"/>
          <w:iCs/>
          <w:color w:val="0D0D0D" w:themeColor="text1" w:themeTint="F2"/>
          <w:sz w:val="22"/>
          <w:szCs w:val="22"/>
        </w:rPr>
        <w:t xml:space="preserve"> bienes del Fiduciario y los de</w:t>
      </w:r>
      <w:r w:rsidR="006E36BA" w:rsidRPr="002A3C02">
        <w:rPr>
          <w:rFonts w:ascii="Times New Roman" w:hAnsi="Times New Roman" w:cs="Times New Roman"/>
          <w:iCs/>
          <w:color w:val="0D0D0D" w:themeColor="text1" w:themeTint="F2"/>
          <w:sz w:val="22"/>
          <w:szCs w:val="22"/>
        </w:rPr>
        <w:t xml:space="preserve"> </w:t>
      </w:r>
      <w:r w:rsidRPr="00B63AC7">
        <w:rPr>
          <w:rFonts w:ascii="Times New Roman" w:hAnsi="Times New Roman" w:cs="Times New Roman"/>
          <w:iCs/>
          <w:color w:val="0D0D0D" w:themeColor="text1" w:themeTint="F2"/>
          <w:sz w:val="22"/>
          <w:szCs w:val="22"/>
        </w:rPr>
        <w:t>l</w:t>
      </w:r>
      <w:r w:rsidR="006E36BA" w:rsidRPr="006E760C">
        <w:rPr>
          <w:rFonts w:ascii="Times New Roman" w:hAnsi="Times New Roman" w:cs="Times New Roman"/>
          <w:iCs/>
          <w:color w:val="0D0D0D" w:themeColor="text1" w:themeTint="F2"/>
          <w:sz w:val="22"/>
          <w:szCs w:val="22"/>
        </w:rPr>
        <w:t>os</w:t>
      </w:r>
      <w:r w:rsidRPr="006E760C">
        <w:rPr>
          <w:rFonts w:ascii="Times New Roman" w:hAnsi="Times New Roman" w:cs="Times New Roman"/>
          <w:iCs/>
          <w:color w:val="0D0D0D" w:themeColor="text1" w:themeTint="F2"/>
          <w:sz w:val="22"/>
          <w:szCs w:val="22"/>
        </w:rPr>
        <w:t xml:space="preserve"> Fiduciante</w:t>
      </w:r>
      <w:r w:rsidR="006E36BA" w:rsidRPr="006E760C">
        <w:rPr>
          <w:rFonts w:ascii="Times New Roman" w:hAnsi="Times New Roman" w:cs="Times New Roman"/>
          <w:iCs/>
          <w:color w:val="0D0D0D" w:themeColor="text1" w:themeTint="F2"/>
          <w:sz w:val="22"/>
          <w:szCs w:val="22"/>
        </w:rPr>
        <w:t>s</w:t>
      </w:r>
      <w:r w:rsidRPr="006E760C">
        <w:rPr>
          <w:rFonts w:ascii="Times New Roman" w:hAnsi="Times New Roman" w:cs="Times New Roman"/>
          <w:iCs/>
          <w:color w:val="0D0D0D" w:themeColor="text1" w:themeTint="F2"/>
          <w:sz w:val="22"/>
          <w:szCs w:val="22"/>
        </w:rPr>
        <w:t xml:space="preserve"> no responderán por las obligaciones contraídas en la ejecución</w:t>
      </w:r>
      <w:r w:rsidRPr="00506990">
        <w:rPr>
          <w:rFonts w:ascii="Times New Roman" w:hAnsi="Times New Roman" w:cs="Times New Roman"/>
          <w:iCs/>
          <w:color w:val="0D0D0D" w:themeColor="text1" w:themeTint="F2"/>
          <w:sz w:val="22"/>
          <w:szCs w:val="22"/>
        </w:rPr>
        <w:t xml:space="preserve"> del Fideicomiso. Estas obligaciones serán exclusivamente satisfechas con los Bienes Fideicomitidos, conforme lo dispone el artículo 1687 del Código Civil y Comercial de la Nación.</w:t>
      </w:r>
    </w:p>
    <w:p w14:paraId="0D83C4B9"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131EADF3" w14:textId="7F07E833" w:rsidR="0050339C" w:rsidRPr="00506990" w:rsidRDefault="0050339C" w:rsidP="0050339C">
      <w:pPr>
        <w:widowControl w:val="0"/>
        <w:suppressAutoHyphens/>
        <w:rPr>
          <w:rStyle w:val="Textoennegrita"/>
          <w:rFonts w:ascii="Times New Roman" w:hAnsi="Times New Roman"/>
          <w:b w:val="0"/>
          <w:bCs w:val="0"/>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1.2. Plazo del Fideicomiso. </w:t>
      </w: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151843">
        <w:rPr>
          <w:rFonts w:ascii="Times New Roman" w:hAnsi="Times New Roman"/>
          <w:color w:val="0D0D0D" w:themeColor="text1" w:themeTint="F2"/>
          <w:sz w:val="22"/>
          <w:lang w:val="es-AR"/>
        </w:rPr>
        <w:t>Valores de Deuda Fiduciaria</w:t>
      </w:r>
      <w:r w:rsidR="0011317D">
        <w:rPr>
          <w:rStyle w:val="Textoennegrita"/>
          <w:rFonts w:ascii="Times New Roman" w:hAnsi="Times New Roman"/>
          <w:b w:val="0"/>
          <w:bCs w:val="0"/>
          <w:iCs/>
          <w:color w:val="0D0D0D" w:themeColor="text1" w:themeTint="F2"/>
          <w:sz w:val="22"/>
          <w:szCs w:val="22"/>
        </w:rPr>
        <w:t xml:space="preserve"> </w:t>
      </w:r>
      <w:r w:rsidRPr="00506990">
        <w:rPr>
          <w:rStyle w:val="Textoennegrita"/>
          <w:rFonts w:ascii="Times New Roman" w:hAnsi="Times New Roman"/>
          <w:b w:val="0"/>
          <w:bCs w:val="0"/>
          <w:iCs/>
          <w:color w:val="0D0D0D" w:themeColor="text1" w:themeTint="F2"/>
          <w:sz w:val="22"/>
          <w:szCs w:val="22"/>
        </w:rPr>
        <w:t>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aunque en ningún caso excederá el plazo establecido en el artículo 1668 del Código Civil y Comercial de la Nación.</w:t>
      </w:r>
    </w:p>
    <w:p w14:paraId="1B03F45C"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01C21FED" w14:textId="29E57739"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1.3. Créditos. </w:t>
      </w:r>
      <w:r w:rsidRPr="00506990">
        <w:rPr>
          <w:rFonts w:ascii="Times New Roman" w:hAnsi="Times New Roman" w:cs="Times New Roman"/>
          <w:iCs/>
          <w:color w:val="0D0D0D" w:themeColor="text1" w:themeTint="F2"/>
          <w:sz w:val="22"/>
          <w:szCs w:val="22"/>
        </w:rPr>
        <w:t>Los Créditos fideicomitidos fueron otorgados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tienen su origen en financiaciones de consumo y/o créditos personales instrumentados en facturas y en Pagarés, los que fueron transferidos al fideicomiso por instrumento separado. Los Pagarés fueron endosados sin recurso a favor de </w:t>
      </w:r>
      <w:r w:rsidRPr="00506990">
        <w:rPr>
          <w:rFonts w:ascii="Times New Roman" w:hAnsi="Times New Roman" w:cs="Times New Roman"/>
          <w:iCs/>
          <w:color w:val="0D0D0D" w:themeColor="text1" w:themeTint="F2"/>
          <w:sz w:val="22"/>
          <w:szCs w:val="22"/>
          <w:lang w:val="es-ES"/>
        </w:rPr>
        <w:t>Rosario Administradora Sociedad Fiduciaria</w:t>
      </w:r>
      <w:r w:rsidRPr="00506990">
        <w:rPr>
          <w:rFonts w:ascii="Times New Roman" w:hAnsi="Times New Roman" w:cs="Times New Roman"/>
          <w:iCs/>
          <w:color w:val="0D0D0D" w:themeColor="text1" w:themeTint="F2"/>
          <w:sz w:val="22"/>
          <w:szCs w:val="22"/>
        </w:rPr>
        <w:t xml:space="preserve"> S.A. en su carácter de Fiduciario. Sin perjuicio de ello, en cada Crédito figura, bajo firma del deudor, la posibilidad de transferirlo conforme al régimen especial establecido en los artículos 70 y concordantes de la ley 24.441. Los Créditos transferidos no observan atrasos mayores a 30 días a la Fecha de Selección </w:t>
      </w:r>
      <w:r w:rsidR="00D7280F" w:rsidRPr="00C82FC6">
        <w:rPr>
          <w:rFonts w:ascii="Times New Roman" w:hAnsi="Times New Roman" w:cs="Times New Roman"/>
          <w:iCs/>
          <w:color w:val="0D0D0D" w:themeColor="text1" w:themeTint="F2"/>
          <w:sz w:val="22"/>
          <w:szCs w:val="22"/>
        </w:rPr>
        <w:t>y los créditos que</w:t>
      </w:r>
      <w:r w:rsidRPr="00C82FC6">
        <w:rPr>
          <w:rFonts w:ascii="Times New Roman" w:hAnsi="Times New Roman" w:cs="Times New Roman"/>
          <w:iCs/>
          <w:color w:val="0D0D0D" w:themeColor="text1" w:themeTint="F2"/>
          <w:sz w:val="22"/>
          <w:szCs w:val="22"/>
        </w:rPr>
        <w:t xml:space="preserve"> son producto de</w:t>
      </w:r>
      <w:r w:rsidR="00D7280F" w:rsidRPr="00C82FC6">
        <w:rPr>
          <w:rFonts w:ascii="Times New Roman" w:hAnsi="Times New Roman" w:cs="Times New Roman"/>
          <w:iCs/>
          <w:color w:val="0D0D0D" w:themeColor="text1" w:themeTint="F2"/>
          <w:sz w:val="22"/>
          <w:szCs w:val="22"/>
        </w:rPr>
        <w:t xml:space="preserve"> </w:t>
      </w:r>
      <w:r w:rsidRPr="00C82FC6">
        <w:rPr>
          <w:rFonts w:ascii="Times New Roman" w:hAnsi="Times New Roman" w:cs="Times New Roman"/>
          <w:iCs/>
          <w:color w:val="0D0D0D" w:themeColor="text1" w:themeTint="F2"/>
          <w:sz w:val="22"/>
          <w:szCs w:val="22"/>
        </w:rPr>
        <w:t>refinanciación</w:t>
      </w:r>
      <w:r w:rsidR="00D7280F" w:rsidRPr="00C82FC6">
        <w:rPr>
          <w:rFonts w:ascii="Times New Roman" w:hAnsi="Times New Roman" w:cs="Times New Roman"/>
          <w:iCs/>
          <w:color w:val="0D0D0D" w:themeColor="text1" w:themeTint="F2"/>
          <w:sz w:val="22"/>
          <w:szCs w:val="22"/>
        </w:rPr>
        <w:t xml:space="preserve"> no </w:t>
      </w:r>
      <w:r w:rsidR="00D7280F" w:rsidRPr="002004DC">
        <w:rPr>
          <w:rFonts w:ascii="Times New Roman" w:hAnsi="Times New Roman" w:cs="Times New Roman"/>
          <w:iCs/>
          <w:color w:val="0D0D0D" w:themeColor="text1" w:themeTint="F2"/>
          <w:sz w:val="22"/>
          <w:szCs w:val="22"/>
        </w:rPr>
        <w:t>superan el</w:t>
      </w:r>
      <w:r w:rsidR="00930A75" w:rsidRPr="002004DC">
        <w:rPr>
          <w:rFonts w:ascii="Times New Roman" w:hAnsi="Times New Roman" w:cs="Times New Roman"/>
          <w:bCs/>
          <w:iCs/>
          <w:color w:val="0D0D0D" w:themeColor="text1" w:themeTint="F2"/>
          <w:sz w:val="22"/>
          <w:szCs w:val="22"/>
        </w:rPr>
        <w:t xml:space="preserve"> </w:t>
      </w:r>
      <w:r w:rsidR="00584E04">
        <w:rPr>
          <w:rFonts w:ascii="Times New Roman" w:hAnsi="Times New Roman" w:cs="Times New Roman"/>
          <w:bCs/>
          <w:iCs/>
          <w:color w:val="0D0D0D" w:themeColor="text1" w:themeTint="F2"/>
          <w:sz w:val="22"/>
          <w:szCs w:val="22"/>
        </w:rPr>
        <w:t>0,</w:t>
      </w:r>
      <w:r w:rsidR="00840115">
        <w:rPr>
          <w:rFonts w:ascii="Times New Roman" w:hAnsi="Times New Roman" w:cs="Times New Roman"/>
          <w:bCs/>
          <w:iCs/>
          <w:color w:val="0D0D0D" w:themeColor="text1" w:themeTint="F2"/>
          <w:sz w:val="22"/>
          <w:szCs w:val="22"/>
        </w:rPr>
        <w:t>4</w:t>
      </w:r>
      <w:r w:rsidR="00D7280F" w:rsidRPr="002004DC">
        <w:rPr>
          <w:rFonts w:ascii="Times New Roman" w:hAnsi="Times New Roman" w:cs="Times New Roman"/>
          <w:iCs/>
          <w:color w:val="0D0D0D" w:themeColor="text1" w:themeTint="F2"/>
          <w:sz w:val="22"/>
          <w:szCs w:val="22"/>
        </w:rPr>
        <w:t>% del total</w:t>
      </w:r>
      <w:r w:rsidR="00D7280F" w:rsidRPr="00C82FC6">
        <w:rPr>
          <w:rFonts w:ascii="Times New Roman" w:hAnsi="Times New Roman" w:cs="Times New Roman"/>
          <w:iCs/>
          <w:color w:val="0D0D0D" w:themeColor="text1" w:themeTint="F2"/>
          <w:sz w:val="22"/>
          <w:szCs w:val="22"/>
        </w:rPr>
        <w:t xml:space="preserve"> de la Cartera </w:t>
      </w:r>
      <w:r w:rsidRPr="00C82FC6">
        <w:rPr>
          <w:rFonts w:ascii="Times New Roman" w:hAnsi="Times New Roman" w:cs="Times New Roman"/>
          <w:iCs/>
          <w:color w:val="0D0D0D" w:themeColor="text1" w:themeTint="F2"/>
          <w:sz w:val="22"/>
          <w:szCs w:val="22"/>
        </w:rPr>
        <w:t>(los “Criterios de Elegibilidad”)</w:t>
      </w:r>
      <w:r w:rsidRPr="00506990">
        <w:rPr>
          <w:rFonts w:ascii="Times New Roman" w:hAnsi="Times New Roman" w:cs="Times New Roman"/>
          <w:iCs/>
          <w:color w:val="0D0D0D" w:themeColor="text1" w:themeTint="F2"/>
          <w:sz w:val="22"/>
          <w:szCs w:val="22"/>
        </w:rPr>
        <w:t xml:space="preserve">. La transferencia al Fideicomiso es equivalente a su </w:t>
      </w:r>
      <w:r w:rsidR="00BA3CC4" w:rsidRPr="00506990">
        <w:rPr>
          <w:rFonts w:ascii="Times New Roman" w:hAnsi="Times New Roman" w:cs="Times New Roman"/>
          <w:iCs/>
          <w:color w:val="0D0D0D" w:themeColor="text1" w:themeTint="F2"/>
          <w:sz w:val="22"/>
          <w:szCs w:val="22"/>
        </w:rPr>
        <w:t>Valor Fideicomitido</w:t>
      </w:r>
      <w:r w:rsidRPr="00506990">
        <w:rPr>
          <w:rFonts w:ascii="Times New Roman" w:hAnsi="Times New Roman" w:cs="Times New Roman"/>
          <w:iCs/>
          <w:color w:val="0D0D0D" w:themeColor="text1" w:themeTint="F2"/>
          <w:sz w:val="22"/>
          <w:szCs w:val="22"/>
        </w:rPr>
        <w:t xml:space="preserve">. </w:t>
      </w:r>
    </w:p>
    <w:p w14:paraId="0F4F8AE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90CEE1" w14:textId="77777777" w:rsidR="0050339C" w:rsidRPr="00506990" w:rsidRDefault="0050339C" w:rsidP="0050339C">
      <w:pPr>
        <w:suppressAutoHyphens/>
        <w:spacing w:line="240" w:lineRule="atLeast"/>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1.4. Adelanto de fondos por l</w:t>
      </w:r>
      <w:r w:rsidR="006E36BA"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6E36BA"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En cualquier momento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 adelantar fondos al Fideicomiso a fin de mantener el Flujo de Pagos de los Créditos, cuando hubiera atrasos en los pagos de las cuotas de los Créditos. Dichos adelantos no serán remunerados, y serán reintegrados cuando se obtuviera de los deudores de los Créditos el pago de las cuotas en mora, con los intereses correspondientes sobre dichas cuotas, y se hubieran cancelado totalmente los VDF</w:t>
      </w:r>
      <w:r w:rsidRPr="00506990">
        <w:rPr>
          <w:rFonts w:ascii="Times New Roman" w:hAnsi="Times New Roman" w:cs="Times New Roman"/>
          <w:color w:val="0D0D0D" w:themeColor="text1" w:themeTint="F2"/>
          <w:sz w:val="22"/>
          <w:szCs w:val="22"/>
        </w:rPr>
        <w:t>. Bajo ningún supuesto l</w:t>
      </w:r>
      <w:r w:rsidR="006E36BA"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6E36BA"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se encuentran obligados a adelantar fondos al Fideicomiso.</w:t>
      </w:r>
    </w:p>
    <w:p w14:paraId="435D947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78153D1E" w14:textId="6FDD0378"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1.5. Información contable.</w:t>
      </w:r>
      <w:r w:rsidRPr="00506990">
        <w:rPr>
          <w:rFonts w:ascii="Times New Roman" w:hAnsi="Times New Roman" w:cs="Times New Roman"/>
          <w:b/>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 xml:space="preserve">Los balances trimestrales y anuales del Fideicomiso (la “Información </w:t>
      </w:r>
      <w:r w:rsidRPr="00506990">
        <w:rPr>
          <w:rFonts w:ascii="Times New Roman" w:hAnsi="Times New Roman" w:cs="Times New Roman"/>
          <w:color w:val="0D0D0D" w:themeColor="text1" w:themeTint="F2"/>
          <w:sz w:val="22"/>
          <w:szCs w:val="22"/>
        </w:rPr>
        <w:t>Contable”)</w:t>
      </w:r>
      <w:r w:rsidRPr="00506990">
        <w:rPr>
          <w:rFonts w:ascii="Times New Roman" w:hAnsi="Times New Roman" w:cs="Times New Roman"/>
          <w:iCs/>
          <w:color w:val="0D0D0D" w:themeColor="text1" w:themeTint="F2"/>
          <w:sz w:val="22"/>
          <w:szCs w:val="22"/>
        </w:rPr>
        <w:t xml:space="preserve"> será rendida a los Beneficiarios exclusivamente a través de su publicación en </w:t>
      </w:r>
      <w:r w:rsidRPr="00506990">
        <w:rPr>
          <w:rFonts w:ascii="Times New Roman" w:hAnsi="Times New Roman" w:cs="Times New Roman"/>
          <w:color w:val="0D0D0D" w:themeColor="text1" w:themeTint="F2"/>
          <w:sz w:val="22"/>
          <w:szCs w:val="22"/>
        </w:rPr>
        <w:t xml:space="preserve">la AIF y en </w:t>
      </w:r>
      <w:r w:rsidRPr="00506990">
        <w:rPr>
          <w:rFonts w:ascii="Times New Roman" w:hAnsi="Times New Roman" w:cs="Times New Roman"/>
          <w:iCs/>
          <w:color w:val="0D0D0D" w:themeColor="text1" w:themeTint="F2"/>
          <w:sz w:val="22"/>
          <w:szCs w:val="22"/>
        </w:rPr>
        <w:t xml:space="preserve">los sistemas de información de los mercados autorizados donde listen y/o negocien los </w:t>
      </w:r>
      <w:r w:rsidR="00155E25" w:rsidRPr="00EE5CF2">
        <w:rPr>
          <w:rFonts w:ascii="Times New Roman" w:hAnsi="Times New Roman"/>
          <w:color w:val="0D0D0D" w:themeColor="text1" w:themeTint="F2"/>
          <w:sz w:val="22"/>
          <w:lang w:val="es-AR"/>
        </w:rPr>
        <w:t xml:space="preserve">Valores </w:t>
      </w:r>
      <w:r w:rsidR="0011317D">
        <w:rPr>
          <w:rFonts w:ascii="Times New Roman" w:hAnsi="Times New Roman"/>
          <w:color w:val="0D0D0D" w:themeColor="text1" w:themeTint="F2"/>
          <w:sz w:val="22"/>
          <w:lang w:val="es-AR"/>
        </w:rPr>
        <w:t>Fiduciarios</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en cumplimiento del régimen informativo previsto en las NORMAS de la CNV.</w:t>
      </w:r>
      <w:r w:rsidRPr="00506990" w:rsidDel="003E7559">
        <w:rPr>
          <w:rFonts w:ascii="Times New Roman" w:hAnsi="Times New Roman" w:cs="Times New Roman"/>
          <w:color w:val="0D0D0D" w:themeColor="text1" w:themeTint="F2"/>
          <w:sz w:val="22"/>
          <w:szCs w:val="22"/>
        </w:rPr>
        <w:t xml:space="preserve"> </w:t>
      </w:r>
    </w:p>
    <w:p w14:paraId="61D6A85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3045EE2" w14:textId="1D1F2B98" w:rsidR="0050339C" w:rsidRPr="00567C27" w:rsidRDefault="0050339C" w:rsidP="0050339C">
      <w:pPr>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1.6. Contribuciones al </w:t>
      </w:r>
      <w:r w:rsidRPr="00241CD4">
        <w:rPr>
          <w:rFonts w:ascii="Times New Roman" w:hAnsi="Times New Roman" w:cs="Times New Roman"/>
          <w:b/>
          <w:bCs/>
          <w:iCs/>
          <w:color w:val="0D0D0D" w:themeColor="text1" w:themeTint="F2"/>
          <w:sz w:val="22"/>
          <w:szCs w:val="22"/>
        </w:rPr>
        <w:t xml:space="preserve">Fondo de Gastos.  (i) </w:t>
      </w:r>
      <w:r w:rsidR="00463985" w:rsidRPr="00241CD4">
        <w:rPr>
          <w:rFonts w:ascii="Times New Roman" w:hAnsi="Times New Roman" w:cs="Times New Roman"/>
          <w:bCs/>
          <w:iCs/>
          <w:color w:val="0D0D0D" w:themeColor="text1" w:themeTint="F2"/>
          <w:sz w:val="22"/>
          <w:szCs w:val="22"/>
        </w:rPr>
        <w:t>L</w:t>
      </w:r>
      <w:r w:rsidR="006E36BA" w:rsidRPr="00241CD4">
        <w:rPr>
          <w:rFonts w:ascii="Times New Roman" w:hAnsi="Times New Roman" w:cs="Times New Roman"/>
          <w:bCs/>
          <w:iCs/>
          <w:color w:val="0D0D0D" w:themeColor="text1" w:themeTint="F2"/>
          <w:sz w:val="22"/>
          <w:szCs w:val="22"/>
        </w:rPr>
        <w:t>os</w:t>
      </w:r>
      <w:r w:rsidRPr="00241CD4">
        <w:rPr>
          <w:rFonts w:ascii="Times New Roman" w:hAnsi="Times New Roman" w:cs="Times New Roman"/>
          <w:bCs/>
          <w:iCs/>
          <w:color w:val="0D0D0D" w:themeColor="text1" w:themeTint="F2"/>
          <w:sz w:val="22"/>
          <w:szCs w:val="22"/>
        </w:rPr>
        <w:t xml:space="preserve"> Fiduciante</w:t>
      </w:r>
      <w:r w:rsidR="006E36BA" w:rsidRPr="00241CD4">
        <w:rPr>
          <w:rFonts w:ascii="Times New Roman" w:hAnsi="Times New Roman" w:cs="Times New Roman"/>
          <w:bCs/>
          <w:iCs/>
          <w:color w:val="0D0D0D" w:themeColor="text1" w:themeTint="F2"/>
          <w:sz w:val="22"/>
          <w:szCs w:val="22"/>
        </w:rPr>
        <w:t>s</w:t>
      </w:r>
      <w:r w:rsidRPr="00241CD4">
        <w:rPr>
          <w:rFonts w:ascii="Times New Roman" w:hAnsi="Times New Roman" w:cs="Times New Roman"/>
          <w:bCs/>
          <w:iCs/>
          <w:color w:val="0D0D0D" w:themeColor="text1" w:themeTint="F2"/>
          <w:sz w:val="22"/>
          <w:szCs w:val="22"/>
        </w:rPr>
        <w:t xml:space="preserve"> adelantará</w:t>
      </w:r>
      <w:r w:rsidR="006E36BA" w:rsidRPr="00241CD4">
        <w:rPr>
          <w:rFonts w:ascii="Times New Roman" w:hAnsi="Times New Roman" w:cs="Times New Roman"/>
          <w:bCs/>
          <w:iCs/>
          <w:color w:val="0D0D0D" w:themeColor="text1" w:themeTint="F2"/>
          <w:sz w:val="22"/>
          <w:szCs w:val="22"/>
        </w:rPr>
        <w:t>n</w:t>
      </w:r>
      <w:r w:rsidRPr="00241CD4">
        <w:rPr>
          <w:rFonts w:ascii="Times New Roman" w:hAnsi="Times New Roman" w:cs="Times New Roman"/>
          <w:bCs/>
          <w:iCs/>
          <w:color w:val="0D0D0D" w:themeColor="text1" w:themeTint="F2"/>
          <w:sz w:val="22"/>
          <w:szCs w:val="22"/>
        </w:rPr>
        <w:t xml:space="preserve"> a mero requerimiento del </w:t>
      </w:r>
      <w:r w:rsidRPr="00567C27">
        <w:rPr>
          <w:rFonts w:ascii="Times New Roman" w:hAnsi="Times New Roman" w:cs="Times New Roman"/>
          <w:bCs/>
          <w:iCs/>
          <w:color w:val="0D0D0D" w:themeColor="text1" w:themeTint="F2"/>
          <w:sz w:val="22"/>
          <w:szCs w:val="22"/>
        </w:rPr>
        <w:t xml:space="preserve">Fiduciario la suma de </w:t>
      </w:r>
      <w:r w:rsidR="00A1210B" w:rsidRPr="00567C27">
        <w:rPr>
          <w:rFonts w:ascii="Times New Roman" w:hAnsi="Times New Roman" w:cs="Times New Roman"/>
          <w:bCs/>
          <w:iCs/>
          <w:color w:val="0D0D0D" w:themeColor="text1" w:themeTint="F2"/>
          <w:sz w:val="22"/>
          <w:szCs w:val="22"/>
        </w:rPr>
        <w:t>$ 350.000.-</w:t>
      </w:r>
      <w:r w:rsidRPr="00567C27">
        <w:rPr>
          <w:rFonts w:ascii="Times New Roman" w:hAnsi="Times New Roman" w:cs="Times New Roman"/>
          <w:bCs/>
          <w:iCs/>
          <w:color w:val="0D0D0D" w:themeColor="text1" w:themeTint="F2"/>
          <w:sz w:val="22"/>
          <w:szCs w:val="22"/>
        </w:rPr>
        <w:t xml:space="preserve"> (</w:t>
      </w:r>
      <w:r w:rsidR="00075041" w:rsidRPr="00567C27">
        <w:rPr>
          <w:rFonts w:ascii="Times New Roman" w:hAnsi="Times New Roman" w:cs="Times New Roman"/>
          <w:bCs/>
          <w:iCs/>
          <w:color w:val="0D0D0D" w:themeColor="text1" w:themeTint="F2"/>
          <w:sz w:val="22"/>
          <w:szCs w:val="22"/>
        </w:rPr>
        <w:t>P</w:t>
      </w:r>
      <w:r w:rsidRPr="00567C27">
        <w:rPr>
          <w:rFonts w:ascii="Times New Roman" w:hAnsi="Times New Roman" w:cs="Times New Roman"/>
          <w:bCs/>
          <w:iCs/>
          <w:color w:val="0D0D0D" w:themeColor="text1" w:themeTint="F2"/>
          <w:sz w:val="22"/>
          <w:szCs w:val="22"/>
        </w:rPr>
        <w:t xml:space="preserve">esos </w:t>
      </w:r>
      <w:r w:rsidR="00075041" w:rsidRPr="00567C27">
        <w:rPr>
          <w:rFonts w:ascii="Times New Roman" w:hAnsi="Times New Roman" w:cs="Times New Roman"/>
          <w:bCs/>
          <w:iCs/>
          <w:color w:val="0D0D0D" w:themeColor="text1" w:themeTint="F2"/>
          <w:sz w:val="22"/>
          <w:szCs w:val="22"/>
        </w:rPr>
        <w:t>trescientos cincuenta</w:t>
      </w:r>
      <w:r w:rsidRPr="00567C27">
        <w:rPr>
          <w:rFonts w:ascii="Times New Roman" w:hAnsi="Times New Roman" w:cs="Times New Roman"/>
          <w:bCs/>
          <w:iCs/>
          <w:color w:val="0D0D0D" w:themeColor="text1" w:themeTint="F2"/>
          <w:sz w:val="22"/>
          <w:szCs w:val="22"/>
        </w:rPr>
        <w:t xml:space="preserve"> mil) para imputarlo a un fondo de gastos (el “Fondo de Gastos”), el cual se destinará a cancelar los Gastos del Fideicomiso hasta el monto indicado. En cualquier momento en que el Fondo de Gastos se reduzca hasta representar un importe menor al nivel del Fondo de Gastos, se detraerá de los fondos percibidos de los Créditos y asignados a pagar los Servicios el monto necesario para restablecerlo. Cuando (i) a juicio del Fiduciario el monto acumulado en dicho Fondo alcanzare para pagar la totalidad de los Gastos Deducibles o (ii) finalice el Fideicomiso, el Fondo será liberado a favor de</w:t>
      </w:r>
      <w:r w:rsidR="006E36BA" w:rsidRPr="00567C27">
        <w:rPr>
          <w:rFonts w:ascii="Times New Roman" w:hAnsi="Times New Roman" w:cs="Times New Roman"/>
          <w:bCs/>
          <w:iCs/>
          <w:color w:val="0D0D0D" w:themeColor="text1" w:themeTint="F2"/>
          <w:sz w:val="22"/>
          <w:szCs w:val="22"/>
        </w:rPr>
        <w:t xml:space="preserve"> </w:t>
      </w:r>
      <w:r w:rsidRPr="00567C27">
        <w:rPr>
          <w:rFonts w:ascii="Times New Roman" w:hAnsi="Times New Roman" w:cs="Times New Roman"/>
          <w:bCs/>
          <w:iCs/>
          <w:color w:val="0D0D0D" w:themeColor="text1" w:themeTint="F2"/>
          <w:sz w:val="22"/>
          <w:szCs w:val="22"/>
        </w:rPr>
        <w:t>l</w:t>
      </w:r>
      <w:r w:rsidR="006E36BA" w:rsidRPr="00567C27">
        <w:rPr>
          <w:rFonts w:ascii="Times New Roman" w:hAnsi="Times New Roman" w:cs="Times New Roman"/>
          <w:bCs/>
          <w:iCs/>
          <w:color w:val="0D0D0D" w:themeColor="text1" w:themeTint="F2"/>
          <w:sz w:val="22"/>
          <w:szCs w:val="22"/>
        </w:rPr>
        <w:t>os</w:t>
      </w:r>
      <w:r w:rsidRPr="00567C27">
        <w:rPr>
          <w:rFonts w:ascii="Times New Roman" w:hAnsi="Times New Roman" w:cs="Times New Roman"/>
          <w:bCs/>
          <w:iCs/>
          <w:color w:val="0D0D0D" w:themeColor="text1" w:themeTint="F2"/>
          <w:sz w:val="22"/>
          <w:szCs w:val="22"/>
        </w:rPr>
        <w:t xml:space="preserve"> Fiduciante</w:t>
      </w:r>
      <w:r w:rsidR="006E36BA" w:rsidRPr="00567C27">
        <w:rPr>
          <w:rFonts w:ascii="Times New Roman" w:hAnsi="Times New Roman" w:cs="Times New Roman"/>
          <w:bCs/>
          <w:iCs/>
          <w:color w:val="0D0D0D" w:themeColor="text1" w:themeTint="F2"/>
          <w:sz w:val="22"/>
          <w:szCs w:val="22"/>
        </w:rPr>
        <w:t>s</w:t>
      </w:r>
      <w:r w:rsidRPr="00567C27">
        <w:rPr>
          <w:rFonts w:ascii="Times New Roman" w:hAnsi="Times New Roman" w:cs="Times New Roman"/>
          <w:bCs/>
          <w:iCs/>
          <w:color w:val="0D0D0D" w:themeColor="text1" w:themeTint="F2"/>
          <w:sz w:val="22"/>
          <w:szCs w:val="22"/>
        </w:rPr>
        <w:t xml:space="preserve">, hasta el límite de lo transferido. </w:t>
      </w:r>
      <w:r w:rsidRPr="00567C27">
        <w:rPr>
          <w:rFonts w:ascii="Times New Roman" w:hAnsi="Times New Roman" w:cs="Times New Roman"/>
          <w:b/>
          <w:bCs/>
          <w:iCs/>
          <w:color w:val="0D0D0D" w:themeColor="text1" w:themeTint="F2"/>
          <w:sz w:val="22"/>
          <w:szCs w:val="22"/>
        </w:rPr>
        <w:t>(ii)</w:t>
      </w:r>
      <w:r w:rsidRPr="00567C27">
        <w:rPr>
          <w:rFonts w:ascii="Times New Roman" w:hAnsi="Times New Roman" w:cs="Times New Roman"/>
          <w:bCs/>
          <w:iCs/>
          <w:color w:val="0D0D0D" w:themeColor="text1" w:themeTint="F2"/>
          <w:sz w:val="22"/>
          <w:szCs w:val="22"/>
        </w:rPr>
        <w:t xml:space="preserve"> Por su parte, l</w:t>
      </w:r>
      <w:r w:rsidR="006E36BA" w:rsidRPr="00567C27">
        <w:rPr>
          <w:rFonts w:ascii="Times New Roman" w:hAnsi="Times New Roman" w:cs="Times New Roman"/>
          <w:bCs/>
          <w:iCs/>
          <w:color w:val="0D0D0D" w:themeColor="text1" w:themeTint="F2"/>
          <w:sz w:val="22"/>
          <w:szCs w:val="22"/>
        </w:rPr>
        <w:t>os</w:t>
      </w:r>
      <w:r w:rsidRPr="00567C27">
        <w:rPr>
          <w:rFonts w:ascii="Times New Roman" w:hAnsi="Times New Roman" w:cs="Times New Roman"/>
          <w:bCs/>
          <w:iCs/>
          <w:color w:val="0D0D0D" w:themeColor="text1" w:themeTint="F2"/>
          <w:sz w:val="22"/>
          <w:szCs w:val="22"/>
        </w:rPr>
        <w:t xml:space="preserve"> Fiduciante</w:t>
      </w:r>
      <w:r w:rsidR="006E36BA" w:rsidRPr="00567C27">
        <w:rPr>
          <w:rFonts w:ascii="Times New Roman" w:hAnsi="Times New Roman" w:cs="Times New Roman"/>
          <w:bCs/>
          <w:iCs/>
          <w:color w:val="0D0D0D" w:themeColor="text1" w:themeTint="F2"/>
          <w:sz w:val="22"/>
          <w:szCs w:val="22"/>
        </w:rPr>
        <w:t>s</w:t>
      </w:r>
      <w:r w:rsidRPr="00567C27">
        <w:rPr>
          <w:rFonts w:ascii="Times New Roman" w:hAnsi="Times New Roman" w:cs="Times New Roman"/>
          <w:bCs/>
          <w:iCs/>
          <w:color w:val="0D0D0D" w:themeColor="text1" w:themeTint="F2"/>
          <w:sz w:val="22"/>
          <w:szCs w:val="22"/>
        </w:rPr>
        <w:t xml:space="preserve"> ha</w:t>
      </w:r>
      <w:r w:rsidR="006E36BA" w:rsidRPr="00567C27">
        <w:rPr>
          <w:rFonts w:ascii="Times New Roman" w:hAnsi="Times New Roman" w:cs="Times New Roman"/>
          <w:bCs/>
          <w:iCs/>
          <w:color w:val="0D0D0D" w:themeColor="text1" w:themeTint="F2"/>
          <w:sz w:val="22"/>
          <w:szCs w:val="22"/>
        </w:rPr>
        <w:t>n</w:t>
      </w:r>
      <w:r w:rsidRPr="00567C27">
        <w:rPr>
          <w:rFonts w:ascii="Times New Roman" w:hAnsi="Times New Roman" w:cs="Times New Roman"/>
          <w:bCs/>
          <w:iCs/>
          <w:color w:val="0D0D0D" w:themeColor="text1" w:themeTint="F2"/>
          <w:sz w:val="22"/>
          <w:szCs w:val="22"/>
        </w:rPr>
        <w:t xml:space="preserve"> afrontado y afrontará</w:t>
      </w:r>
      <w:r w:rsidR="006E36BA" w:rsidRPr="00567C27">
        <w:rPr>
          <w:rFonts w:ascii="Times New Roman" w:hAnsi="Times New Roman" w:cs="Times New Roman"/>
          <w:bCs/>
          <w:iCs/>
          <w:color w:val="0D0D0D" w:themeColor="text1" w:themeTint="F2"/>
          <w:sz w:val="22"/>
          <w:szCs w:val="22"/>
        </w:rPr>
        <w:t>n</w:t>
      </w:r>
      <w:r w:rsidRPr="00567C27">
        <w:rPr>
          <w:rFonts w:ascii="Times New Roman" w:hAnsi="Times New Roman" w:cs="Times New Roman"/>
          <w:bCs/>
          <w:iCs/>
          <w:color w:val="0D0D0D" w:themeColor="text1" w:themeTint="F2"/>
          <w:sz w:val="22"/>
          <w:szCs w:val="22"/>
        </w:rPr>
        <w:t xml:space="preserve"> gastos que corresponden ser imputados al Fideicomiso, como ser la retribución de la calificadora de riesgo, honorarios de los asesores legales y financieros, gastos de colocación etc., (los “Gastos Afrontados por l</w:t>
      </w:r>
      <w:r w:rsidR="006E36BA" w:rsidRPr="00567C27">
        <w:rPr>
          <w:rFonts w:ascii="Times New Roman" w:hAnsi="Times New Roman" w:cs="Times New Roman"/>
          <w:bCs/>
          <w:iCs/>
          <w:color w:val="0D0D0D" w:themeColor="text1" w:themeTint="F2"/>
          <w:sz w:val="22"/>
          <w:szCs w:val="22"/>
        </w:rPr>
        <w:t>os</w:t>
      </w:r>
      <w:r w:rsidRPr="00567C27">
        <w:rPr>
          <w:rFonts w:ascii="Times New Roman" w:hAnsi="Times New Roman" w:cs="Times New Roman"/>
          <w:bCs/>
          <w:iCs/>
          <w:color w:val="0D0D0D" w:themeColor="text1" w:themeTint="F2"/>
          <w:sz w:val="22"/>
          <w:szCs w:val="22"/>
        </w:rPr>
        <w:t xml:space="preserve"> Fiduciante</w:t>
      </w:r>
      <w:r w:rsidR="006E36BA" w:rsidRPr="00567C27">
        <w:rPr>
          <w:rFonts w:ascii="Times New Roman" w:hAnsi="Times New Roman" w:cs="Times New Roman"/>
          <w:bCs/>
          <w:iCs/>
          <w:color w:val="0D0D0D" w:themeColor="text1" w:themeTint="F2"/>
          <w:sz w:val="22"/>
          <w:szCs w:val="22"/>
        </w:rPr>
        <w:t>s</w:t>
      </w:r>
      <w:r w:rsidRPr="00567C27">
        <w:rPr>
          <w:rFonts w:ascii="Times New Roman" w:hAnsi="Times New Roman" w:cs="Times New Roman"/>
          <w:bCs/>
          <w:iCs/>
          <w:color w:val="0D0D0D" w:themeColor="text1" w:themeTint="F2"/>
          <w:sz w:val="22"/>
          <w:szCs w:val="22"/>
        </w:rPr>
        <w:t>”), que resultarán de los comprobantes que l</w:t>
      </w:r>
      <w:r w:rsidR="006E36BA" w:rsidRPr="00567C27">
        <w:rPr>
          <w:rFonts w:ascii="Times New Roman" w:hAnsi="Times New Roman" w:cs="Times New Roman"/>
          <w:bCs/>
          <w:iCs/>
          <w:color w:val="0D0D0D" w:themeColor="text1" w:themeTint="F2"/>
          <w:sz w:val="22"/>
          <w:szCs w:val="22"/>
        </w:rPr>
        <w:t>os</w:t>
      </w:r>
      <w:r w:rsidRPr="00567C27">
        <w:rPr>
          <w:rFonts w:ascii="Times New Roman" w:hAnsi="Times New Roman" w:cs="Times New Roman"/>
          <w:bCs/>
          <w:iCs/>
          <w:color w:val="0D0D0D" w:themeColor="text1" w:themeTint="F2"/>
          <w:sz w:val="22"/>
          <w:szCs w:val="22"/>
        </w:rPr>
        <w:t xml:space="preserve"> Fiduciante</w:t>
      </w:r>
      <w:r w:rsidR="006E36BA" w:rsidRPr="00567C27">
        <w:rPr>
          <w:rFonts w:ascii="Times New Roman" w:hAnsi="Times New Roman" w:cs="Times New Roman"/>
          <w:bCs/>
          <w:iCs/>
          <w:color w:val="0D0D0D" w:themeColor="text1" w:themeTint="F2"/>
          <w:sz w:val="22"/>
          <w:szCs w:val="22"/>
        </w:rPr>
        <w:t>s</w:t>
      </w:r>
      <w:r w:rsidRPr="00567C27">
        <w:rPr>
          <w:rFonts w:ascii="Times New Roman" w:hAnsi="Times New Roman" w:cs="Times New Roman"/>
          <w:bCs/>
          <w:iCs/>
          <w:color w:val="0D0D0D" w:themeColor="text1" w:themeTint="F2"/>
          <w:sz w:val="22"/>
          <w:szCs w:val="22"/>
        </w:rPr>
        <w:t xml:space="preserve"> presente</w:t>
      </w:r>
      <w:r w:rsidR="006E36BA" w:rsidRPr="00567C27">
        <w:rPr>
          <w:rFonts w:ascii="Times New Roman" w:hAnsi="Times New Roman" w:cs="Times New Roman"/>
          <w:bCs/>
          <w:iCs/>
          <w:color w:val="0D0D0D" w:themeColor="text1" w:themeTint="F2"/>
          <w:sz w:val="22"/>
          <w:szCs w:val="22"/>
        </w:rPr>
        <w:t>n</w:t>
      </w:r>
      <w:r w:rsidRPr="00567C27">
        <w:rPr>
          <w:rFonts w:ascii="Times New Roman" w:hAnsi="Times New Roman" w:cs="Times New Roman"/>
          <w:bCs/>
          <w:iCs/>
          <w:color w:val="0D0D0D" w:themeColor="text1" w:themeTint="F2"/>
          <w:sz w:val="22"/>
          <w:szCs w:val="22"/>
        </w:rPr>
        <w:t xml:space="preserve"> al Fiduciario. Cancelados los VDF y cubierto el Fondo de Gastos, la totalidad de los ingresos se destinarán a reintegrar a</w:t>
      </w:r>
      <w:r w:rsidR="002A2B1C" w:rsidRPr="00567C27">
        <w:rPr>
          <w:rFonts w:ascii="Times New Roman" w:hAnsi="Times New Roman" w:cs="Times New Roman"/>
          <w:bCs/>
          <w:iCs/>
          <w:color w:val="0D0D0D" w:themeColor="text1" w:themeTint="F2"/>
          <w:sz w:val="22"/>
          <w:szCs w:val="22"/>
        </w:rPr>
        <w:t xml:space="preserve"> </w:t>
      </w:r>
      <w:r w:rsidRPr="00567C27">
        <w:rPr>
          <w:rFonts w:ascii="Times New Roman" w:hAnsi="Times New Roman" w:cs="Times New Roman"/>
          <w:bCs/>
          <w:iCs/>
          <w:color w:val="0D0D0D" w:themeColor="text1" w:themeTint="F2"/>
          <w:sz w:val="22"/>
          <w:szCs w:val="22"/>
        </w:rPr>
        <w:t>l</w:t>
      </w:r>
      <w:r w:rsidR="002A2B1C" w:rsidRPr="00567C27">
        <w:rPr>
          <w:rFonts w:ascii="Times New Roman" w:hAnsi="Times New Roman" w:cs="Times New Roman"/>
          <w:bCs/>
          <w:iCs/>
          <w:color w:val="0D0D0D" w:themeColor="text1" w:themeTint="F2"/>
          <w:sz w:val="22"/>
          <w:szCs w:val="22"/>
        </w:rPr>
        <w:t>os</w:t>
      </w:r>
      <w:r w:rsidRPr="00567C27">
        <w:rPr>
          <w:rFonts w:ascii="Times New Roman" w:hAnsi="Times New Roman" w:cs="Times New Roman"/>
          <w:bCs/>
          <w:iCs/>
          <w:color w:val="0D0D0D" w:themeColor="text1" w:themeTint="F2"/>
          <w:sz w:val="22"/>
          <w:szCs w:val="22"/>
        </w:rPr>
        <w:t xml:space="preserve"> Fiduciante</w:t>
      </w:r>
      <w:r w:rsidR="002A2B1C" w:rsidRPr="00567C27">
        <w:rPr>
          <w:rFonts w:ascii="Times New Roman" w:hAnsi="Times New Roman" w:cs="Times New Roman"/>
          <w:bCs/>
          <w:iCs/>
          <w:color w:val="0D0D0D" w:themeColor="text1" w:themeTint="F2"/>
          <w:sz w:val="22"/>
          <w:szCs w:val="22"/>
        </w:rPr>
        <w:t>s</w:t>
      </w:r>
      <w:r w:rsidRPr="00567C27">
        <w:rPr>
          <w:rFonts w:ascii="Times New Roman" w:hAnsi="Times New Roman" w:cs="Times New Roman"/>
          <w:bCs/>
          <w:iCs/>
          <w:color w:val="0D0D0D" w:themeColor="text1" w:themeTint="F2"/>
          <w:sz w:val="22"/>
          <w:szCs w:val="22"/>
        </w:rPr>
        <w:t xml:space="preserve"> dichos Gastos</w:t>
      </w:r>
      <w:r w:rsidR="00F12DD8">
        <w:rPr>
          <w:rFonts w:ascii="Times New Roman" w:hAnsi="Times New Roman" w:cs="Times New Roman"/>
          <w:bCs/>
          <w:iCs/>
          <w:color w:val="0D0D0D" w:themeColor="text1" w:themeTint="F2"/>
          <w:sz w:val="22"/>
          <w:szCs w:val="22"/>
        </w:rPr>
        <w:t>.</w:t>
      </w:r>
    </w:p>
    <w:p w14:paraId="59B8B8B3" w14:textId="77777777" w:rsidR="0050339C" w:rsidRPr="00567C27" w:rsidRDefault="0050339C" w:rsidP="0050339C">
      <w:pPr>
        <w:suppressAutoHyphens/>
        <w:spacing w:line="240" w:lineRule="atLeast"/>
        <w:rPr>
          <w:rFonts w:ascii="Times New Roman" w:hAnsi="Times New Roman" w:cs="Times New Roman"/>
          <w:iCs/>
          <w:color w:val="0D0D0D" w:themeColor="text1" w:themeTint="F2"/>
          <w:sz w:val="22"/>
          <w:szCs w:val="22"/>
        </w:rPr>
      </w:pPr>
    </w:p>
    <w:p w14:paraId="138AB61A" w14:textId="20C3AE44" w:rsidR="00995BBA" w:rsidRDefault="00297242" w:rsidP="0050339C">
      <w:pPr>
        <w:widowControl w:val="0"/>
        <w:suppressAutoHyphens/>
        <w:rPr>
          <w:rFonts w:ascii="Times New Roman" w:hAnsi="Times New Roman"/>
          <w:color w:val="0D0D0D" w:themeColor="text1" w:themeTint="F2"/>
          <w:sz w:val="22"/>
        </w:rPr>
      </w:pPr>
      <w:r w:rsidRPr="00506990">
        <w:rPr>
          <w:rFonts w:ascii="Times New Roman" w:hAnsi="Times New Roman" w:cs="Times New Roman"/>
          <w:b/>
          <w:bCs/>
          <w:iCs/>
          <w:color w:val="0D0D0D" w:themeColor="text1" w:themeTint="F2"/>
          <w:sz w:val="22"/>
          <w:szCs w:val="22"/>
        </w:rPr>
        <w:t>Artículo 1.7. Remuneración del Fiduciario.</w:t>
      </w:r>
      <w:r w:rsidRPr="00506990">
        <w:rPr>
          <w:rFonts w:ascii="Times New Roman" w:hAnsi="Times New Roman" w:cs="Times New Roman"/>
          <w:iCs/>
          <w:color w:val="0D0D0D" w:themeColor="text1" w:themeTint="F2"/>
          <w:sz w:val="22"/>
          <w:szCs w:val="22"/>
        </w:rPr>
        <w:t xml:space="preserve"> El Fiduciario tendrá derecho a cobrar una </w:t>
      </w:r>
      <w:r>
        <w:rPr>
          <w:rFonts w:ascii="Times New Roman" w:hAnsi="Times New Roman" w:cs="Times New Roman"/>
          <w:iCs/>
          <w:color w:val="0D0D0D" w:themeColor="text1" w:themeTint="F2"/>
          <w:sz w:val="22"/>
          <w:szCs w:val="22"/>
        </w:rPr>
        <w:t>remuneración</w:t>
      </w:r>
      <w:r w:rsidRPr="00506990">
        <w:rPr>
          <w:rFonts w:ascii="Times New Roman" w:hAnsi="Times New Roman" w:cs="Times New Roman"/>
          <w:iCs/>
          <w:color w:val="0D0D0D" w:themeColor="text1" w:themeTint="F2"/>
          <w:sz w:val="22"/>
          <w:szCs w:val="22"/>
        </w:rPr>
        <w:t xml:space="preserve"> de </w:t>
      </w:r>
      <w:r w:rsidRPr="00476E40">
        <w:rPr>
          <w:rFonts w:ascii="Times New Roman" w:hAnsi="Times New Roman" w:cs="Times New Roman"/>
          <w:iCs/>
          <w:color w:val="0D0D0D" w:themeColor="text1" w:themeTint="F2"/>
          <w:sz w:val="22"/>
          <w:szCs w:val="22"/>
        </w:rPr>
        <w:t xml:space="preserve">hasta </w:t>
      </w:r>
      <w:r w:rsidR="00476E40" w:rsidRPr="00EA5C6B">
        <w:rPr>
          <w:rFonts w:ascii="Times New Roman" w:hAnsi="Times New Roman" w:cs="Times New Roman"/>
          <w:iCs/>
          <w:color w:val="0D0D0D" w:themeColor="text1" w:themeTint="F2"/>
          <w:sz w:val="22"/>
          <w:szCs w:val="22"/>
        </w:rPr>
        <w:t>$</w:t>
      </w:r>
      <w:r w:rsidR="006C6032">
        <w:rPr>
          <w:rFonts w:ascii="Times New Roman" w:hAnsi="Times New Roman" w:cs="Times New Roman"/>
          <w:iCs/>
          <w:color w:val="0D0D0D" w:themeColor="text1" w:themeTint="F2"/>
          <w:sz w:val="22"/>
          <w:szCs w:val="22"/>
        </w:rPr>
        <w:t>480.000 (pesos cuatrocientos ochenta mil)</w:t>
      </w:r>
      <w:r w:rsidR="008F4942">
        <w:rPr>
          <w:rFonts w:ascii="Times New Roman" w:hAnsi="Times New Roman" w:cs="Times New Roman"/>
          <w:iCs/>
          <w:color w:val="0D0D0D" w:themeColor="text1" w:themeTint="F2"/>
          <w:sz w:val="22"/>
          <w:szCs w:val="22"/>
        </w:rPr>
        <w:t xml:space="preserve"> </w:t>
      </w:r>
      <w:r w:rsidRPr="00476E40">
        <w:rPr>
          <w:rFonts w:ascii="Times New Roman" w:hAnsi="Times New Roman" w:cs="Times New Roman"/>
          <w:iCs/>
          <w:color w:val="0D0D0D" w:themeColor="text1" w:themeTint="F2"/>
          <w:sz w:val="22"/>
          <w:szCs w:val="22"/>
        </w:rPr>
        <w:t>mensuales más IVA</w:t>
      </w:r>
      <w:r w:rsidRPr="00476E40">
        <w:rPr>
          <w:rFonts w:ascii="Times New Roman" w:hAnsi="Times New Roman" w:cs="Times New Roman"/>
          <w:color w:val="0D0D0D" w:themeColor="text1" w:themeTint="F2"/>
          <w:sz w:val="22"/>
          <w:szCs w:val="22"/>
        </w:rPr>
        <w:t xml:space="preserve"> </w:t>
      </w:r>
      <w:r w:rsidRPr="00476E40">
        <w:rPr>
          <w:rFonts w:ascii="Times New Roman" w:hAnsi="Times New Roman" w:cs="Times New Roman"/>
          <w:iCs/>
          <w:color w:val="0D0D0D" w:themeColor="text1" w:themeTint="F2"/>
          <w:sz w:val="22"/>
          <w:szCs w:val="22"/>
        </w:rPr>
        <w:t xml:space="preserve">a devengarse desde la fecha de la primera cesión </w:t>
      </w:r>
      <w:r w:rsidR="00995BBA" w:rsidRPr="00476E40">
        <w:rPr>
          <w:rFonts w:ascii="Times New Roman" w:hAnsi="Times New Roman" w:cs="Times New Roman"/>
          <w:iCs/>
          <w:color w:val="0D0D0D" w:themeColor="text1" w:themeTint="F2"/>
          <w:sz w:val="22"/>
          <w:szCs w:val="22"/>
        </w:rPr>
        <w:t xml:space="preserve">y durante el primer </w:t>
      </w:r>
      <w:r w:rsidR="00C52ECA">
        <w:rPr>
          <w:rFonts w:ascii="Times New Roman" w:hAnsi="Times New Roman" w:cs="Times New Roman"/>
          <w:iCs/>
          <w:color w:val="0D0D0D" w:themeColor="text1" w:themeTint="F2"/>
          <w:sz w:val="22"/>
          <w:szCs w:val="22"/>
        </w:rPr>
        <w:t>trimestre</w:t>
      </w:r>
      <w:r w:rsidR="00995BBA" w:rsidRPr="00FF5153">
        <w:rPr>
          <w:rFonts w:ascii="Times New Roman" w:hAnsi="Times New Roman" w:cs="Times New Roman"/>
          <w:iCs/>
          <w:color w:val="0D0D0D" w:themeColor="text1" w:themeTint="F2"/>
          <w:sz w:val="22"/>
          <w:szCs w:val="22"/>
        </w:rPr>
        <w:t>. Para el resto de la vida del Fideicomiso, se</w:t>
      </w:r>
      <w:r w:rsidR="00995BBA" w:rsidRPr="00FF5153">
        <w:rPr>
          <w:rFonts w:ascii="Times New Roman" w:hAnsi="Times New Roman"/>
          <w:color w:val="0D0D0D" w:themeColor="text1" w:themeTint="F2"/>
          <w:sz w:val="22"/>
        </w:rPr>
        <w:t xml:space="preserve"> fijarán los honorarios correspondientes de común acuerdo entre</w:t>
      </w:r>
      <w:r w:rsidR="00995BBA" w:rsidRPr="00954187">
        <w:rPr>
          <w:rFonts w:ascii="Times New Roman" w:hAnsi="Times New Roman"/>
          <w:color w:val="0D0D0D" w:themeColor="text1" w:themeTint="F2"/>
          <w:sz w:val="22"/>
        </w:rPr>
        <w:t xml:space="preserve"> las partes tomando como referencia el </w:t>
      </w:r>
      <w:r w:rsidR="00995BBA">
        <w:rPr>
          <w:rFonts w:ascii="Times New Roman" w:hAnsi="Times New Roman"/>
          <w:color w:val="0D0D0D" w:themeColor="text1" w:themeTint="F2"/>
          <w:sz w:val="22"/>
        </w:rPr>
        <w:t>Índice de Precios al Consumidor (</w:t>
      </w:r>
      <w:r w:rsidR="00995BBA" w:rsidRPr="00954187">
        <w:rPr>
          <w:rFonts w:ascii="Times New Roman" w:hAnsi="Times New Roman"/>
          <w:color w:val="0D0D0D" w:themeColor="text1" w:themeTint="F2"/>
          <w:sz w:val="22"/>
        </w:rPr>
        <w:t>IPC</w:t>
      </w:r>
      <w:r w:rsidR="00995BBA">
        <w:rPr>
          <w:rFonts w:ascii="Times New Roman" w:hAnsi="Times New Roman"/>
          <w:color w:val="0D0D0D" w:themeColor="text1" w:themeTint="F2"/>
          <w:sz w:val="22"/>
        </w:rPr>
        <w:t>)</w:t>
      </w:r>
      <w:r w:rsidR="00995BBA" w:rsidRPr="00954187">
        <w:rPr>
          <w:rFonts w:ascii="Times New Roman" w:hAnsi="Times New Roman"/>
          <w:color w:val="0D0D0D" w:themeColor="text1" w:themeTint="F2"/>
          <w:sz w:val="22"/>
        </w:rPr>
        <w:t>.</w:t>
      </w:r>
      <w:r w:rsidR="00995BBA" w:rsidDel="00954187">
        <w:rPr>
          <w:rFonts w:ascii="Times New Roman" w:hAnsi="Times New Roman"/>
          <w:color w:val="0D0D0D" w:themeColor="text1" w:themeTint="F2"/>
          <w:sz w:val="22"/>
        </w:rPr>
        <w:t xml:space="preserve"> </w:t>
      </w:r>
    </w:p>
    <w:p w14:paraId="78F13F70"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5A1B9CD4" w14:textId="62A4CCDD"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1.8. Inversión de Fondos Líquidos.</w:t>
      </w:r>
      <w:r w:rsidRPr="00506990">
        <w:rPr>
          <w:rFonts w:ascii="Times New Roman" w:hAnsi="Times New Roman" w:cs="Times New Roman"/>
          <w:iCs/>
          <w:color w:val="0D0D0D" w:themeColor="text1" w:themeTint="F2"/>
          <w:sz w:val="22"/>
          <w:szCs w:val="22"/>
        </w:rPr>
        <w:t xml:space="preserve"> El Fiduciario </w:t>
      </w:r>
      <w:r w:rsidR="00173D28">
        <w:rPr>
          <w:rFonts w:ascii="Times New Roman" w:hAnsi="Times New Roman" w:cs="Times New Roman"/>
          <w:iCs/>
          <w:color w:val="0D0D0D" w:themeColor="text1" w:themeTint="F2"/>
          <w:sz w:val="22"/>
          <w:szCs w:val="22"/>
        </w:rPr>
        <w:t>invertirá</w:t>
      </w:r>
      <w:r w:rsidRPr="00506990">
        <w:rPr>
          <w:rFonts w:ascii="Times New Roman" w:hAnsi="Times New Roman" w:cs="Times New Roman"/>
          <w:iCs/>
          <w:color w:val="0D0D0D" w:themeColor="text1" w:themeTint="F2"/>
          <w:sz w:val="22"/>
          <w:szCs w:val="22"/>
        </w:rPr>
        <w:t xml:space="preserve"> en forma transitoria los Fondos Líquidos Disponibles, hasta tanto sea necesario aplicarlos al pago de Gastos del Fideicomiso o a pagos en favor de los Beneficiarios, en depósitos en entidades financieras, cuotapartes de fondos comunes de inversión abiertos de renta fija o de dinero, operaciones colocadoras de caución o pase bursátiles o valores públicos o privados de renta fija. Las entidades financieras depositarias de los fondos comunes de inversión y los activos en los que se inviertan los Fondos Líquidos Disponibles, deberán contar con una calificación que satisfaga los requisitos de Grado de Inversión </w:t>
      </w:r>
      <w:r w:rsidRPr="00EA5C6B">
        <w:rPr>
          <w:rFonts w:ascii="Times New Roman" w:hAnsi="Times New Roman" w:cs="Times New Roman"/>
          <w:i/>
          <w:iCs/>
          <w:color w:val="0D0D0D" w:themeColor="text1" w:themeTint="F2"/>
          <w:sz w:val="22"/>
          <w:szCs w:val="22"/>
        </w:rPr>
        <w:t>(“Invest</w:t>
      </w:r>
      <w:r w:rsidR="00E01BCF" w:rsidRPr="00EA5C6B">
        <w:rPr>
          <w:rFonts w:ascii="Times New Roman" w:hAnsi="Times New Roman" w:cs="Times New Roman"/>
          <w:i/>
          <w:iCs/>
          <w:color w:val="0D0D0D" w:themeColor="text1" w:themeTint="F2"/>
          <w:sz w:val="22"/>
          <w:szCs w:val="22"/>
        </w:rPr>
        <w:t>ment</w:t>
      </w:r>
      <w:r w:rsidRPr="00EA5C6B">
        <w:rPr>
          <w:rFonts w:ascii="Times New Roman" w:hAnsi="Times New Roman" w:cs="Times New Roman"/>
          <w:i/>
          <w:iCs/>
          <w:color w:val="0D0D0D" w:themeColor="text1" w:themeTint="F2"/>
          <w:sz w:val="22"/>
          <w:szCs w:val="22"/>
        </w:rPr>
        <w:t xml:space="preserve"> Grade”)</w:t>
      </w:r>
      <w:r w:rsidRPr="00506990">
        <w:rPr>
          <w:rFonts w:ascii="Times New Roman" w:hAnsi="Times New Roman" w:cs="Times New Roman"/>
          <w:iCs/>
          <w:color w:val="0D0D0D" w:themeColor="text1" w:themeTint="F2"/>
          <w:sz w:val="22"/>
          <w:szCs w:val="22"/>
        </w:rPr>
        <w:t xml:space="preserve"> en escala nacional de calificación argentina, o su equivalente. El Fiduciario no será responsable -salvo que hubiera mediado culpa o dolo- frente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a los Beneficiarios respecto al destino de inversión que deba darse a los Fondos Líquidos Disponibles procediendo conforme con lo establecido en el presente Contrato. El Fiduciario tampoco asumirá responsabilidad alguna en el supuesto de que tuviera que variar el destino de inversión establecido para los Fondos Líquidos Disponibles, en cumplimiento de instrucciones comunicadas por decisiones administrativas o judiciales. Queda establecido, asimismo, que el Fiduciario no asume responsabilidad alguna por las consecuencias de cualquier cambio en la legislación aplicable, medida gubernamental o de otra índole, incluyendo el caso fortuito y la fuerza mayor, que afecten o puedan afectar a cualquiera de las inversiones de los Fondos Líquidos Disponibles, las que serán soportadas única y exclusivamente por los Fondos Líquidos Disponibles en cuestión.</w:t>
      </w:r>
    </w:p>
    <w:p w14:paraId="705C55A4"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inversión de los Fondos Líquidos Disponibles guardar</w:t>
      </w:r>
      <w:r w:rsidR="00463985">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 xml:space="preserve"> relación con el cronograma de pagos del </w:t>
      </w:r>
      <w:r w:rsidR="00463985">
        <w:rPr>
          <w:rFonts w:ascii="Times New Roman" w:hAnsi="Times New Roman" w:cs="Times New Roman"/>
          <w:iCs/>
          <w:color w:val="0D0D0D" w:themeColor="text1" w:themeTint="F2"/>
          <w:sz w:val="22"/>
          <w:szCs w:val="22"/>
        </w:rPr>
        <w:t>F</w:t>
      </w:r>
      <w:r w:rsidRPr="00506990">
        <w:rPr>
          <w:rFonts w:ascii="Times New Roman" w:hAnsi="Times New Roman" w:cs="Times New Roman"/>
          <w:iCs/>
          <w:color w:val="0D0D0D" w:themeColor="text1" w:themeTint="F2"/>
          <w:sz w:val="22"/>
          <w:szCs w:val="22"/>
        </w:rPr>
        <w:t>ideicomiso.</w:t>
      </w:r>
    </w:p>
    <w:p w14:paraId="214E729C"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598F923A" w14:textId="3DECC9F9"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Artículo 1.9. Fondo de Reserva Impositivo.</w:t>
      </w:r>
      <w:r w:rsidRPr="00506990">
        <w:rPr>
          <w:rFonts w:ascii="Times New Roman" w:eastAsia="Times New Roman" w:hAnsi="Times New Roman" w:cs="Times New Roman"/>
          <w:color w:val="0D0D0D" w:themeColor="text1" w:themeTint="F2"/>
          <w:sz w:val="22"/>
          <w:szCs w:val="22"/>
          <w:lang w:val="es-AR"/>
        </w:rPr>
        <w:t xml:space="preserve"> Ante el supuesto de liquidación o extinción del presente Fideicomiso o en el supuesto que corresponda el pago de impuesto a las ganancias o cualquier otro impuesto en virtud de la normativa aplicable, con los fondos depositados en la Cuenta Fiduciaria, el Fiduciario podrá constituir un Fondo de Reserva Impositivo (el “Fondo de Reserva Impositivo”) para hacer frente al pago de los impuestos aplicables al Fideicomiso devengados hasta su liquidación, si los hubiere o pudiere haberlos y que fueran determinados o determinables a la fecha de su liquidación o extinción o durante la vigencia del Fideicomiso, y siempre que exista duda razonable sobre la aplicación de dichos impuestos debido a la interpretación conflictiva de normas particulares al respecto. El monto y demás condiciones del Fondo de Reserva Impositivo será determinado por el Fiduciario cumpliendo con las normas impositivas vigentes con opinión de un asesor impositivo independiente (dicho monto, el “Monto Determinado”). El Monto Determinado será retenido de la Cuenta Fiduciaria con la periodicidad que determine el Fiduciario. Si no hubiera sido posible retenerlo de la Cuenta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deberá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integrar el Monto Determinado a solo requerimiento del Fiduciario, mediante el depósito de dinero en efectivo, una o más garantías emitidas por bancos calificados “AA” en escala nacional de calificación argentina, o su equivalente, o cualquier otro tipo de garantía a satisfacción del Fiduciario (cualquiera de estos, los “Activos Afectados”), quien podrá solicitar el previo dictamen de un asesor financiero. Los Activos Afectados serán mantenidos en depósito por el Fiduciario en el Fondo de Reserva Impositivo. El remanente del Fondo de Reserva Impositivo será mantenido por el Fiduciario, hasta que exista opinión favorable de un asesor impositivo independiente que exprese razonablemente que no existe obligación de retener y pagar dichos impuestos. Periódicamente se podrá requerir a un asesor impositivo independiente que emita opinión al respecto. En el caso que el Fondo de Reserva Impositivo sea mantenido con la exclusiva finalidad de hacer frente a una contingencia impositiva de acuerdo con lo establecido en el párrafo anterior, el Fiduciario no tendrá derecho a percibir la retribución prevista en este Contrato. Ante la cancelación del Fondo de Reserva Impositivo, los fondos remanentes serán distribuidos de la siguiente manera: (a) si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integr</w:t>
      </w:r>
      <w:r w:rsidR="006E36BA" w:rsidRPr="00506990">
        <w:rPr>
          <w:rFonts w:ascii="Times New Roman" w:eastAsia="Times New Roman" w:hAnsi="Times New Roman" w:cs="Times New Roman"/>
          <w:color w:val="0D0D0D" w:themeColor="text1" w:themeTint="F2"/>
          <w:sz w:val="22"/>
          <w:szCs w:val="22"/>
          <w:lang w:val="es-AR"/>
        </w:rPr>
        <w:t>aron</w:t>
      </w:r>
      <w:r w:rsidRPr="00506990">
        <w:rPr>
          <w:rFonts w:ascii="Times New Roman" w:eastAsia="Times New Roman" w:hAnsi="Times New Roman" w:cs="Times New Roman"/>
          <w:color w:val="0D0D0D" w:themeColor="text1" w:themeTint="F2"/>
          <w:sz w:val="22"/>
          <w:szCs w:val="22"/>
          <w:lang w:val="es-AR"/>
        </w:rPr>
        <w:t xml:space="preserve"> el Fondo de Reserva Impositivo, el remanente de los Activos Afectados junto con su producido o accesorios serán devueltos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(b) si el Fondo de Reserva Impositivo se integró con recursos del Fideicomiso, el remanente será ingresado a la Cuenta Fiduciaria.</w:t>
      </w:r>
    </w:p>
    <w:p w14:paraId="73E9A6D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5B18168" w14:textId="36201B1C"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1.10. Normas Supletorias. </w:t>
      </w:r>
      <w:r w:rsidRPr="00506990">
        <w:rPr>
          <w:rFonts w:ascii="Times New Roman" w:hAnsi="Times New Roman" w:cs="Times New Roman"/>
          <w:iCs/>
          <w:color w:val="0D0D0D" w:themeColor="text1" w:themeTint="F2"/>
          <w:sz w:val="22"/>
          <w:szCs w:val="22"/>
        </w:rPr>
        <w:t xml:space="preserve">Respecto de los temas que no estén expresamente contemplados en el presente, resultarán aplicables las disposiciones previstas en el </w:t>
      </w:r>
      <w:r w:rsidR="00C05064">
        <w:rPr>
          <w:rFonts w:ascii="Times New Roman" w:hAnsi="Times New Roman" w:cs="Times New Roman"/>
          <w:iCs/>
          <w:color w:val="0D0D0D" w:themeColor="text1" w:themeTint="F2"/>
          <w:sz w:val="22"/>
          <w:szCs w:val="22"/>
        </w:rPr>
        <w:t>P</w:t>
      </w:r>
      <w:r w:rsidR="00C05064" w:rsidRPr="00506990">
        <w:rPr>
          <w:rFonts w:ascii="Times New Roman" w:hAnsi="Times New Roman" w:cs="Times New Roman"/>
          <w:iCs/>
          <w:color w:val="0D0D0D" w:themeColor="text1" w:themeTint="F2"/>
          <w:sz w:val="22"/>
          <w:szCs w:val="22"/>
        </w:rPr>
        <w:t xml:space="preserve">rograma </w:t>
      </w:r>
      <w:r w:rsidR="00C05064">
        <w:rPr>
          <w:rFonts w:ascii="Times New Roman" w:hAnsi="Times New Roman" w:cs="Times New Roman"/>
          <w:iCs/>
          <w:color w:val="0D0D0D" w:themeColor="text1" w:themeTint="F2"/>
          <w:sz w:val="22"/>
          <w:szCs w:val="22"/>
        </w:rPr>
        <w:t>G</w:t>
      </w:r>
      <w:r w:rsidR="00C05064" w:rsidRPr="00506990">
        <w:rPr>
          <w:rFonts w:ascii="Times New Roman" w:hAnsi="Times New Roman" w:cs="Times New Roman"/>
          <w:iCs/>
          <w:color w:val="0D0D0D" w:themeColor="text1" w:themeTint="F2"/>
          <w:sz w:val="22"/>
          <w:szCs w:val="22"/>
        </w:rPr>
        <w:t xml:space="preserve">lobal </w:t>
      </w:r>
      <w:r w:rsidRPr="00506990">
        <w:rPr>
          <w:rFonts w:ascii="Times New Roman" w:hAnsi="Times New Roman" w:cs="Times New Roman"/>
          <w:iCs/>
          <w:color w:val="0D0D0D" w:themeColor="text1" w:themeTint="F2"/>
          <w:sz w:val="22"/>
          <w:szCs w:val="22"/>
        </w:rPr>
        <w:t>de Valores Fiduciarios “CONFIBONO</w:t>
      </w:r>
      <w:r w:rsidR="00C05064">
        <w:rPr>
          <w:rFonts w:ascii="Times New Roman" w:hAnsi="Times New Roman" w:cs="Times New Roman"/>
          <w:iCs/>
          <w:color w:val="0D0D0D" w:themeColor="text1" w:themeTint="F2"/>
          <w:sz w:val="22"/>
          <w:szCs w:val="22"/>
        </w:rPr>
        <w:t xml:space="preserve"> II</w:t>
      </w:r>
      <w:r w:rsidRPr="00506990">
        <w:rPr>
          <w:rFonts w:ascii="Times New Roman" w:hAnsi="Times New Roman" w:cs="Times New Roman"/>
          <w:iCs/>
          <w:color w:val="0D0D0D" w:themeColor="text1" w:themeTint="F2"/>
          <w:sz w:val="22"/>
          <w:szCs w:val="22"/>
        </w:rPr>
        <w:t>”. En caso de conflicto entre las disposiciones del instrumento citado y las del presente, prevalecerán las de este Contrato Suplementario.</w:t>
      </w:r>
    </w:p>
    <w:p w14:paraId="65BE58C2"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525FEC7B"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w:t>
      </w:r>
    </w:p>
    <w:p w14:paraId="45001B0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 EMISIÓN</w:t>
      </w:r>
    </w:p>
    <w:p w14:paraId="3018B38E"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EAD1F49" w14:textId="2BC674D6" w:rsidR="0050339C" w:rsidRPr="00D73678" w:rsidRDefault="0050339C" w:rsidP="0050339C">
      <w:pPr>
        <w:suppressAutoHyphens/>
        <w:rPr>
          <w:rFonts w:ascii="Times New Roman" w:hAnsi="Times New Roman"/>
          <w:color w:val="0D0D0D" w:themeColor="text1" w:themeTint="F2"/>
          <w:sz w:val="22"/>
          <w:lang w:val="es-MX"/>
        </w:rPr>
      </w:pPr>
      <w:r w:rsidRPr="002A3C02">
        <w:rPr>
          <w:rFonts w:ascii="Times New Roman" w:hAnsi="Times New Roman" w:cs="Times New Roman"/>
          <w:b/>
          <w:bCs/>
          <w:iCs/>
          <w:color w:val="0D0D0D" w:themeColor="text1" w:themeTint="F2"/>
          <w:sz w:val="22"/>
          <w:szCs w:val="22"/>
        </w:rPr>
        <w:t>Artículo 2.1. Emisión.</w:t>
      </w:r>
      <w:r w:rsidRPr="002A3C02">
        <w:rPr>
          <w:rFonts w:ascii="Times New Roman" w:hAnsi="Times New Roman" w:cs="Times New Roman"/>
          <w:iCs/>
          <w:color w:val="0D0D0D" w:themeColor="text1" w:themeTint="F2"/>
          <w:sz w:val="22"/>
          <w:szCs w:val="22"/>
        </w:rPr>
        <w:t xml:space="preserve"> Conforme a lo previsto en el Contrato Marco, el Fiduciario resuelve la emisión de </w:t>
      </w:r>
      <w:r w:rsidR="00151843">
        <w:rPr>
          <w:rFonts w:ascii="Times New Roman" w:hAnsi="Times New Roman"/>
          <w:color w:val="0D0D0D" w:themeColor="text1" w:themeTint="F2"/>
          <w:sz w:val="22"/>
          <w:lang w:val="es-AR"/>
        </w:rPr>
        <w:t>Valores de Deuda Fiduciaria</w:t>
      </w:r>
      <w:r w:rsidR="00826738">
        <w:rPr>
          <w:rFonts w:ascii="Times New Roman" w:hAnsi="Times New Roman"/>
          <w:color w:val="0D0D0D" w:themeColor="text1" w:themeTint="F2"/>
          <w:sz w:val="22"/>
          <w:lang w:val="es-AR"/>
        </w:rPr>
        <w:t xml:space="preserve"> </w:t>
      </w:r>
      <w:r w:rsidRPr="006E760C">
        <w:rPr>
          <w:rFonts w:ascii="Times New Roman" w:hAnsi="Times New Roman" w:cs="Times New Roman"/>
          <w:iCs/>
          <w:color w:val="0D0D0D" w:themeColor="text1" w:themeTint="F2"/>
          <w:sz w:val="22"/>
          <w:szCs w:val="22"/>
        </w:rPr>
        <w:t xml:space="preserve">bajo el presente Fideicomiso por un valor nominal total de </w:t>
      </w:r>
      <w:r w:rsidR="009A050F" w:rsidRPr="000B15F4">
        <w:rPr>
          <w:rFonts w:ascii="Times New Roman" w:hAnsi="Times New Roman" w:cs="Times New Roman"/>
          <w:bCs/>
          <w:iCs/>
          <w:color w:val="0D0D0D" w:themeColor="text1" w:themeTint="F2"/>
          <w:sz w:val="22"/>
          <w:szCs w:val="22"/>
        </w:rPr>
        <w:t>$</w:t>
      </w:r>
      <w:r w:rsidR="00797D75">
        <w:rPr>
          <w:rFonts w:ascii="Times New Roman" w:hAnsi="Times New Roman" w:cs="Times New Roman"/>
          <w:bCs/>
          <w:iCs/>
          <w:color w:val="0D0D0D" w:themeColor="text1" w:themeTint="F2"/>
          <w:sz w:val="22"/>
          <w:szCs w:val="22"/>
        </w:rPr>
        <w:t xml:space="preserve"> </w:t>
      </w:r>
      <w:r w:rsidR="001E7BB0">
        <w:rPr>
          <w:rFonts w:ascii="Times New Roman" w:hAnsi="Times New Roman" w:cs="Times New Roman"/>
          <w:bCs/>
          <w:iCs/>
          <w:color w:val="0D0D0D" w:themeColor="text1" w:themeTint="F2"/>
          <w:sz w:val="22"/>
          <w:szCs w:val="22"/>
        </w:rPr>
        <w:t xml:space="preserve"> 1.466.192.470 </w:t>
      </w:r>
      <w:r w:rsidR="00797D75">
        <w:rPr>
          <w:rFonts w:ascii="Times New Roman" w:hAnsi="Times New Roman" w:cs="Times New Roman"/>
          <w:bCs/>
          <w:iCs/>
          <w:color w:val="0D0D0D" w:themeColor="text1" w:themeTint="F2"/>
          <w:sz w:val="22"/>
          <w:szCs w:val="22"/>
        </w:rPr>
        <w:t xml:space="preserve"> </w:t>
      </w:r>
      <w:r w:rsidR="00826738">
        <w:rPr>
          <w:rFonts w:ascii="Times New Roman" w:hAnsi="Times New Roman" w:cs="Times New Roman"/>
          <w:iCs/>
          <w:color w:val="0D0D0D" w:themeColor="text1" w:themeTint="F2"/>
          <w:sz w:val="22"/>
          <w:szCs w:val="22"/>
        </w:rPr>
        <w:t xml:space="preserve"> </w:t>
      </w:r>
      <w:r w:rsidR="002D0AB8">
        <w:rPr>
          <w:rFonts w:ascii="Times New Roman" w:hAnsi="Times New Roman" w:cs="Times New Roman"/>
          <w:iCs/>
          <w:color w:val="0D0D0D" w:themeColor="text1" w:themeTint="F2"/>
          <w:sz w:val="22"/>
          <w:szCs w:val="22"/>
        </w:rPr>
        <w:t xml:space="preserve">(pesos </w:t>
      </w:r>
      <w:r w:rsidR="001E7BB0">
        <w:rPr>
          <w:rFonts w:ascii="Times New Roman" w:hAnsi="Times New Roman" w:cs="Times New Roman"/>
          <w:iCs/>
          <w:color w:val="0D0D0D" w:themeColor="text1" w:themeTint="F2"/>
          <w:sz w:val="22"/>
          <w:szCs w:val="22"/>
        </w:rPr>
        <w:t>mil cuatrocientos sesenta y seis millones ciento noventa y dos mil cuatrocientos setenta</w:t>
      </w:r>
      <w:r w:rsidR="002D0AB8" w:rsidRPr="002004DC">
        <w:rPr>
          <w:rFonts w:ascii="Times New Roman" w:hAnsi="Times New Roman" w:cs="Times New Roman"/>
          <w:iCs/>
          <w:color w:val="0D0D0D" w:themeColor="text1" w:themeTint="F2"/>
          <w:sz w:val="22"/>
          <w:szCs w:val="22"/>
        </w:rPr>
        <w:t>)</w:t>
      </w:r>
      <w:r w:rsidR="002872AD" w:rsidRPr="002872AD">
        <w:rPr>
          <w:rFonts w:ascii="Times New Roman" w:hAnsi="Times New Roman" w:cs="Times New Roman"/>
          <w:bCs/>
          <w:iCs/>
          <w:color w:val="0D0D0D" w:themeColor="text1" w:themeTint="F2"/>
          <w:sz w:val="22"/>
          <w:szCs w:val="22"/>
        </w:rPr>
        <w:t xml:space="preserve"> </w:t>
      </w:r>
      <w:r w:rsidRPr="006E760C">
        <w:rPr>
          <w:rFonts w:ascii="Times New Roman" w:hAnsi="Times New Roman" w:cs="Times New Roman"/>
          <w:iCs/>
          <w:color w:val="0D0D0D" w:themeColor="text1" w:themeTint="F2"/>
          <w:sz w:val="22"/>
          <w:szCs w:val="22"/>
        </w:rPr>
        <w:t>equivalente</w:t>
      </w:r>
      <w:r w:rsidRPr="00BD01FD">
        <w:rPr>
          <w:rFonts w:ascii="Times New Roman" w:hAnsi="Times New Roman" w:cs="Times New Roman"/>
          <w:iCs/>
          <w:color w:val="0D0D0D" w:themeColor="text1" w:themeTint="F2"/>
          <w:sz w:val="22"/>
          <w:szCs w:val="22"/>
        </w:rPr>
        <w:t xml:space="preserve"> al </w:t>
      </w:r>
      <w:r w:rsidR="00BA3CC4" w:rsidRPr="00BD01FD">
        <w:rPr>
          <w:rFonts w:ascii="Times New Roman" w:hAnsi="Times New Roman" w:cs="Times New Roman"/>
          <w:iCs/>
          <w:color w:val="0D0D0D" w:themeColor="text1" w:themeTint="F2"/>
          <w:sz w:val="22"/>
          <w:szCs w:val="22"/>
        </w:rPr>
        <w:t>Valor</w:t>
      </w:r>
      <w:r w:rsidR="00BA3CC4" w:rsidRPr="008230AE">
        <w:rPr>
          <w:rFonts w:ascii="Times New Roman" w:hAnsi="Times New Roman" w:cs="Times New Roman"/>
          <w:iCs/>
          <w:color w:val="0D0D0D" w:themeColor="text1" w:themeTint="F2"/>
          <w:sz w:val="22"/>
          <w:szCs w:val="22"/>
        </w:rPr>
        <w:t xml:space="preserve"> Fideicomitido </w:t>
      </w:r>
      <w:r w:rsidRPr="008230AE">
        <w:rPr>
          <w:rFonts w:ascii="Times New Roman" w:hAnsi="Times New Roman" w:cs="Times New Roman"/>
          <w:iCs/>
          <w:color w:val="0D0D0D" w:themeColor="text1" w:themeTint="F2"/>
          <w:sz w:val="22"/>
          <w:szCs w:val="22"/>
        </w:rPr>
        <w:t>de los Créditos y un valor nominal unitario de un peso.</w:t>
      </w:r>
    </w:p>
    <w:p w14:paraId="1295FF0D"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F664CCC" w14:textId="57445329"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rPr>
        <w:t xml:space="preserve">Artículo 2.2. Plazo de los </w:t>
      </w:r>
      <w:r w:rsidR="00155E25" w:rsidRPr="004A11DF">
        <w:rPr>
          <w:rFonts w:ascii="Times New Roman" w:hAnsi="Times New Roman" w:cs="Times New Roman"/>
          <w:b/>
          <w:bCs/>
          <w:iCs/>
          <w:color w:val="0D0D0D" w:themeColor="text1" w:themeTint="F2"/>
          <w:sz w:val="22"/>
          <w:szCs w:val="22"/>
        </w:rPr>
        <w:t xml:space="preserve">Valores </w:t>
      </w:r>
      <w:r w:rsidR="00151843">
        <w:rPr>
          <w:rFonts w:ascii="Times New Roman" w:hAnsi="Times New Roman" w:cs="Times New Roman"/>
          <w:b/>
          <w:bCs/>
          <w:iCs/>
          <w:color w:val="0D0D0D" w:themeColor="text1" w:themeTint="F2"/>
          <w:sz w:val="22"/>
          <w:szCs w:val="22"/>
        </w:rPr>
        <w:t xml:space="preserve">de Deuda </w:t>
      </w:r>
      <w:r w:rsidR="0011317D">
        <w:rPr>
          <w:rFonts w:ascii="Times New Roman" w:hAnsi="Times New Roman" w:cs="Times New Roman"/>
          <w:b/>
          <w:bCs/>
          <w:iCs/>
          <w:color w:val="0D0D0D" w:themeColor="text1" w:themeTint="F2"/>
          <w:sz w:val="22"/>
          <w:szCs w:val="22"/>
        </w:rPr>
        <w:t>Fiduciari</w:t>
      </w:r>
      <w:r w:rsidR="00151843">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 Sin perjuicio de las Fechas de Pago de Servicios que surgen del Cuadro de Pago de Servicios, el vencimiento final de los VDF se producirá en la Fecha de Pago de Servicios siguiente a la fecha de vencimiento normal del Crédito de mayor plazo (el “Plazo de los VDF”)</w:t>
      </w:r>
      <w:r w:rsidR="00151843">
        <w:rPr>
          <w:rFonts w:ascii="Times New Roman" w:hAnsi="Times New Roman" w:cs="Times New Roman"/>
          <w:iCs/>
          <w:color w:val="0D0D0D" w:themeColor="text1" w:themeTint="F2"/>
          <w:sz w:val="22"/>
          <w:szCs w:val="22"/>
        </w:rPr>
        <w:t>.</w:t>
      </w:r>
    </w:p>
    <w:p w14:paraId="329CF4FE" w14:textId="77777777"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p>
    <w:p w14:paraId="033D6F09" w14:textId="4E3CF99C" w:rsidR="00CC3EDE" w:rsidRPr="00AC5521" w:rsidRDefault="0050339C" w:rsidP="00CC3EDE">
      <w:pPr>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2.3. Clases. </w:t>
      </w:r>
      <w:r w:rsidR="00173D28" w:rsidRPr="000965A3">
        <w:rPr>
          <w:rFonts w:ascii="Times New Roman" w:hAnsi="Times New Roman" w:cs="Times New Roman"/>
          <w:bCs/>
          <w:iCs/>
          <w:color w:val="0D0D0D" w:themeColor="text1" w:themeTint="F2"/>
          <w:sz w:val="22"/>
          <w:szCs w:val="22"/>
        </w:rPr>
        <w:t xml:space="preserve">Los </w:t>
      </w:r>
      <w:r w:rsidR="00151843">
        <w:rPr>
          <w:rFonts w:ascii="Times New Roman" w:hAnsi="Times New Roman"/>
          <w:color w:val="0D0D0D" w:themeColor="text1" w:themeTint="F2"/>
          <w:sz w:val="22"/>
          <w:lang w:val="es-AR"/>
        </w:rPr>
        <w:t>Valores de Deuda Fiduciaria</w:t>
      </w:r>
      <w:r w:rsidR="00173D28" w:rsidRPr="006B3F77">
        <w:rPr>
          <w:rFonts w:ascii="Times New Roman" w:hAnsi="Times New Roman" w:cs="Times New Roman"/>
          <w:bCs/>
          <w:iCs/>
          <w:color w:val="0D0D0D" w:themeColor="text1" w:themeTint="F2"/>
          <w:sz w:val="22"/>
          <w:szCs w:val="22"/>
        </w:rPr>
        <w:t xml:space="preserve"> </w:t>
      </w:r>
      <w:r w:rsidR="00173D28" w:rsidRPr="002004DC">
        <w:rPr>
          <w:rFonts w:ascii="Times New Roman" w:hAnsi="Times New Roman" w:cs="Times New Roman"/>
          <w:bCs/>
          <w:iCs/>
          <w:color w:val="0D0D0D" w:themeColor="text1" w:themeTint="F2"/>
          <w:sz w:val="22"/>
          <w:szCs w:val="22"/>
        </w:rPr>
        <w:t>serán de las siguientes clases: (a) Valores de Deuda Fiduciaria Clase A por un valor nominal equivalente al</w:t>
      </w:r>
      <w:r w:rsidR="00173D28" w:rsidRPr="002004DC">
        <w:rPr>
          <w:rFonts w:ascii="Times New Roman" w:hAnsi="Times New Roman" w:cs="Times New Roman"/>
          <w:color w:val="0D0D0D" w:themeColor="text1" w:themeTint="F2"/>
          <w:sz w:val="22"/>
          <w:szCs w:val="22"/>
          <w:lang w:val="es-MX"/>
        </w:rPr>
        <w:t xml:space="preserve"> </w:t>
      </w:r>
      <w:r w:rsidR="003A6ADC">
        <w:rPr>
          <w:rFonts w:ascii="Times New Roman" w:hAnsi="Times New Roman" w:cs="Times New Roman"/>
          <w:color w:val="0D0D0D" w:themeColor="text1" w:themeTint="F2"/>
          <w:sz w:val="22"/>
          <w:szCs w:val="22"/>
          <w:lang w:val="es-MX"/>
        </w:rPr>
        <w:t>69,10</w:t>
      </w:r>
      <w:r w:rsidR="00112A3E">
        <w:rPr>
          <w:rFonts w:ascii="Times New Roman" w:hAnsi="Times New Roman" w:cs="Times New Roman"/>
          <w:color w:val="0D0D0D" w:themeColor="text1" w:themeTint="F2"/>
          <w:sz w:val="22"/>
          <w:szCs w:val="22"/>
          <w:lang w:val="es-MX"/>
        </w:rPr>
        <w:t>%</w:t>
      </w:r>
      <w:r w:rsidR="00173D28" w:rsidRPr="002004DC">
        <w:rPr>
          <w:rFonts w:ascii="Times New Roman" w:hAnsi="Times New Roman" w:cs="Times New Roman"/>
          <w:bCs/>
          <w:iCs/>
          <w:color w:val="0D0D0D" w:themeColor="text1" w:themeTint="F2"/>
          <w:sz w:val="22"/>
          <w:szCs w:val="22"/>
        </w:rPr>
        <w:t xml:space="preserve"> del Valor Fideicomitido de los Créditos transferidos al Fideicomiso, es decir, </w:t>
      </w:r>
      <w:r w:rsidR="00A128AE" w:rsidRPr="002004DC">
        <w:rPr>
          <w:rFonts w:ascii="Times New Roman" w:hAnsi="Times New Roman"/>
          <w:iCs/>
          <w:color w:val="0D0D0D" w:themeColor="text1" w:themeTint="F2"/>
          <w:sz w:val="22"/>
          <w:szCs w:val="22"/>
        </w:rPr>
        <w:t>$</w:t>
      </w:r>
      <w:r w:rsidR="003A6ADC">
        <w:rPr>
          <w:rFonts w:ascii="Times New Roman" w:hAnsi="Times New Roman"/>
          <w:iCs/>
          <w:color w:val="0D0D0D" w:themeColor="text1" w:themeTint="F2"/>
          <w:sz w:val="22"/>
          <w:szCs w:val="22"/>
        </w:rPr>
        <w:t>1.013.139.200</w:t>
      </w:r>
      <w:r w:rsidR="009D6E2B" w:rsidDel="009D6E2B">
        <w:rPr>
          <w:rFonts w:ascii="Times New Roman" w:hAnsi="Times New Roman"/>
          <w:iCs/>
          <w:color w:val="0D0D0D" w:themeColor="text1" w:themeTint="F2"/>
          <w:sz w:val="22"/>
          <w:szCs w:val="22"/>
        </w:rPr>
        <w:t xml:space="preserve"> </w:t>
      </w:r>
      <w:r w:rsidR="00AD3342">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3A6ADC">
        <w:rPr>
          <w:rFonts w:ascii="Times New Roman" w:hAnsi="Times New Roman"/>
          <w:iCs/>
          <w:color w:val="0D0D0D" w:themeColor="text1" w:themeTint="F2"/>
          <w:sz w:val="22"/>
          <w:szCs w:val="22"/>
        </w:rPr>
        <w:t>mil trece millones ciento treinta y nueve mil doscientos</w:t>
      </w:r>
      <w:r w:rsidR="009D6E2B" w:rsidRPr="00902490">
        <w:rPr>
          <w:rFonts w:ascii="Times New Roman" w:hAnsi="Times New Roman"/>
          <w:b/>
          <w:color w:val="000000" w:themeColor="text1"/>
          <w:sz w:val="22"/>
        </w:rPr>
        <w:t>)</w:t>
      </w:r>
      <w:r w:rsidR="00173D28" w:rsidRPr="002004DC" w:rsidDel="00E31419">
        <w:rPr>
          <w:rFonts w:ascii="Times New Roman" w:hAnsi="Times New Roman"/>
          <w:color w:val="0D0D0D" w:themeColor="text1" w:themeTint="F2"/>
          <w:sz w:val="22"/>
          <w:lang w:val="es-MX"/>
        </w:rPr>
        <w:t xml:space="preserve"> </w:t>
      </w:r>
      <w:r w:rsidR="00173D28" w:rsidRPr="002004DC">
        <w:rPr>
          <w:rFonts w:ascii="Times New Roman" w:hAnsi="Times New Roman" w:cs="Times New Roman"/>
          <w:bCs/>
          <w:iCs/>
          <w:color w:val="0D0D0D" w:themeColor="text1" w:themeTint="F2"/>
          <w:sz w:val="22"/>
          <w:szCs w:val="22"/>
        </w:rPr>
        <w:t>y (</w:t>
      </w:r>
      <w:r w:rsidR="00173D28" w:rsidRPr="002004DC">
        <w:rPr>
          <w:rFonts w:ascii="Times New Roman" w:hAnsi="Times New Roman" w:cs="Times New Roman"/>
          <w:color w:val="0D0D0D" w:themeColor="text1" w:themeTint="F2"/>
          <w:sz w:val="22"/>
          <w:szCs w:val="22"/>
        </w:rPr>
        <w:t xml:space="preserve">b) </w:t>
      </w:r>
      <w:r w:rsidR="00173D28" w:rsidRPr="002004DC">
        <w:rPr>
          <w:rFonts w:ascii="Times New Roman" w:hAnsi="Times New Roman" w:cs="Times New Roman"/>
          <w:bCs/>
          <w:iCs/>
          <w:color w:val="0D0D0D" w:themeColor="text1" w:themeTint="F2"/>
          <w:sz w:val="22"/>
          <w:szCs w:val="22"/>
        </w:rPr>
        <w:t>Valores de Deuda Fiduciaria Clase B por un valor nominal equivalente al</w:t>
      </w:r>
      <w:r w:rsidR="00173D28" w:rsidRPr="002004DC">
        <w:rPr>
          <w:rFonts w:ascii="Times New Roman" w:hAnsi="Times New Roman" w:cs="Times New Roman"/>
          <w:color w:val="0D0D0D" w:themeColor="text1" w:themeTint="F2"/>
          <w:sz w:val="22"/>
          <w:szCs w:val="22"/>
          <w:lang w:val="es-MX"/>
        </w:rPr>
        <w:t xml:space="preserve"> </w:t>
      </w:r>
      <w:r w:rsidR="003A6ADC">
        <w:rPr>
          <w:rFonts w:ascii="Times New Roman" w:hAnsi="Times New Roman" w:cs="Times New Roman"/>
          <w:color w:val="0D0D0D" w:themeColor="text1" w:themeTint="F2"/>
          <w:sz w:val="22"/>
          <w:szCs w:val="22"/>
          <w:lang w:val="es-MX"/>
        </w:rPr>
        <w:t>30,90</w:t>
      </w:r>
      <w:r w:rsidR="00173D28" w:rsidRPr="006B3F77">
        <w:rPr>
          <w:rFonts w:ascii="Times New Roman" w:hAnsi="Times New Roman" w:cs="Times New Roman"/>
          <w:bCs/>
          <w:iCs/>
          <w:color w:val="0D0D0D" w:themeColor="text1" w:themeTint="F2"/>
          <w:sz w:val="22"/>
          <w:szCs w:val="22"/>
        </w:rPr>
        <w:t xml:space="preserve">% del Valor Fideicomitido de los Créditos transferidos al Fideicomiso, es decir, </w:t>
      </w:r>
      <w:r w:rsidR="008673BD" w:rsidRPr="006B3F77">
        <w:rPr>
          <w:rFonts w:ascii="Times New Roman" w:hAnsi="Times New Roman" w:cs="Times New Roman"/>
          <w:bCs/>
          <w:iCs/>
          <w:color w:val="0D0D0D" w:themeColor="text1" w:themeTint="F2"/>
          <w:sz w:val="22"/>
          <w:szCs w:val="22"/>
        </w:rPr>
        <w:t>$</w:t>
      </w:r>
      <w:r w:rsidR="003A6ADC">
        <w:rPr>
          <w:rFonts w:ascii="Times New Roman" w:hAnsi="Times New Roman" w:cs="Times New Roman"/>
          <w:bCs/>
          <w:iCs/>
          <w:color w:val="0D0D0D" w:themeColor="text1" w:themeTint="F2"/>
          <w:sz w:val="22"/>
          <w:szCs w:val="22"/>
        </w:rPr>
        <w:t>453.053.270</w:t>
      </w:r>
      <w:r w:rsidR="009D6E2B">
        <w:rPr>
          <w:rFonts w:ascii="Times New Roman" w:hAnsi="Times New Roman" w:cs="Times New Roman"/>
          <w:bCs/>
          <w:iCs/>
          <w:color w:val="0D0D0D" w:themeColor="text1" w:themeTint="F2"/>
          <w:sz w:val="22"/>
          <w:szCs w:val="22"/>
        </w:rPr>
        <w:t xml:space="preserve"> </w:t>
      </w:r>
      <w:r w:rsidR="00AD3342">
        <w:rPr>
          <w:rFonts w:ascii="Times New Roman" w:hAnsi="Times New Roman" w:cs="Times New Roman"/>
          <w:bCs/>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3A6ADC">
        <w:rPr>
          <w:rFonts w:ascii="Times New Roman" w:hAnsi="Times New Roman"/>
          <w:iCs/>
          <w:color w:val="0D0D0D" w:themeColor="text1" w:themeTint="F2"/>
          <w:sz w:val="22"/>
          <w:szCs w:val="22"/>
        </w:rPr>
        <w:t>cuatrocientos cincuenta y tres millones cincuenta y tres mil doscientos setenta</w:t>
      </w:r>
      <w:r w:rsidR="002004DC" w:rsidRPr="002004DC">
        <w:rPr>
          <w:rFonts w:ascii="Times New Roman" w:hAnsi="Times New Roman" w:cs="Times New Roman"/>
          <w:bCs/>
          <w:iCs/>
          <w:color w:val="0D0D0D" w:themeColor="text1" w:themeTint="F2"/>
          <w:sz w:val="22"/>
          <w:szCs w:val="22"/>
        </w:rPr>
        <w:t>)</w:t>
      </w:r>
      <w:r w:rsidR="00151843">
        <w:rPr>
          <w:rFonts w:ascii="Times New Roman" w:hAnsi="Times New Roman" w:cs="Times New Roman"/>
          <w:bCs/>
          <w:iCs/>
          <w:color w:val="0D0D0D" w:themeColor="text1" w:themeTint="F2"/>
          <w:sz w:val="22"/>
          <w:szCs w:val="22"/>
        </w:rPr>
        <w:t>.</w:t>
      </w:r>
    </w:p>
    <w:p w14:paraId="33B48B55" w14:textId="77777777" w:rsidR="000D001E" w:rsidRPr="006B3F77" w:rsidRDefault="000D001E" w:rsidP="0050339C">
      <w:pPr>
        <w:pStyle w:val="Textonotapie"/>
        <w:suppressAutoHyphens/>
        <w:rPr>
          <w:rFonts w:ascii="Times New Roman" w:hAnsi="Times New Roman"/>
          <w:iCs/>
          <w:color w:val="0D0D0D" w:themeColor="text1" w:themeTint="F2"/>
          <w:sz w:val="22"/>
          <w:szCs w:val="22"/>
        </w:rPr>
      </w:pPr>
    </w:p>
    <w:p w14:paraId="724AC6E4" w14:textId="13770549" w:rsidR="00173D28" w:rsidRPr="006B3F77" w:rsidRDefault="000D001E" w:rsidP="00173D28">
      <w:pPr>
        <w:pStyle w:val="Textonotapie"/>
        <w:suppressAutoHyphens/>
        <w:rPr>
          <w:rFonts w:ascii="Times New Roman" w:hAnsi="Times New Roman"/>
          <w:iCs/>
          <w:color w:val="0D0D0D" w:themeColor="text1" w:themeTint="F2"/>
          <w:sz w:val="22"/>
          <w:szCs w:val="22"/>
        </w:rPr>
      </w:pPr>
      <w:r w:rsidRPr="006B3F77">
        <w:rPr>
          <w:rFonts w:ascii="Times New Roman" w:hAnsi="Times New Roman"/>
          <w:b/>
          <w:bCs/>
          <w:iCs/>
          <w:color w:val="0D0D0D" w:themeColor="text1" w:themeTint="F2"/>
          <w:sz w:val="22"/>
          <w:szCs w:val="22"/>
        </w:rPr>
        <w:t>Artículo 2.4. Valores de Deuda Fiduciaria Clase A.</w:t>
      </w:r>
      <w:r w:rsidRPr="006B3F77">
        <w:rPr>
          <w:rFonts w:ascii="Times New Roman" w:hAnsi="Times New Roman"/>
          <w:iCs/>
          <w:color w:val="0D0D0D" w:themeColor="text1" w:themeTint="F2"/>
          <w:sz w:val="22"/>
          <w:szCs w:val="22"/>
        </w:rPr>
        <w:t xml:space="preserve"> </w:t>
      </w:r>
      <w:r w:rsidR="00173D28" w:rsidRPr="006B3F77">
        <w:rPr>
          <w:rFonts w:ascii="Times New Roman" w:hAnsi="Times New Roman"/>
          <w:iCs/>
          <w:color w:val="0D0D0D" w:themeColor="text1" w:themeTint="F2"/>
          <w:sz w:val="22"/>
          <w:szCs w:val="22"/>
        </w:rPr>
        <w:t xml:space="preserve">Tendrán derecho a pagos mensuales de los siguientes Servicios, una vez deducidas las contribuciones a la Fondo de Gastos: (i) en concepto de interés, una tasa variable equivalente a la Tasa BADLAR </w:t>
      </w:r>
      <w:r w:rsidR="00173D28" w:rsidRPr="002004DC">
        <w:rPr>
          <w:rFonts w:ascii="Times New Roman" w:hAnsi="Times New Roman"/>
          <w:iCs/>
          <w:color w:val="0D0D0D" w:themeColor="text1" w:themeTint="F2"/>
          <w:sz w:val="22"/>
          <w:szCs w:val="22"/>
        </w:rPr>
        <w:t xml:space="preserve">más </w:t>
      </w:r>
      <w:r w:rsidR="00826738">
        <w:rPr>
          <w:rFonts w:ascii="Times New Roman" w:hAnsi="Times New Roman"/>
          <w:iCs/>
          <w:color w:val="0D0D0D" w:themeColor="text1" w:themeTint="F2"/>
          <w:sz w:val="22"/>
          <w:szCs w:val="22"/>
        </w:rPr>
        <w:t>100</w:t>
      </w:r>
      <w:r w:rsidR="00173D28" w:rsidRPr="002004DC">
        <w:rPr>
          <w:rFonts w:ascii="Times New Roman" w:hAnsi="Times New Roman"/>
          <w:bCs/>
          <w:iCs/>
          <w:color w:val="0D0D0D" w:themeColor="text1" w:themeTint="F2"/>
          <w:sz w:val="22"/>
          <w:szCs w:val="22"/>
        </w:rPr>
        <w:t xml:space="preserve"> </w:t>
      </w:r>
      <w:r w:rsidR="00173D28" w:rsidRPr="002004DC">
        <w:rPr>
          <w:rFonts w:ascii="Times New Roman" w:hAnsi="Times New Roman"/>
          <w:iCs/>
          <w:color w:val="0D0D0D" w:themeColor="text1" w:themeTint="F2"/>
          <w:sz w:val="22"/>
          <w:szCs w:val="22"/>
        </w:rPr>
        <w:t>puntos básicos anuales, con un mínimo de</w:t>
      </w:r>
      <w:r w:rsidR="00173D28" w:rsidRPr="002004DC">
        <w:rPr>
          <w:rFonts w:ascii="Times New Roman" w:hAnsi="Times New Roman"/>
          <w:bCs/>
          <w:iCs/>
          <w:color w:val="0D0D0D" w:themeColor="text1" w:themeTint="F2"/>
          <w:sz w:val="22"/>
          <w:szCs w:val="22"/>
        </w:rPr>
        <w:t xml:space="preserve"> </w:t>
      </w:r>
      <w:r w:rsidR="009216C2">
        <w:rPr>
          <w:rFonts w:ascii="Times New Roman" w:hAnsi="Times New Roman"/>
          <w:bCs/>
          <w:iCs/>
          <w:color w:val="0D0D0D" w:themeColor="text1" w:themeTint="F2"/>
          <w:sz w:val="22"/>
          <w:szCs w:val="22"/>
        </w:rPr>
        <w:t>125</w:t>
      </w:r>
      <w:r w:rsidR="00173D28" w:rsidRPr="002004DC">
        <w:rPr>
          <w:rFonts w:ascii="Times New Roman" w:hAnsi="Times New Roman"/>
          <w:iCs/>
          <w:color w:val="0D0D0D" w:themeColor="text1" w:themeTint="F2"/>
          <w:sz w:val="22"/>
          <w:szCs w:val="22"/>
        </w:rPr>
        <w:t>% nominal anual y con un máximo de</w:t>
      </w:r>
      <w:r w:rsidR="00173D28" w:rsidRPr="002004DC">
        <w:rPr>
          <w:rFonts w:ascii="Times New Roman" w:hAnsi="Times New Roman"/>
          <w:bCs/>
          <w:iCs/>
          <w:color w:val="0D0D0D" w:themeColor="text1" w:themeTint="F2"/>
          <w:sz w:val="22"/>
          <w:szCs w:val="22"/>
        </w:rPr>
        <w:t xml:space="preserve"> </w:t>
      </w:r>
      <w:r w:rsidR="009216C2">
        <w:rPr>
          <w:rFonts w:ascii="Times New Roman" w:hAnsi="Times New Roman"/>
          <w:bCs/>
          <w:iCs/>
          <w:color w:val="0D0D0D" w:themeColor="text1" w:themeTint="F2"/>
          <w:sz w:val="22"/>
          <w:szCs w:val="22"/>
        </w:rPr>
        <w:t>175</w:t>
      </w:r>
      <w:r w:rsidR="001E7BB0">
        <w:rPr>
          <w:rFonts w:ascii="Times New Roman" w:hAnsi="Times New Roman"/>
          <w:bCs/>
          <w:iCs/>
          <w:color w:val="0D0D0D" w:themeColor="text1" w:themeTint="F2"/>
          <w:sz w:val="22"/>
          <w:szCs w:val="22"/>
        </w:rPr>
        <w:t>%</w:t>
      </w:r>
      <w:r w:rsidR="00173D28" w:rsidRPr="002004DC">
        <w:rPr>
          <w:rFonts w:ascii="Times New Roman" w:hAnsi="Times New Roman"/>
          <w:iCs/>
          <w:color w:val="0D0D0D" w:themeColor="text1" w:themeTint="F2"/>
          <w:sz w:val="22"/>
          <w:szCs w:val="22"/>
        </w:rPr>
        <w:t xml:space="preserve"> nominal anual, devengado durante el Período de Devengamiento, y (ii) en concepto de amortización,</w:t>
      </w:r>
      <w:r w:rsidR="00173D28" w:rsidRPr="006B3F77">
        <w:rPr>
          <w:rFonts w:ascii="Times New Roman" w:hAnsi="Times New Roman"/>
          <w:iCs/>
          <w:color w:val="0D0D0D" w:themeColor="text1" w:themeTint="F2"/>
          <w:sz w:val="22"/>
          <w:szCs w:val="22"/>
        </w:rPr>
        <w:t xml:space="preserve"> la Cobranza percibida durante el Período de Devengamiento correspondiente, luego de deducir el interés de la propia Clase. El interés se calculará sobre el valor residual de los VDFA considerando para su cálculo como base un año de 360 días (12 meses de 30 días). </w:t>
      </w:r>
    </w:p>
    <w:p w14:paraId="53A5B8BA" w14:textId="77777777" w:rsidR="000D001E" w:rsidRPr="006B3F77" w:rsidRDefault="000D001E" w:rsidP="00173D28">
      <w:pPr>
        <w:pStyle w:val="Textonotapie"/>
        <w:suppressAutoHyphens/>
        <w:rPr>
          <w:rFonts w:ascii="Times New Roman" w:hAnsi="Times New Roman"/>
          <w:b/>
          <w:bCs/>
          <w:iCs/>
          <w:color w:val="0D0D0D" w:themeColor="text1" w:themeTint="F2"/>
          <w:sz w:val="22"/>
          <w:szCs w:val="22"/>
        </w:rPr>
      </w:pPr>
      <w:r w:rsidRPr="006B3F77">
        <w:rPr>
          <w:rFonts w:ascii="Times New Roman" w:hAnsi="Times New Roman"/>
          <w:iCs/>
          <w:color w:val="0D0D0D" w:themeColor="text1" w:themeTint="F2"/>
          <w:sz w:val="22"/>
          <w:szCs w:val="22"/>
        </w:rPr>
        <w:t xml:space="preserve"> </w:t>
      </w:r>
    </w:p>
    <w:p w14:paraId="499F5FAE" w14:textId="5A8BE4DD" w:rsidR="00173D28" w:rsidRPr="00506990" w:rsidRDefault="000D001E" w:rsidP="00173D28">
      <w:pPr>
        <w:pStyle w:val="Textonotapie"/>
        <w:suppressAutoHyphens/>
        <w:rPr>
          <w:rFonts w:ascii="Times New Roman" w:hAnsi="Times New Roman"/>
          <w:iCs/>
          <w:color w:val="0D0D0D" w:themeColor="text1" w:themeTint="F2"/>
          <w:sz w:val="22"/>
          <w:szCs w:val="22"/>
        </w:rPr>
      </w:pPr>
      <w:r w:rsidRPr="006B3F77">
        <w:rPr>
          <w:rFonts w:ascii="Times New Roman" w:hAnsi="Times New Roman"/>
          <w:b/>
          <w:bCs/>
          <w:iCs/>
          <w:color w:val="0D0D0D" w:themeColor="text1" w:themeTint="F2"/>
          <w:sz w:val="22"/>
          <w:szCs w:val="22"/>
        </w:rPr>
        <w:t>Artículo 2.5. Valores de Deuda Fiduciaria Clase B.</w:t>
      </w:r>
      <w:r w:rsidRPr="006B3F77">
        <w:rPr>
          <w:rFonts w:ascii="Times New Roman" w:hAnsi="Times New Roman"/>
          <w:iCs/>
          <w:color w:val="0D0D0D" w:themeColor="text1" w:themeTint="F2"/>
          <w:sz w:val="22"/>
          <w:szCs w:val="22"/>
        </w:rPr>
        <w:t xml:space="preserve"> </w:t>
      </w:r>
      <w:r w:rsidR="00173D28" w:rsidRPr="006B3F77">
        <w:rPr>
          <w:rFonts w:ascii="Times New Roman" w:hAnsi="Times New Roman"/>
          <w:iCs/>
          <w:color w:val="0D0D0D" w:themeColor="text1" w:themeTint="F2"/>
          <w:sz w:val="22"/>
          <w:szCs w:val="22"/>
        </w:rPr>
        <w:t>Tendrá derecho a pagos de Servicios mensuales una vez cancelados íntegramente los Servicios de los Valores de Deuda Fiduciaria Clase A y una vez deducidas las contribuciones al Fondo de Gastos - de corresponder-: (i) en concepto de interés una tasa variable equivalente a la Tasa BADLAR  más</w:t>
      </w:r>
      <w:r w:rsidR="00173D28" w:rsidRPr="006B3F77">
        <w:rPr>
          <w:rFonts w:ascii="Times New Roman" w:hAnsi="Times New Roman"/>
          <w:color w:val="0D0D0D" w:themeColor="text1" w:themeTint="F2"/>
          <w:sz w:val="22"/>
        </w:rPr>
        <w:t xml:space="preserve"> </w:t>
      </w:r>
      <w:r w:rsidR="00826738">
        <w:rPr>
          <w:rFonts w:ascii="Times New Roman" w:hAnsi="Times New Roman"/>
          <w:color w:val="0D0D0D" w:themeColor="text1" w:themeTint="F2"/>
          <w:sz w:val="22"/>
        </w:rPr>
        <w:t>200</w:t>
      </w:r>
      <w:r w:rsidR="00173D28" w:rsidRPr="002004DC">
        <w:rPr>
          <w:rFonts w:ascii="Times New Roman" w:hAnsi="Times New Roman"/>
          <w:iCs/>
          <w:color w:val="0D0D0D" w:themeColor="text1" w:themeTint="F2"/>
          <w:sz w:val="22"/>
          <w:szCs w:val="22"/>
        </w:rPr>
        <w:t xml:space="preserve"> puntos básicos anuales, con un mínimo de</w:t>
      </w:r>
      <w:r w:rsidR="00173D28" w:rsidRPr="002004DC">
        <w:rPr>
          <w:rFonts w:ascii="Times New Roman" w:hAnsi="Times New Roman"/>
          <w:bCs/>
          <w:iCs/>
          <w:color w:val="0D0D0D" w:themeColor="text1" w:themeTint="F2"/>
          <w:sz w:val="22"/>
          <w:szCs w:val="22"/>
        </w:rPr>
        <w:t xml:space="preserve"> </w:t>
      </w:r>
      <w:r w:rsidR="009216C2">
        <w:rPr>
          <w:rFonts w:ascii="Times New Roman" w:hAnsi="Times New Roman"/>
          <w:bCs/>
          <w:iCs/>
          <w:color w:val="0D0D0D" w:themeColor="text1" w:themeTint="F2"/>
          <w:sz w:val="22"/>
          <w:szCs w:val="22"/>
        </w:rPr>
        <w:t>126</w:t>
      </w:r>
      <w:r w:rsidR="00173D28" w:rsidRPr="002004DC">
        <w:rPr>
          <w:rFonts w:ascii="Times New Roman" w:hAnsi="Times New Roman"/>
          <w:iCs/>
          <w:color w:val="0D0D0D" w:themeColor="text1" w:themeTint="F2"/>
          <w:sz w:val="22"/>
          <w:szCs w:val="22"/>
        </w:rPr>
        <w:t>% nominal anual y con un máximo de</w:t>
      </w:r>
      <w:r w:rsidR="00173D28" w:rsidRPr="002004DC">
        <w:rPr>
          <w:rFonts w:ascii="Times New Roman" w:hAnsi="Times New Roman"/>
          <w:bCs/>
          <w:iCs/>
          <w:color w:val="0D0D0D" w:themeColor="text1" w:themeTint="F2"/>
          <w:sz w:val="22"/>
          <w:szCs w:val="22"/>
        </w:rPr>
        <w:t xml:space="preserve"> </w:t>
      </w:r>
      <w:r w:rsidR="009216C2">
        <w:rPr>
          <w:rFonts w:ascii="Times New Roman" w:hAnsi="Times New Roman"/>
          <w:bCs/>
          <w:iCs/>
          <w:color w:val="0D0D0D" w:themeColor="text1" w:themeTint="F2"/>
          <w:sz w:val="22"/>
          <w:szCs w:val="22"/>
        </w:rPr>
        <w:t>176</w:t>
      </w:r>
      <w:r w:rsidR="001E7BB0">
        <w:rPr>
          <w:rFonts w:ascii="Times New Roman" w:hAnsi="Times New Roman"/>
          <w:bCs/>
          <w:iCs/>
          <w:color w:val="0D0D0D" w:themeColor="text1" w:themeTint="F2"/>
          <w:sz w:val="22"/>
          <w:szCs w:val="22"/>
        </w:rPr>
        <w:t>%</w:t>
      </w:r>
      <w:r w:rsidR="00173D28" w:rsidRPr="006B3F77">
        <w:rPr>
          <w:rFonts w:ascii="Times New Roman" w:hAnsi="Times New Roman"/>
          <w:iCs/>
          <w:color w:val="0D0D0D" w:themeColor="text1" w:themeTint="F2"/>
          <w:sz w:val="22"/>
          <w:szCs w:val="22"/>
        </w:rPr>
        <w:t xml:space="preserve"> nominal anual, devengado durante el Período de Devengamiento, y (ii) en concepto de amortización, la</w:t>
      </w:r>
      <w:r w:rsidR="00173D28" w:rsidRPr="00B77CDA">
        <w:rPr>
          <w:rFonts w:ascii="Times New Roman" w:hAnsi="Times New Roman"/>
          <w:iCs/>
          <w:color w:val="0D0D0D" w:themeColor="text1" w:themeTint="F2"/>
          <w:sz w:val="22"/>
          <w:szCs w:val="22"/>
        </w:rPr>
        <w:t xml:space="preserve"> Cobranza percibida</w:t>
      </w:r>
      <w:r w:rsidR="00173D28" w:rsidRPr="006E760C">
        <w:rPr>
          <w:rFonts w:ascii="Times New Roman" w:hAnsi="Times New Roman"/>
          <w:iCs/>
          <w:color w:val="0D0D0D" w:themeColor="text1" w:themeTint="F2"/>
          <w:sz w:val="22"/>
          <w:szCs w:val="22"/>
        </w:rPr>
        <w:t xml:space="preserve"> durante el Período de Devengamiento correspondiente, luego de deducir el interés de la propia Clase. El interés se calculará sobre el valor residual de los VDFB considerando para su cálculo como base un</w:t>
      </w:r>
      <w:r w:rsidR="00173D28" w:rsidRPr="00506990">
        <w:rPr>
          <w:rFonts w:ascii="Times New Roman" w:hAnsi="Times New Roman"/>
          <w:iCs/>
          <w:color w:val="0D0D0D" w:themeColor="text1" w:themeTint="F2"/>
          <w:sz w:val="22"/>
          <w:szCs w:val="22"/>
        </w:rPr>
        <w:t xml:space="preserve"> año de 360 días (12 meses de 30 días). </w:t>
      </w:r>
    </w:p>
    <w:p w14:paraId="555B57E6" w14:textId="77777777" w:rsidR="0050339C" w:rsidRPr="00506990" w:rsidRDefault="0050339C" w:rsidP="00173D28">
      <w:pPr>
        <w:pStyle w:val="Textonotapie"/>
        <w:suppressAutoHyphens/>
        <w:rPr>
          <w:rFonts w:ascii="Times New Roman" w:hAnsi="Times New Roman"/>
          <w:iCs/>
          <w:color w:val="0D0D0D" w:themeColor="text1" w:themeTint="F2"/>
          <w:sz w:val="22"/>
          <w:szCs w:val="22"/>
        </w:rPr>
      </w:pPr>
    </w:p>
    <w:p w14:paraId="2C47EBCC" w14:textId="64E39441" w:rsidR="0050339C" w:rsidRDefault="0050339C">
      <w:pPr>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b/>
          <w:iCs/>
          <w:color w:val="0D0D0D" w:themeColor="text1" w:themeTint="F2"/>
          <w:sz w:val="22"/>
          <w:szCs w:val="22"/>
        </w:rPr>
        <w:t>Artículo 2.</w:t>
      </w:r>
      <w:r w:rsidR="00427D58" w:rsidRPr="00506990">
        <w:rPr>
          <w:rFonts w:ascii="Times New Roman" w:hAnsi="Times New Roman" w:cs="Times New Roman"/>
          <w:b/>
          <w:iCs/>
          <w:color w:val="0D0D0D" w:themeColor="text1" w:themeTint="F2"/>
          <w:sz w:val="22"/>
          <w:szCs w:val="22"/>
        </w:rPr>
        <w:t>6</w:t>
      </w:r>
      <w:r w:rsidRPr="00506990">
        <w:rPr>
          <w:rFonts w:ascii="Times New Roman" w:hAnsi="Times New Roman" w:cs="Times New Roman"/>
          <w:b/>
          <w:iCs/>
          <w:color w:val="0D0D0D" w:themeColor="text1" w:themeTint="F2"/>
          <w:sz w:val="22"/>
          <w:szCs w:val="22"/>
        </w:rPr>
        <w:t>. Fondo de Liquidez.</w:t>
      </w:r>
      <w:r w:rsidRPr="00506990">
        <w:rPr>
          <w:rFonts w:ascii="Times New Roman" w:hAnsi="Times New Roman" w:cs="Times New Roman"/>
          <w:iCs/>
          <w:color w:val="0D0D0D" w:themeColor="text1" w:themeTint="F2"/>
          <w:sz w:val="22"/>
          <w:szCs w:val="22"/>
        </w:rPr>
        <w:t xml:space="preserve"> </w:t>
      </w:r>
      <w:r w:rsidR="00047273" w:rsidRPr="00047273">
        <w:rPr>
          <w:rFonts w:ascii="Times New Roman" w:hAnsi="Times New Roman" w:cs="Times New Roman"/>
          <w:iCs/>
          <w:color w:val="0D0D0D" w:themeColor="text1" w:themeTint="F2"/>
          <w:sz w:val="22"/>
          <w:szCs w:val="22"/>
        </w:rPr>
        <w:t xml:space="preserve">El Fiduciario retendrá del precio de suscripción de los </w:t>
      </w:r>
      <w:r w:rsidR="00155E25" w:rsidRPr="00EE5CF2">
        <w:rPr>
          <w:rFonts w:ascii="Times New Roman" w:hAnsi="Times New Roman"/>
          <w:color w:val="0D0D0D" w:themeColor="text1" w:themeTint="F2"/>
          <w:sz w:val="22"/>
          <w:lang w:val="es-AR"/>
        </w:rPr>
        <w:t>Valores de Deuda Fiduciaria</w:t>
      </w:r>
      <w:r w:rsidR="00047273" w:rsidRPr="00047273">
        <w:rPr>
          <w:rFonts w:ascii="Times New Roman" w:hAnsi="Times New Roman" w:cs="Times New Roman"/>
          <w:iCs/>
          <w:color w:val="0D0D0D" w:themeColor="text1" w:themeTint="F2"/>
          <w:sz w:val="22"/>
          <w:szCs w:val="22"/>
        </w:rPr>
        <w:t xml:space="preserve"> que deba pag</w:t>
      </w:r>
      <w:r w:rsidR="00047273">
        <w:rPr>
          <w:rFonts w:ascii="Times New Roman" w:hAnsi="Times New Roman" w:cs="Times New Roman"/>
          <w:iCs/>
          <w:color w:val="0D0D0D" w:themeColor="text1" w:themeTint="F2"/>
          <w:sz w:val="22"/>
          <w:szCs w:val="22"/>
        </w:rPr>
        <w:t>arse una suma equivalente a $</w:t>
      </w:r>
      <w:r w:rsidR="001A4A51">
        <w:rPr>
          <w:rFonts w:ascii="Times New Roman" w:hAnsi="Times New Roman" w:cs="Times New Roman"/>
          <w:iCs/>
          <w:color w:val="0D0D0D" w:themeColor="text1" w:themeTint="F2"/>
          <w:sz w:val="22"/>
          <w:szCs w:val="22"/>
        </w:rPr>
        <w:t>80.640.586</w:t>
      </w:r>
      <w:r w:rsidR="00723522" w:rsidRPr="00723522">
        <w:rPr>
          <w:rFonts w:ascii="Times New Roman" w:hAnsi="Times New Roman" w:cs="Times New Roman"/>
          <w:iCs/>
          <w:color w:val="0D0D0D" w:themeColor="text1" w:themeTint="F2"/>
          <w:sz w:val="22"/>
          <w:szCs w:val="22"/>
        </w:rPr>
        <w:t xml:space="preserve"> </w:t>
      </w:r>
      <w:r w:rsidR="00047273">
        <w:rPr>
          <w:rFonts w:ascii="Times New Roman" w:hAnsi="Times New Roman" w:cs="Times New Roman"/>
          <w:iCs/>
          <w:color w:val="0D0D0D" w:themeColor="text1" w:themeTint="F2"/>
          <w:sz w:val="22"/>
          <w:szCs w:val="22"/>
        </w:rPr>
        <w:t>(pesos</w:t>
      </w:r>
      <w:r w:rsidR="00187732">
        <w:rPr>
          <w:rFonts w:ascii="Times New Roman" w:hAnsi="Times New Roman" w:cs="Times New Roman"/>
          <w:iCs/>
          <w:color w:val="0D0D0D" w:themeColor="text1" w:themeTint="F2"/>
          <w:sz w:val="22"/>
          <w:szCs w:val="22"/>
        </w:rPr>
        <w:t xml:space="preserve"> </w:t>
      </w:r>
      <w:r w:rsidR="00D57107">
        <w:rPr>
          <w:rFonts w:ascii="Times New Roman" w:hAnsi="Times New Roman" w:cs="Times New Roman"/>
          <w:iCs/>
          <w:color w:val="0D0D0D" w:themeColor="text1" w:themeTint="F2"/>
          <w:sz w:val="22"/>
          <w:szCs w:val="22"/>
        </w:rPr>
        <w:t xml:space="preserve">ochenta millones </w:t>
      </w:r>
      <w:r w:rsidR="001A4A51">
        <w:rPr>
          <w:rFonts w:ascii="Times New Roman" w:hAnsi="Times New Roman" w:cs="Times New Roman"/>
          <w:iCs/>
          <w:color w:val="0D0D0D" w:themeColor="text1" w:themeTint="F2"/>
          <w:sz w:val="22"/>
          <w:szCs w:val="22"/>
        </w:rPr>
        <w:t>seiscientos cuarenta mil quinientos ochenta y seis</w:t>
      </w:r>
      <w:r w:rsidR="00047273" w:rsidRPr="00047273">
        <w:rPr>
          <w:rFonts w:ascii="Times New Roman" w:hAnsi="Times New Roman" w:cs="Times New Roman"/>
          <w:iCs/>
          <w:color w:val="0D0D0D" w:themeColor="text1" w:themeTint="F2"/>
          <w:sz w:val="22"/>
          <w:szCs w:val="22"/>
        </w:rPr>
        <w:t>) equivalente a 2,3 veces el devengamiento mensual del próximo pago de servicios de interés por vencer de los VDFA, no pudiendo exceder el 5,5% del valor nominal residual de los VDF. Mensualmente el saldo de dicho Fondo deberá ser equivalente a 2,3 veces el próximo servicio de interés pagadero a los VDFA</w:t>
      </w:r>
      <w:r w:rsidR="00934144">
        <w:rPr>
          <w:rFonts w:ascii="Times New Roman" w:hAnsi="Times New Roman" w:cs="Times New Roman"/>
          <w:iCs/>
          <w:color w:val="0D0D0D" w:themeColor="text1" w:themeTint="F2"/>
          <w:sz w:val="22"/>
          <w:szCs w:val="22"/>
        </w:rPr>
        <w:t>,</w:t>
      </w:r>
      <w:r w:rsidR="00047273" w:rsidRPr="00047273">
        <w:rPr>
          <w:rFonts w:ascii="Times New Roman" w:hAnsi="Times New Roman" w:cs="Times New Roman"/>
          <w:iCs/>
          <w:color w:val="0D0D0D" w:themeColor="text1" w:themeTint="F2"/>
          <w:sz w:val="22"/>
          <w:szCs w:val="22"/>
        </w:rPr>
        <w:t xml:space="preserve"> no pudiendo exceder el 5,5% del valor nominal residual de los VDF al momento de calcularlo, o </w:t>
      </w:r>
      <w:r w:rsidR="00047273" w:rsidRPr="00027B75">
        <w:rPr>
          <w:rFonts w:ascii="Times New Roman" w:hAnsi="Times New Roman" w:cs="Times New Roman"/>
          <w:iCs/>
          <w:color w:val="0D0D0D" w:themeColor="text1" w:themeTint="F2"/>
          <w:sz w:val="22"/>
          <w:szCs w:val="22"/>
        </w:rPr>
        <w:t>$</w:t>
      </w:r>
      <w:r w:rsidR="009216C2" w:rsidRPr="009216C2">
        <w:rPr>
          <w:rFonts w:ascii="Times New Roman" w:hAnsi="Times New Roman" w:cs="Times New Roman"/>
          <w:iCs/>
          <w:color w:val="0D0D0D" w:themeColor="text1" w:themeTint="F2"/>
          <w:sz w:val="22"/>
          <w:szCs w:val="22"/>
        </w:rPr>
        <w:t>47.570.593</w:t>
      </w:r>
      <w:r w:rsidR="00AD3342" w:rsidRPr="00AD3342">
        <w:rPr>
          <w:rFonts w:ascii="Times New Roman" w:hAnsi="Times New Roman" w:cs="Times New Roman"/>
          <w:iCs/>
          <w:color w:val="0D0D0D" w:themeColor="text1" w:themeTint="F2"/>
          <w:sz w:val="22"/>
          <w:szCs w:val="22"/>
        </w:rPr>
        <w:t>,</w:t>
      </w:r>
      <w:r w:rsidR="00047273">
        <w:rPr>
          <w:rFonts w:ascii="Times New Roman" w:hAnsi="Times New Roman" w:cs="Times New Roman"/>
          <w:iCs/>
          <w:color w:val="0D0D0D" w:themeColor="text1" w:themeTint="F2"/>
          <w:sz w:val="22"/>
          <w:szCs w:val="22"/>
        </w:rPr>
        <w:t xml:space="preserve"> (pesos</w:t>
      </w:r>
      <w:r w:rsidR="00B0065A">
        <w:rPr>
          <w:rFonts w:ascii="Times New Roman" w:hAnsi="Times New Roman" w:cs="Times New Roman"/>
          <w:iCs/>
          <w:color w:val="0D0D0D" w:themeColor="text1" w:themeTint="F2"/>
          <w:sz w:val="22"/>
          <w:szCs w:val="22"/>
        </w:rPr>
        <w:t xml:space="preserve"> </w:t>
      </w:r>
      <w:r w:rsidR="009216C2">
        <w:rPr>
          <w:rFonts w:ascii="Times New Roman" w:hAnsi="Times New Roman" w:cs="Times New Roman"/>
          <w:iCs/>
          <w:color w:val="0D0D0D" w:themeColor="text1" w:themeTint="F2"/>
          <w:sz w:val="22"/>
          <w:szCs w:val="22"/>
        </w:rPr>
        <w:t>cuarenta y siete millones quinientos setenta mil quinientos noventa y tres</w:t>
      </w:r>
      <w:r w:rsidR="00047273">
        <w:rPr>
          <w:rFonts w:ascii="Times New Roman" w:hAnsi="Times New Roman" w:cs="Times New Roman"/>
          <w:iCs/>
          <w:color w:val="0D0D0D" w:themeColor="text1" w:themeTint="F2"/>
          <w:sz w:val="22"/>
          <w:szCs w:val="22"/>
        </w:rPr>
        <w:t>)</w:t>
      </w:r>
      <w:r w:rsidR="00047273" w:rsidRPr="00047273">
        <w:rPr>
          <w:rFonts w:ascii="Times New Roman" w:hAnsi="Times New Roman" w:cs="Times New Roman"/>
          <w:iCs/>
          <w:color w:val="0D0D0D" w:themeColor="text1" w:themeTint="F2"/>
          <w:sz w:val="22"/>
          <w:szCs w:val="22"/>
        </w:rPr>
        <w:t xml:space="preserve">, el que fuera mayor. Para el cálculo se utilizará la tasa aplicada para el pago del último servicio de interés de los VDFA. Una vez cancelados los VDFA, mensualmente el Fondo de Liquidez será equivalente a </w:t>
      </w:r>
      <w:r w:rsidR="00192647">
        <w:rPr>
          <w:rFonts w:ascii="Times New Roman" w:hAnsi="Times New Roman" w:cs="Times New Roman"/>
          <w:iCs/>
          <w:color w:val="0D0D0D" w:themeColor="text1" w:themeTint="F2"/>
          <w:sz w:val="22"/>
          <w:szCs w:val="22"/>
        </w:rPr>
        <w:t>1</w:t>
      </w:r>
      <w:r w:rsidR="00047273" w:rsidRPr="00047273">
        <w:rPr>
          <w:rFonts w:ascii="Times New Roman" w:hAnsi="Times New Roman" w:cs="Times New Roman"/>
          <w:iCs/>
          <w:color w:val="0D0D0D" w:themeColor="text1" w:themeTint="F2"/>
          <w:sz w:val="22"/>
          <w:szCs w:val="22"/>
        </w:rPr>
        <w:t xml:space="preserve"> </w:t>
      </w:r>
      <w:r w:rsidR="00192647" w:rsidRPr="00047273">
        <w:rPr>
          <w:rFonts w:ascii="Times New Roman" w:hAnsi="Times New Roman" w:cs="Times New Roman"/>
          <w:iCs/>
          <w:color w:val="0D0D0D" w:themeColor="text1" w:themeTint="F2"/>
          <w:sz w:val="22"/>
          <w:szCs w:val="22"/>
        </w:rPr>
        <w:t>ve</w:t>
      </w:r>
      <w:r w:rsidR="00192647">
        <w:rPr>
          <w:rFonts w:ascii="Times New Roman" w:hAnsi="Times New Roman" w:cs="Times New Roman"/>
          <w:iCs/>
          <w:color w:val="0D0D0D" w:themeColor="text1" w:themeTint="F2"/>
          <w:sz w:val="22"/>
          <w:szCs w:val="22"/>
        </w:rPr>
        <w:t>z</w:t>
      </w:r>
      <w:r w:rsidR="00192647" w:rsidRPr="00047273">
        <w:rPr>
          <w:rFonts w:ascii="Times New Roman" w:hAnsi="Times New Roman" w:cs="Times New Roman"/>
          <w:iCs/>
          <w:color w:val="0D0D0D" w:themeColor="text1" w:themeTint="F2"/>
          <w:sz w:val="22"/>
          <w:szCs w:val="22"/>
        </w:rPr>
        <w:t xml:space="preserve"> </w:t>
      </w:r>
      <w:r w:rsidR="00047273" w:rsidRPr="00047273">
        <w:rPr>
          <w:rFonts w:ascii="Times New Roman" w:hAnsi="Times New Roman" w:cs="Times New Roman"/>
          <w:iCs/>
          <w:color w:val="0D0D0D" w:themeColor="text1" w:themeTint="F2"/>
          <w:sz w:val="22"/>
          <w:szCs w:val="22"/>
        </w:rPr>
        <w:t xml:space="preserve">el devengamiento mensual del próximo servicio de interés por vencer de los VDFB, que no exceda el </w:t>
      </w:r>
      <w:r w:rsidR="00192647">
        <w:rPr>
          <w:rFonts w:ascii="Times New Roman" w:hAnsi="Times New Roman" w:cs="Times New Roman"/>
          <w:iCs/>
          <w:color w:val="0D0D0D" w:themeColor="text1" w:themeTint="F2"/>
          <w:sz w:val="22"/>
          <w:szCs w:val="22"/>
        </w:rPr>
        <w:t>2</w:t>
      </w:r>
      <w:r w:rsidR="00047273" w:rsidRPr="00047273">
        <w:rPr>
          <w:rFonts w:ascii="Times New Roman" w:hAnsi="Times New Roman" w:cs="Times New Roman"/>
          <w:iCs/>
          <w:color w:val="0D0D0D" w:themeColor="text1" w:themeTint="F2"/>
          <w:sz w:val="22"/>
          <w:szCs w:val="22"/>
        </w:rPr>
        <w:t>,5% del valor nominal residual de los VDF al momento de calcularlo. Para el cálculo se considerará la tasa aplicada para el pago del último servicio de interés de los VDFB. Los importes acumulados en el Fondo de Liquidez serán aplicados por el Fiduciario al pago de servicios de interés de los VDF en caso de insuficiencia de la Cobranza.</w:t>
      </w:r>
    </w:p>
    <w:p w14:paraId="7E65CD98" w14:textId="77777777" w:rsidR="00390BDC" w:rsidRPr="00506990" w:rsidRDefault="00390BDC" w:rsidP="00390BDC">
      <w:pPr>
        <w:rPr>
          <w:rFonts w:ascii="Times New Roman" w:eastAsia="Times New Roman" w:hAnsi="Times New Roman" w:cs="Times New Roman"/>
          <w:color w:val="0D0D0D" w:themeColor="text1" w:themeTint="F2"/>
          <w:sz w:val="22"/>
          <w:szCs w:val="22"/>
          <w:lang w:val="es-AR"/>
        </w:rPr>
      </w:pPr>
    </w:p>
    <w:p w14:paraId="1231F188" w14:textId="1CFAAB40" w:rsidR="00A615F6" w:rsidRPr="00506990" w:rsidRDefault="0050339C" w:rsidP="00A615F6">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En caso que el saldo de dicho fondo deba disminuirse respecto del mes anterior, dichos fondos serán liberados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la suma del importe retenido del precio de la colocación. En ningún caso el Fondo de Liquidez se recompondrá con las Cobranzas de los Créditos. Los importes correspondientes al Fondo de Liquidez serán recalculados por el Fiduciario en cada Fecha de Pago de Servicios. Los importes acumulados en el fondo </w:t>
      </w:r>
      <w:r w:rsidR="00173D28">
        <w:rPr>
          <w:rFonts w:ascii="Times New Roman" w:eastAsia="Times New Roman" w:hAnsi="Times New Roman" w:cs="Times New Roman"/>
          <w:color w:val="0D0D0D" w:themeColor="text1" w:themeTint="F2"/>
          <w:sz w:val="22"/>
          <w:szCs w:val="22"/>
          <w:lang w:val="es-AR"/>
        </w:rPr>
        <w:t>serán</w:t>
      </w:r>
      <w:r w:rsidRPr="00506990">
        <w:rPr>
          <w:rFonts w:ascii="Times New Roman" w:eastAsia="Times New Roman" w:hAnsi="Times New Roman" w:cs="Times New Roman"/>
          <w:color w:val="0D0D0D" w:themeColor="text1" w:themeTint="F2"/>
          <w:sz w:val="22"/>
          <w:szCs w:val="22"/>
          <w:lang w:val="es-AR"/>
        </w:rPr>
        <w:t xml:space="preserve"> invertidos por el Fiduciario bajo las mismas reglas aplicables a los Fondos Líquidos Disponibles. Cancelados los VDF, el saldo total de dicho fondo será liberado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el límite de lo retenido del precio de la colocación, y si el mismo hubiera sido utilizado el importe correspondiente será retenido de las Cobranzas para su pago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00151843">
        <w:rPr>
          <w:rFonts w:ascii="Times New Roman" w:eastAsia="Times New Roman" w:hAnsi="Times New Roman" w:cs="Times New Roman"/>
          <w:color w:val="0D0D0D" w:themeColor="text1" w:themeTint="F2"/>
          <w:sz w:val="22"/>
          <w:szCs w:val="22"/>
          <w:lang w:val="es-AR"/>
        </w:rPr>
        <w:t>.</w:t>
      </w:r>
    </w:p>
    <w:p w14:paraId="19FB6A0D" w14:textId="77777777" w:rsidR="0050339C" w:rsidRPr="00506990" w:rsidRDefault="0050339C" w:rsidP="0050339C">
      <w:pPr>
        <w:rPr>
          <w:rFonts w:ascii="Times New Roman" w:eastAsia="Times New Roman" w:hAnsi="Times New Roman" w:cs="Times New Roman"/>
          <w:b/>
          <w:bCs/>
          <w:color w:val="0D0D0D" w:themeColor="text1" w:themeTint="F2"/>
          <w:sz w:val="22"/>
          <w:szCs w:val="22"/>
          <w:lang w:val="es-AR"/>
        </w:rPr>
      </w:pPr>
    </w:p>
    <w:p w14:paraId="5D203FF3" w14:textId="57887C4F"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w:t>
      </w:r>
      <w:r w:rsidR="000D40C5">
        <w:rPr>
          <w:rFonts w:ascii="Times New Roman" w:hAnsi="Times New Roman" w:cs="Times New Roman"/>
          <w:b/>
          <w:bCs/>
          <w:iCs/>
          <w:color w:val="0D0D0D" w:themeColor="text1" w:themeTint="F2"/>
          <w:sz w:val="22"/>
          <w:szCs w:val="22"/>
        </w:rPr>
        <w:t>7</w:t>
      </w:r>
      <w:r w:rsidRPr="00506990">
        <w:rPr>
          <w:rFonts w:ascii="Times New Roman" w:hAnsi="Times New Roman" w:cs="Times New Roman"/>
          <w:b/>
          <w:bCs/>
          <w:iCs/>
          <w:color w:val="0D0D0D" w:themeColor="text1" w:themeTint="F2"/>
          <w:sz w:val="22"/>
          <w:szCs w:val="22"/>
        </w:rPr>
        <w:t>. Forma de distribución de los ingresos al Fideicomiso.</w:t>
      </w:r>
      <w:r w:rsidRPr="00506990">
        <w:rPr>
          <w:rFonts w:ascii="Times New Roman" w:hAnsi="Times New Roman" w:cs="Times New Roman"/>
          <w:iCs/>
          <w:color w:val="0D0D0D" w:themeColor="text1" w:themeTint="F2"/>
          <w:sz w:val="22"/>
          <w:szCs w:val="22"/>
        </w:rPr>
        <w:t xml:space="preserve"> El total de los fondos ingresados al Fideicomiso como consecuencia del cobro de los Créditos a partir de la Fecha de Corte y del resultado de las colocaciones realizadas por excedentes de liquidez transitorios, se distribuirán de la siguiente forma y orden:</w:t>
      </w:r>
    </w:p>
    <w:p w14:paraId="3942353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3BFFE342"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Cs/>
          <w:iCs/>
          <w:color w:val="0D0D0D" w:themeColor="text1" w:themeTint="F2"/>
          <w:sz w:val="22"/>
          <w:szCs w:val="22"/>
        </w:rPr>
        <w:t>A) Hasta tanto no estén totalmente cancelados los VDFA:</w:t>
      </w:r>
    </w:p>
    <w:p w14:paraId="62BE2CDF"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 xml:space="preserve">Al Fondo de Gastos, de corresponder </w:t>
      </w:r>
    </w:p>
    <w:p w14:paraId="34CC554F" w14:textId="77777777" w:rsidR="0050339C" w:rsidRPr="00506990" w:rsidRDefault="0050339C" w:rsidP="003A7495">
      <w:pPr>
        <w:pStyle w:val="Prrafodelista"/>
        <w:widowControl w:val="0"/>
        <w:numPr>
          <w:ilvl w:val="0"/>
          <w:numId w:val="18"/>
        </w:numPr>
        <w:suppressLineNumbers/>
        <w:suppressAutoHyphens/>
        <w:spacing w:line="240" w:lineRule="atLeast"/>
        <w:rPr>
          <w:color w:val="0D0D0D" w:themeColor="text1" w:themeTint="F2"/>
          <w:sz w:val="22"/>
          <w:szCs w:val="22"/>
        </w:rPr>
      </w:pPr>
      <w:r w:rsidRPr="00506990">
        <w:rPr>
          <w:iCs/>
          <w:color w:val="0D0D0D" w:themeColor="text1" w:themeTint="F2"/>
          <w:sz w:val="22"/>
          <w:szCs w:val="22"/>
        </w:rPr>
        <w:t>Al pago del interés correspondiente a los VDFA</w:t>
      </w:r>
    </w:p>
    <w:p w14:paraId="1DF17990"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 la amortización de los VDFA.</w:t>
      </w:r>
    </w:p>
    <w:p w14:paraId="53D15630"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u w:val="single"/>
        </w:rPr>
      </w:pPr>
    </w:p>
    <w:p w14:paraId="20E45737"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Una vez cancelados los VDFA:</w:t>
      </w:r>
    </w:p>
    <w:p w14:paraId="72F2A268" w14:textId="77777777" w:rsidR="0050339C" w:rsidRPr="00506990" w:rsidRDefault="0050339C" w:rsidP="003A7495">
      <w:pPr>
        <w:pStyle w:val="Prrafodelista"/>
        <w:widowControl w:val="0"/>
        <w:numPr>
          <w:ilvl w:val="0"/>
          <w:numId w:val="19"/>
        </w:numPr>
        <w:suppressLineNumbers/>
        <w:suppressAutoHyphens/>
        <w:spacing w:line="240" w:lineRule="atLeast"/>
        <w:rPr>
          <w:bCs/>
          <w:iCs/>
          <w:color w:val="0D0D0D" w:themeColor="text1" w:themeTint="F2"/>
          <w:sz w:val="22"/>
          <w:szCs w:val="22"/>
        </w:rPr>
      </w:pPr>
      <w:r w:rsidRPr="00506990">
        <w:rPr>
          <w:iCs/>
          <w:color w:val="0D0D0D" w:themeColor="text1" w:themeTint="F2"/>
          <w:sz w:val="22"/>
          <w:szCs w:val="22"/>
        </w:rPr>
        <w:t>Al Fondo de Gastos, de corresponder.</w:t>
      </w:r>
    </w:p>
    <w:p w14:paraId="614D7048" w14:textId="77777777" w:rsidR="0050339C" w:rsidRPr="00506990" w:rsidRDefault="0050339C" w:rsidP="003A7495">
      <w:pPr>
        <w:pStyle w:val="Prrafodelista"/>
        <w:widowControl w:val="0"/>
        <w:numPr>
          <w:ilvl w:val="0"/>
          <w:numId w:val="19"/>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del interés correspondiente a los VDFB.</w:t>
      </w:r>
    </w:p>
    <w:p w14:paraId="1BD0D09E" w14:textId="2DA829EE" w:rsidR="002370AF" w:rsidRPr="00056A13" w:rsidRDefault="0050339C" w:rsidP="002370AF">
      <w:pPr>
        <w:pStyle w:val="Prrafodelista"/>
        <w:widowControl w:val="0"/>
        <w:numPr>
          <w:ilvl w:val="0"/>
          <w:numId w:val="19"/>
        </w:numPr>
        <w:suppressLineNumbers/>
        <w:suppressAutoHyphens/>
        <w:spacing w:line="240" w:lineRule="atLeast"/>
        <w:rPr>
          <w:iCs/>
          <w:color w:val="0D0D0D" w:themeColor="text1" w:themeTint="F2"/>
          <w:sz w:val="22"/>
          <w:szCs w:val="22"/>
        </w:rPr>
      </w:pPr>
      <w:r w:rsidRPr="00056A13">
        <w:rPr>
          <w:iCs/>
          <w:color w:val="0D0D0D" w:themeColor="text1" w:themeTint="F2"/>
          <w:sz w:val="22"/>
          <w:szCs w:val="22"/>
        </w:rPr>
        <w:t>Al pago de la amortización de los VDFB.</w:t>
      </w:r>
    </w:p>
    <w:p w14:paraId="196F0D2B" w14:textId="77777777" w:rsidR="0050339C" w:rsidRPr="00056A13" w:rsidRDefault="0050339C" w:rsidP="00557525">
      <w:pPr>
        <w:pStyle w:val="Prrafodelista"/>
        <w:widowControl w:val="0"/>
        <w:suppressLineNumbers/>
        <w:suppressAutoHyphens/>
        <w:spacing w:line="240" w:lineRule="atLeast"/>
        <w:rPr>
          <w:iCs/>
          <w:color w:val="0D0D0D" w:themeColor="text1" w:themeTint="F2"/>
          <w:sz w:val="22"/>
          <w:szCs w:val="22"/>
        </w:rPr>
      </w:pPr>
    </w:p>
    <w:p w14:paraId="0B1F9C1D" w14:textId="77777777" w:rsidR="00151843" w:rsidRPr="00DB405C" w:rsidRDefault="00151843" w:rsidP="00151843">
      <w:pPr>
        <w:widowControl w:val="0"/>
        <w:suppressLineNumbers/>
        <w:suppressAutoHyphens/>
        <w:spacing w:line="240" w:lineRule="atLeast"/>
        <w:rPr>
          <w:color w:val="0D0D0D" w:themeColor="text1" w:themeTint="F2"/>
          <w:sz w:val="22"/>
        </w:rPr>
      </w:pPr>
      <w:r w:rsidRPr="00DB405C">
        <w:rPr>
          <w:rFonts w:ascii="Times New Roman" w:hAnsi="Times New Roman" w:cs="Times New Roman"/>
          <w:color w:val="0D0D0D" w:themeColor="text1" w:themeTint="F2"/>
          <w:sz w:val="22"/>
        </w:rPr>
        <w:t xml:space="preserve">Una vez </w:t>
      </w:r>
      <w:r w:rsidRPr="00DB405C">
        <w:rPr>
          <w:rFonts w:ascii="Times New Roman" w:hAnsi="Times New Roman" w:cs="Times New Roman"/>
          <w:iCs/>
          <w:color w:val="0D0D0D" w:themeColor="text1" w:themeTint="F2"/>
          <w:sz w:val="22"/>
          <w:szCs w:val="22"/>
        </w:rPr>
        <w:t>satisfecho íntegramente el pago de los Servicios correspondientes a los VDF, y cancelados todos los Gastos del Fideicomiso, los Bienes Fideicomitidos remanentes serán transferidos al Fideicomisario.</w:t>
      </w:r>
    </w:p>
    <w:p w14:paraId="66470203" w14:textId="77777777" w:rsidR="002370AF" w:rsidRPr="00056A13" w:rsidRDefault="002370AF" w:rsidP="002370AF">
      <w:pPr>
        <w:suppressAutoHyphens/>
        <w:rPr>
          <w:rFonts w:ascii="Times New Roman" w:hAnsi="Times New Roman" w:cs="Times New Roman"/>
          <w:iCs/>
          <w:color w:val="0D0D0D" w:themeColor="text1" w:themeTint="F2"/>
          <w:sz w:val="22"/>
          <w:szCs w:val="22"/>
        </w:rPr>
      </w:pPr>
    </w:p>
    <w:p w14:paraId="65C39509" w14:textId="185CFBE3" w:rsidR="00297242" w:rsidRPr="00506990" w:rsidRDefault="002370AF" w:rsidP="0029724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w:t>
      </w:r>
      <w:r w:rsidR="000D40C5">
        <w:rPr>
          <w:rFonts w:ascii="Times New Roman" w:hAnsi="Times New Roman" w:cs="Times New Roman"/>
          <w:b/>
          <w:bCs/>
          <w:iCs/>
          <w:color w:val="0D0D0D" w:themeColor="text1" w:themeTint="F2"/>
          <w:sz w:val="22"/>
          <w:szCs w:val="22"/>
        </w:rPr>
        <w:t>8</w:t>
      </w:r>
      <w:r w:rsidRPr="00506990">
        <w:rPr>
          <w:rFonts w:ascii="Times New Roman" w:hAnsi="Times New Roman" w:cs="Times New Roman"/>
          <w:b/>
          <w:bCs/>
          <w:iCs/>
          <w:color w:val="0D0D0D" w:themeColor="text1" w:themeTint="F2"/>
          <w:sz w:val="22"/>
          <w:szCs w:val="22"/>
        </w:rPr>
        <w:t xml:space="preserve">. Pago de los Servicios. </w:t>
      </w:r>
      <w:r w:rsidRPr="00506990">
        <w:rPr>
          <w:rFonts w:ascii="Times New Roman" w:hAnsi="Times New Roman" w:cs="Times New Roman"/>
          <w:iCs/>
          <w:color w:val="0D0D0D" w:themeColor="text1" w:themeTint="F2"/>
          <w:sz w:val="22"/>
          <w:szCs w:val="22"/>
        </w:rPr>
        <w:t xml:space="preserve">Los Servicios serán pagados por el Fiduciario como se indica en el Cuadro de Pago de Servicios contenido en el Suplemento de Prospecto, o el Día Hábil siguiente a cada fecha allí indicada (la “Fecha de Pago de Servicios”), (cada una de ellas, la “Fecha de Pago de Servicios”) mediante la transferencia de los importes correspondientes a la Caja de Valores S.A., para su acreditación en las respectivas cuentas de los titulares de </w:t>
      </w:r>
      <w:r w:rsidR="00151843">
        <w:rPr>
          <w:rFonts w:ascii="Times New Roman" w:hAnsi="Times New Roman"/>
          <w:color w:val="0D0D0D" w:themeColor="text1" w:themeTint="F2"/>
          <w:sz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con derecho al cobro. Con una anticipación no menor a cinco (5) Días Hábiles anteriores a cada Fecha de Pago de Servicios, el Fiduciario publicará en la AIF </w:t>
      </w:r>
      <w:r w:rsidRPr="00506990">
        <w:rPr>
          <w:rFonts w:ascii="Times New Roman" w:hAnsi="Times New Roman" w:cs="Times New Roman"/>
          <w:color w:val="0D0D0D" w:themeColor="text1" w:themeTint="F2"/>
          <w:sz w:val="22"/>
          <w:szCs w:val="22"/>
        </w:rPr>
        <w:t xml:space="preserve">y en </w:t>
      </w:r>
      <w:r w:rsidRPr="00506990">
        <w:rPr>
          <w:rFonts w:ascii="Times New Roman" w:hAnsi="Times New Roman" w:cs="Times New Roman"/>
          <w:iCs/>
          <w:color w:val="0D0D0D" w:themeColor="text1" w:themeTint="F2"/>
          <w:sz w:val="22"/>
          <w:szCs w:val="22"/>
        </w:rPr>
        <w:t xml:space="preserve">los sistemas de información de los mercados autorizados donde listen los </w:t>
      </w:r>
      <w:r w:rsidR="00151843">
        <w:rPr>
          <w:rFonts w:ascii="Times New Roman" w:hAnsi="Times New Roman"/>
          <w:color w:val="0D0D0D" w:themeColor="text1" w:themeTint="F2"/>
          <w:sz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el monto a pagar por tal concepto a cada clase de </w:t>
      </w:r>
      <w:r w:rsidR="00151843">
        <w:rPr>
          <w:rFonts w:ascii="Times New Roman" w:hAnsi="Times New Roman"/>
          <w:color w:val="0D0D0D" w:themeColor="text1" w:themeTint="F2"/>
          <w:sz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que en esa oportunidad tenga derecho al cobro, discriminando los conceptos. El pago de los Servicios se realizará hasta la concurrencia de (i) lo efectivamente recaudado con relación a los Créditos durante el Período de Devengamiento, más (ii) los importes provenientes de las inversiones realizadas por excedentes de liquidez transitorios, menos (iii) la contribución al Fondo de Gastos, de corresponder. El remanente que no haya podido pagarse será pagado cuando el Flujo de Fondos efectivamente percibido lo permita, de acuerdo al orden de prelación previsto en el artículo 2.</w:t>
      </w:r>
      <w:r w:rsidR="000D40C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continuando el devengamiento de intereses sobre el capital.</w:t>
      </w:r>
      <w:r w:rsidR="00297242">
        <w:rPr>
          <w:rFonts w:ascii="Times New Roman" w:hAnsi="Times New Roman" w:cs="Times New Roman"/>
          <w:iCs/>
          <w:color w:val="0D0D0D" w:themeColor="text1" w:themeTint="F2"/>
          <w:sz w:val="22"/>
          <w:szCs w:val="22"/>
        </w:rPr>
        <w:t xml:space="preserve"> </w:t>
      </w:r>
      <w:r w:rsidR="00297242" w:rsidRPr="00E93A53">
        <w:rPr>
          <w:rFonts w:ascii="Times New Roman" w:hAnsi="Times New Roman" w:cs="Times New Roman"/>
          <w:iCs/>
          <w:color w:val="0D0D0D" w:themeColor="text1" w:themeTint="F2"/>
          <w:sz w:val="22"/>
          <w:szCs w:val="22"/>
        </w:rPr>
        <w:t>En el supuesto del artículo 2.</w:t>
      </w:r>
      <w:r w:rsidR="0011317D" w:rsidRPr="00E93A53">
        <w:rPr>
          <w:rFonts w:ascii="Times New Roman" w:hAnsi="Times New Roman" w:cs="Times New Roman"/>
          <w:iCs/>
          <w:color w:val="0D0D0D" w:themeColor="text1" w:themeTint="F2"/>
          <w:sz w:val="22"/>
          <w:szCs w:val="22"/>
        </w:rPr>
        <w:t>1</w:t>
      </w:r>
      <w:r w:rsidR="000D40C5">
        <w:rPr>
          <w:rFonts w:ascii="Times New Roman" w:hAnsi="Times New Roman" w:cs="Times New Roman"/>
          <w:iCs/>
          <w:color w:val="0D0D0D" w:themeColor="text1" w:themeTint="F2"/>
          <w:sz w:val="22"/>
          <w:szCs w:val="22"/>
        </w:rPr>
        <w:t>3</w:t>
      </w:r>
      <w:r w:rsidR="0011317D" w:rsidRPr="00E93A53">
        <w:rPr>
          <w:rFonts w:ascii="Times New Roman" w:hAnsi="Times New Roman" w:cs="Times New Roman"/>
          <w:iCs/>
          <w:color w:val="0D0D0D" w:themeColor="text1" w:themeTint="F2"/>
          <w:sz w:val="22"/>
          <w:szCs w:val="22"/>
        </w:rPr>
        <w:t xml:space="preserve"> </w:t>
      </w:r>
      <w:r w:rsidR="00297242" w:rsidRPr="00E93A53">
        <w:rPr>
          <w:rFonts w:ascii="Times New Roman" w:hAnsi="Times New Roman" w:cs="Times New Roman"/>
          <w:iCs/>
          <w:color w:val="0D0D0D" w:themeColor="text1" w:themeTint="F2"/>
          <w:sz w:val="22"/>
          <w:szCs w:val="22"/>
        </w:rPr>
        <w:t>I (a) si hubiera fondos disponibles para ello, el Fiduciario podrá anticipar el pago</w:t>
      </w:r>
      <w:r w:rsidR="00362260">
        <w:rPr>
          <w:rFonts w:ascii="Times New Roman" w:hAnsi="Times New Roman" w:cs="Times New Roman"/>
          <w:iCs/>
          <w:color w:val="0D0D0D" w:themeColor="text1" w:themeTint="F2"/>
          <w:sz w:val="22"/>
          <w:szCs w:val="22"/>
        </w:rPr>
        <w:t xml:space="preserve"> de</w:t>
      </w:r>
      <w:r w:rsidR="00297242" w:rsidRPr="00E93A53">
        <w:rPr>
          <w:rFonts w:ascii="Times New Roman" w:hAnsi="Times New Roman" w:cs="Times New Roman"/>
          <w:iCs/>
          <w:color w:val="0D0D0D" w:themeColor="text1" w:themeTint="F2"/>
          <w:sz w:val="22"/>
          <w:szCs w:val="22"/>
        </w:rPr>
        <w:t xml:space="preserve"> Servicios de los </w:t>
      </w:r>
      <w:r w:rsidR="000D40C5">
        <w:rPr>
          <w:rFonts w:ascii="Times New Roman" w:hAnsi="Times New Roman" w:cs="Times New Roman"/>
          <w:iCs/>
          <w:color w:val="0D0D0D" w:themeColor="text1" w:themeTint="F2"/>
          <w:sz w:val="22"/>
          <w:szCs w:val="22"/>
        </w:rPr>
        <w:t>VDFB</w:t>
      </w:r>
      <w:r w:rsidR="0011317D" w:rsidRPr="00E93A53">
        <w:rPr>
          <w:rFonts w:ascii="Times New Roman" w:hAnsi="Times New Roman" w:cs="Times New Roman"/>
          <w:iCs/>
          <w:color w:val="0D0D0D" w:themeColor="text1" w:themeTint="F2"/>
          <w:sz w:val="22"/>
          <w:szCs w:val="22"/>
        </w:rPr>
        <w:t xml:space="preserve"> </w:t>
      </w:r>
      <w:r w:rsidR="00297242" w:rsidRPr="00E93A53">
        <w:rPr>
          <w:rFonts w:ascii="Times New Roman" w:hAnsi="Times New Roman" w:cs="Times New Roman"/>
          <w:iCs/>
          <w:color w:val="0D0D0D" w:themeColor="text1" w:themeTint="F2"/>
          <w:sz w:val="22"/>
          <w:szCs w:val="22"/>
        </w:rPr>
        <w:t>a una fecha anterior a la indicada en el Cuadro Pago de Servicios, para lo cual deberá publicar el correspondiente Aviso de Pago con no menos de cinco (5) días de antelación en los sistemas de información de los mercado</w:t>
      </w:r>
      <w:r w:rsidR="00297242">
        <w:rPr>
          <w:rFonts w:ascii="Times New Roman" w:hAnsi="Times New Roman" w:cs="Times New Roman"/>
          <w:iCs/>
          <w:color w:val="0D0D0D" w:themeColor="text1" w:themeTint="F2"/>
          <w:sz w:val="22"/>
          <w:szCs w:val="22"/>
        </w:rPr>
        <w:t xml:space="preserve">s autorizados donde listen los </w:t>
      </w:r>
      <w:r w:rsidR="00151843">
        <w:rPr>
          <w:rFonts w:ascii="Times New Roman" w:hAnsi="Times New Roman"/>
          <w:color w:val="0D0D0D" w:themeColor="text1" w:themeTint="F2"/>
          <w:sz w:val="22"/>
          <w:lang w:val="es-AR"/>
        </w:rPr>
        <w:t>Valores de Deuda Fiduciaria</w:t>
      </w:r>
      <w:r w:rsidR="00297242" w:rsidRPr="00E93A53">
        <w:rPr>
          <w:rFonts w:ascii="Times New Roman" w:hAnsi="Times New Roman" w:cs="Times New Roman"/>
          <w:iCs/>
          <w:color w:val="0D0D0D" w:themeColor="text1" w:themeTint="F2"/>
          <w:sz w:val="22"/>
          <w:szCs w:val="22"/>
        </w:rPr>
        <w:t xml:space="preserve"> y en la AIF</w:t>
      </w:r>
      <w:r w:rsidR="00297242">
        <w:rPr>
          <w:rFonts w:ascii="Times New Roman" w:hAnsi="Times New Roman" w:cs="Times New Roman"/>
          <w:iCs/>
          <w:color w:val="0D0D0D" w:themeColor="text1" w:themeTint="F2"/>
          <w:sz w:val="22"/>
          <w:szCs w:val="22"/>
        </w:rPr>
        <w:t>.</w:t>
      </w:r>
    </w:p>
    <w:p w14:paraId="5462E166" w14:textId="0701A92B" w:rsidR="002370AF" w:rsidRPr="00506990" w:rsidRDefault="002370AF" w:rsidP="002370AF">
      <w:pPr>
        <w:suppressAutoHyphens/>
        <w:rPr>
          <w:rFonts w:ascii="Times New Roman" w:hAnsi="Times New Roman" w:cs="Times New Roman"/>
          <w:iCs/>
          <w:color w:val="0D0D0D" w:themeColor="text1" w:themeTint="F2"/>
          <w:sz w:val="22"/>
          <w:szCs w:val="22"/>
        </w:rPr>
      </w:pPr>
    </w:p>
    <w:p w14:paraId="706DF732" w14:textId="77777777" w:rsidR="002370AF" w:rsidRPr="00506990" w:rsidRDefault="002370AF" w:rsidP="002370AF">
      <w:pPr>
        <w:suppressAutoHyphens/>
        <w:spacing w:line="240" w:lineRule="atLeast"/>
        <w:rPr>
          <w:rFonts w:ascii="Times New Roman" w:hAnsi="Times New Roman" w:cs="Times New Roman"/>
          <w:iCs/>
          <w:color w:val="0D0D0D" w:themeColor="text1" w:themeTint="F2"/>
          <w:sz w:val="22"/>
          <w:szCs w:val="22"/>
        </w:rPr>
      </w:pPr>
    </w:p>
    <w:p w14:paraId="45B11DA5" w14:textId="56C8D90D" w:rsidR="002370AF" w:rsidRPr="00506990" w:rsidRDefault="002370AF" w:rsidP="002370AF">
      <w:pPr>
        <w:widowControl w:val="0"/>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w:t>
      </w:r>
      <w:r w:rsidR="000D40C5">
        <w:rPr>
          <w:rFonts w:ascii="Times New Roman" w:hAnsi="Times New Roman" w:cs="Times New Roman"/>
          <w:b/>
          <w:bCs/>
          <w:iCs/>
          <w:color w:val="0D0D0D" w:themeColor="text1" w:themeTint="F2"/>
          <w:sz w:val="22"/>
          <w:szCs w:val="22"/>
        </w:rPr>
        <w:t>9</w:t>
      </w:r>
      <w:r w:rsidRPr="00506990">
        <w:rPr>
          <w:rFonts w:ascii="Times New Roman" w:hAnsi="Times New Roman" w:cs="Times New Roman"/>
          <w:b/>
          <w:bCs/>
          <w:iCs/>
          <w:color w:val="0D0D0D" w:themeColor="text1" w:themeTint="F2"/>
          <w:sz w:val="22"/>
          <w:szCs w:val="22"/>
        </w:rPr>
        <w:t>. Falta de pago de los Servicios.</w:t>
      </w:r>
      <w:r w:rsidRPr="00506990">
        <w:rPr>
          <w:rFonts w:ascii="Times New Roman" w:hAnsi="Times New Roman" w:cs="Times New Roman"/>
          <w:iCs/>
          <w:color w:val="0D0D0D" w:themeColor="text1" w:themeTint="F2"/>
          <w:sz w:val="22"/>
          <w:szCs w:val="22"/>
        </w:rPr>
        <w:t xml:space="preserve"> La falta de pago o pago parcial de un Servicio por insuficiencia de fondos fideicomitidos, no constituirá incumplimiento, devengándose en su caso a favor de los </w:t>
      </w:r>
      <w:r w:rsidR="00151843">
        <w:rPr>
          <w:rFonts w:ascii="Times New Roman" w:hAnsi="Times New Roman"/>
          <w:color w:val="0D0D0D" w:themeColor="text1" w:themeTint="F2"/>
          <w:sz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los intereses correspondientes sobre el saldo de capital impago. El monto que no haya podido pagarse a los Beneficiarios en cada Fecha de Pago de Servicios por ser insuficiente lo recaudado, será pagado cuando el Flujo de Fondos efectivamente percibido lo permita. Transcurridos ciento veinte días desde la última Fecha de Pago de Servicios sin que existan fondos suficientes para cancelar la totalidad de los Servicios adeudados a los </w:t>
      </w:r>
      <w:r w:rsidR="00151843">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ello implicará un Evento Especial. No obstante, en cuanto hubiera fondos disponibles en la Cuenta Fiduciaria, el Fiduciario procederá a realizar pagos a los VDFA, cancelados éstos a los VDFB, luego de deducir las contribuciones al Fondo de Gastos, de corresponder. Dichos pagos, en cuanto fueren parciales, se efectivizarán con una periodicidad mínima de treinta (30) días, y siempre que los fondos disponibles para ello no fueran inferiores a $100.000</w:t>
      </w:r>
      <w:r w:rsidR="000D40C5">
        <w:rPr>
          <w:rFonts w:ascii="Times New Roman" w:hAnsi="Times New Roman" w:cs="Times New Roman"/>
          <w:iCs/>
          <w:color w:val="0D0D0D" w:themeColor="text1" w:themeTint="F2"/>
          <w:sz w:val="22"/>
          <w:szCs w:val="22"/>
        </w:rPr>
        <w:t>.</w:t>
      </w:r>
    </w:p>
    <w:p w14:paraId="36CB0CBF" w14:textId="77777777" w:rsidR="002370AF" w:rsidRPr="00506990" w:rsidRDefault="002370AF" w:rsidP="002370AF">
      <w:pPr>
        <w:widowControl w:val="0"/>
        <w:suppressAutoHyphens/>
        <w:spacing w:line="240" w:lineRule="atLeast"/>
        <w:rPr>
          <w:rFonts w:ascii="Times New Roman" w:hAnsi="Times New Roman" w:cs="Times New Roman"/>
          <w:b/>
          <w:bCs/>
          <w:iCs/>
          <w:color w:val="0D0D0D" w:themeColor="text1" w:themeTint="F2"/>
          <w:sz w:val="22"/>
          <w:szCs w:val="22"/>
        </w:rPr>
      </w:pPr>
    </w:p>
    <w:p w14:paraId="26B4D201" w14:textId="4877E332" w:rsidR="002370AF" w:rsidRPr="00506990" w:rsidRDefault="002370AF" w:rsidP="002370AF">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iCs/>
          <w:color w:val="0D0D0D" w:themeColor="text1" w:themeTint="F2"/>
          <w:sz w:val="22"/>
          <w:szCs w:val="22"/>
        </w:rPr>
        <w:t>Artículo 2.1</w:t>
      </w:r>
      <w:r w:rsidR="000D40C5">
        <w:rPr>
          <w:rFonts w:ascii="Times New Roman" w:hAnsi="Times New Roman"/>
          <w:iCs/>
          <w:color w:val="0D0D0D" w:themeColor="text1" w:themeTint="F2"/>
          <w:sz w:val="22"/>
          <w:szCs w:val="22"/>
        </w:rPr>
        <w:t>0</w:t>
      </w:r>
      <w:r w:rsidRPr="00506990">
        <w:rPr>
          <w:rFonts w:ascii="Times New Roman" w:hAnsi="Times New Roman"/>
          <w:iCs/>
          <w:color w:val="0D0D0D" w:themeColor="text1" w:themeTint="F2"/>
          <w:sz w:val="22"/>
          <w:szCs w:val="22"/>
        </w:rPr>
        <w:t xml:space="preserve">. Forma de los </w:t>
      </w:r>
      <w:r w:rsidR="00151843">
        <w:rPr>
          <w:rFonts w:ascii="Times New Roman" w:hAnsi="Times New Roman"/>
          <w:color w:val="0D0D0D" w:themeColor="text1" w:themeTint="F2"/>
          <w:sz w:val="22"/>
          <w:lang w:val="es-AR"/>
        </w:rPr>
        <w:t>Valores de Deuda Fiduciaria</w:t>
      </w:r>
      <w:r w:rsidRPr="00506990">
        <w:rPr>
          <w:rFonts w:ascii="Times New Roman" w:hAnsi="Times New Roman"/>
          <w:iCs/>
          <w:color w:val="0D0D0D" w:themeColor="text1" w:themeTint="F2"/>
          <w:sz w:val="22"/>
          <w:szCs w:val="22"/>
        </w:rPr>
        <w:t xml:space="preserve">. </w:t>
      </w:r>
      <w:r w:rsidRPr="00506990">
        <w:rPr>
          <w:rFonts w:ascii="Times New Roman" w:hAnsi="Times New Roman"/>
          <w:b w:val="0"/>
          <w:bCs w:val="0"/>
          <w:iCs/>
          <w:color w:val="0D0D0D" w:themeColor="text1" w:themeTint="F2"/>
          <w:sz w:val="22"/>
          <w:szCs w:val="22"/>
          <w:lang w:val="es-AR"/>
        </w:rPr>
        <w:t xml:space="preserve">Los </w:t>
      </w:r>
      <w:r w:rsidR="00151843" w:rsidRPr="002276F7">
        <w:rPr>
          <w:rFonts w:ascii="Times New Roman" w:hAnsi="Times New Roman"/>
          <w:b w:val="0"/>
          <w:color w:val="0D0D0D" w:themeColor="text1" w:themeTint="F2"/>
          <w:sz w:val="22"/>
          <w:lang w:val="es-AR"/>
        </w:rPr>
        <w:t>Valores de Deuda Fiduciaria</w:t>
      </w:r>
      <w:r w:rsidR="0011317D" w:rsidRPr="00E52538">
        <w:rPr>
          <w:rFonts w:ascii="Times New Roman" w:hAnsi="Times New Roman"/>
          <w:color w:val="0D0D0D" w:themeColor="text1" w:themeTint="F2"/>
          <w:sz w:val="22"/>
          <w:lang w:val="es-AR"/>
        </w:rPr>
        <w:t xml:space="preserve"> </w:t>
      </w:r>
      <w:r w:rsidRPr="00506990">
        <w:rPr>
          <w:rFonts w:ascii="Times New Roman" w:hAnsi="Times New Roman"/>
          <w:b w:val="0"/>
          <w:bCs w:val="0"/>
          <w:iCs/>
          <w:color w:val="0D0D0D" w:themeColor="text1" w:themeTint="F2"/>
          <w:sz w:val="22"/>
          <w:szCs w:val="22"/>
          <w:lang w:val="es-AR"/>
        </w:rPr>
        <w:t xml:space="preserve">estarán representados por Certificados Globales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 </w:t>
      </w:r>
    </w:p>
    <w:p w14:paraId="01E9494F" w14:textId="77777777" w:rsidR="002370AF" w:rsidRPr="00506990" w:rsidRDefault="002370AF" w:rsidP="002370AF">
      <w:pPr>
        <w:pStyle w:val="Textoindependiente"/>
        <w:jc w:val="both"/>
        <w:rPr>
          <w:rFonts w:ascii="Times New Roman" w:hAnsi="Times New Roman"/>
          <w:b w:val="0"/>
          <w:bCs w:val="0"/>
          <w:iCs/>
          <w:color w:val="0D0D0D" w:themeColor="text1" w:themeTint="F2"/>
          <w:sz w:val="22"/>
          <w:szCs w:val="22"/>
          <w:lang w:val="es-AR"/>
        </w:rPr>
      </w:pPr>
    </w:p>
    <w:p w14:paraId="6DAE001D" w14:textId="3A53DAB1" w:rsidR="002370AF" w:rsidRPr="00506990" w:rsidRDefault="002370AF" w:rsidP="002370AF">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Artículo 2.1</w:t>
      </w:r>
      <w:r w:rsidR="000D40C5">
        <w:rPr>
          <w:rFonts w:ascii="Times New Roman" w:hAnsi="Times New Roman" w:cs="Times New Roman"/>
          <w:b/>
          <w:bCs/>
          <w:color w:val="000000"/>
          <w:sz w:val="22"/>
          <w:szCs w:val="22"/>
          <w:lang w:val="es-AR" w:eastAsia="es-AR"/>
        </w:rPr>
        <w:t>1</w:t>
      </w:r>
      <w:r w:rsidRPr="00506990">
        <w:rPr>
          <w:rFonts w:ascii="Times New Roman" w:hAnsi="Times New Roman" w:cs="Times New Roman"/>
          <w:b/>
          <w:bCs/>
          <w:color w:val="000000"/>
          <w:sz w:val="22"/>
          <w:szCs w:val="22"/>
          <w:lang w:val="es-AR" w:eastAsia="es-AR"/>
        </w:rPr>
        <w:t xml:space="preserve">. Eventos Especiales. </w:t>
      </w:r>
      <w:r w:rsidRPr="00506990">
        <w:rPr>
          <w:rFonts w:ascii="Times New Roman" w:hAnsi="Times New Roman" w:cs="Times New Roman"/>
          <w:color w:val="000000"/>
          <w:sz w:val="22"/>
          <w:szCs w:val="22"/>
          <w:lang w:val="es-AR" w:eastAsia="es-AR"/>
        </w:rPr>
        <w:t xml:space="preserve">A los efectos del presente Fideicomiso se considerará constituido un Evento Especial en cualquiera de los siguientes supuestos: </w:t>
      </w:r>
    </w:p>
    <w:p w14:paraId="47473D04" w14:textId="3DF996DC" w:rsidR="002370AF" w:rsidRPr="00506990" w:rsidRDefault="002370AF" w:rsidP="002370AF">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Falta de pago de los Servicios, conforme al artículo 2.</w:t>
      </w:r>
      <w:r w:rsidR="000D40C5">
        <w:rPr>
          <w:rFonts w:ascii="Times New Roman" w:hAnsi="Times New Roman" w:cs="Times New Roman"/>
          <w:color w:val="000000"/>
          <w:sz w:val="22"/>
          <w:szCs w:val="22"/>
          <w:lang w:val="es-AR" w:eastAsia="es-AR"/>
        </w:rPr>
        <w:t>9</w:t>
      </w:r>
      <w:r w:rsidRPr="00506990">
        <w:rPr>
          <w:rFonts w:ascii="Times New Roman" w:hAnsi="Times New Roman" w:cs="Times New Roman"/>
          <w:color w:val="000000"/>
          <w:sz w:val="22"/>
          <w:szCs w:val="22"/>
          <w:lang w:val="es-AR" w:eastAsia="es-AR"/>
        </w:rPr>
        <w:t xml:space="preserve"> del Contrato Suplementario; </w:t>
      </w:r>
    </w:p>
    <w:p w14:paraId="12FCA330" w14:textId="4E5D2796" w:rsidR="002370AF" w:rsidRPr="00506990" w:rsidRDefault="002370AF" w:rsidP="002370AF">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 xml:space="preserve">Si la CNV cancelara por resolución firme la autorización para la oferta pública de los </w:t>
      </w:r>
      <w:r w:rsidR="00151843" w:rsidRPr="002276F7">
        <w:rPr>
          <w:rFonts w:ascii="Times New Roman" w:hAnsi="Times New Roman" w:cs="Times New Roman"/>
          <w:color w:val="000000"/>
          <w:sz w:val="22"/>
          <w:szCs w:val="22"/>
          <w:lang w:val="es-AR" w:eastAsia="es-AR"/>
        </w:rPr>
        <w:t>Valores de Deuda Fiduciaria</w:t>
      </w:r>
      <w:r w:rsidRPr="00506990">
        <w:rPr>
          <w:rFonts w:ascii="Times New Roman" w:hAnsi="Times New Roman" w:cs="Times New Roman"/>
          <w:color w:val="000000"/>
          <w:sz w:val="22"/>
          <w:szCs w:val="22"/>
          <w:lang w:val="es-AR" w:eastAsia="es-AR"/>
        </w:rPr>
        <w:t xml:space="preserve"> o, en caso de haberse solicitado, si los mercados autorizados donde listen y/o negocien los </w:t>
      </w:r>
      <w:r w:rsidR="00151843" w:rsidRPr="00AA2014">
        <w:rPr>
          <w:rFonts w:ascii="Times New Roman" w:hAnsi="Times New Roman" w:cs="Times New Roman"/>
          <w:color w:val="000000"/>
          <w:sz w:val="22"/>
          <w:szCs w:val="22"/>
          <w:lang w:val="es-AR" w:eastAsia="es-AR"/>
        </w:rPr>
        <w:t>Valores de Deuda Fiduciaria</w:t>
      </w:r>
      <w:r w:rsidR="00042325" w:rsidRPr="00E52538">
        <w:rPr>
          <w:rFonts w:ascii="Times New Roman" w:hAnsi="Times New Roman"/>
          <w:color w:val="0D0D0D" w:themeColor="text1" w:themeTint="F2"/>
          <w:sz w:val="22"/>
          <w:lang w:val="es-AR"/>
        </w:rPr>
        <w:t xml:space="preserve"> </w:t>
      </w:r>
      <w:r w:rsidRPr="00506990">
        <w:rPr>
          <w:rFonts w:ascii="Times New Roman" w:hAnsi="Times New Roman" w:cs="Times New Roman"/>
          <w:color w:val="000000"/>
          <w:sz w:val="22"/>
          <w:szCs w:val="22"/>
          <w:lang w:val="es-AR" w:eastAsia="es-AR"/>
        </w:rPr>
        <w:t xml:space="preserve">cancelaran por resolución firme su listado; </w:t>
      </w:r>
    </w:p>
    <w:p w14:paraId="010D2F06" w14:textId="77777777" w:rsidR="002370AF" w:rsidRPr="00506990" w:rsidRDefault="002370AF" w:rsidP="002370AF">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Si los Bienes Fideicomitidos se viesen afectados física o jurídicamente de modo tal que resulte imposible que cumplan su función de garantía, y no pudiesen ser sustituidos por otros activos; </w:t>
      </w:r>
    </w:p>
    <w:p w14:paraId="71D1B0B3" w14:textId="77777777" w:rsidR="002370AF" w:rsidRPr="00506990" w:rsidRDefault="002370AF" w:rsidP="002370AF">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(d) </w:t>
      </w:r>
      <w:r w:rsidRPr="00506990">
        <w:rPr>
          <w:rFonts w:ascii="Times New Roman" w:hAnsi="Times New Roman" w:cs="Times New Roman"/>
          <w:color w:val="000000"/>
          <w:sz w:val="22"/>
          <w:szCs w:val="22"/>
          <w:lang w:val="es-AR" w:eastAsia="es-AR"/>
        </w:rPr>
        <w:t xml:space="preserve">Falta de cumplimiento en tiempo y forma por parte de los Fiduciantes de cualquier obligación establecida en este Contrato, cuyo incumplimiento sea relevante y afecte en forma significativa el Fideicomiso; </w:t>
      </w:r>
    </w:p>
    <w:p w14:paraId="1474B3B9" w14:textId="77777777" w:rsidR="002370AF" w:rsidRPr="00506990" w:rsidRDefault="002370AF" w:rsidP="002370AF">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(e) </w:t>
      </w:r>
      <w:r w:rsidRPr="00506990">
        <w:rPr>
          <w:rFonts w:ascii="Times New Roman" w:hAnsi="Times New Roman" w:cs="Times New Roman"/>
          <w:color w:val="000000"/>
          <w:sz w:val="22"/>
          <w:szCs w:val="22"/>
          <w:lang w:val="es-AR" w:eastAsia="es-AR"/>
        </w:rPr>
        <w:t xml:space="preserve">Toda sentencia judicial firme y definitiva que restrinja la validez, vigencia, alcance y ejecutabilidad de los Documentos y de este Contrato; </w:t>
      </w:r>
    </w:p>
    <w:p w14:paraId="5C1F866A" w14:textId="77777777" w:rsidR="002370AF" w:rsidRPr="00506990" w:rsidRDefault="002370AF" w:rsidP="002370AF">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(f) </w:t>
      </w:r>
      <w:r w:rsidRPr="00506990">
        <w:rPr>
          <w:rFonts w:ascii="Times New Roman" w:hAnsi="Times New Roman" w:cs="Times New Roman"/>
          <w:color w:val="000000"/>
          <w:sz w:val="22"/>
          <w:szCs w:val="22"/>
          <w:lang w:val="es-AR" w:eastAsia="es-AR"/>
        </w:rPr>
        <w:t xml:space="preserve">Si cualquier información, declaración, garantía o certificación significativa realizada o suministrada por los Fiduciantes (incluyendo cualesquiera de sus funcionarios debidamente autorizados) en este Contrato o en cualquier documento entregado por los Fiduciantes conforme a o en ejecución de este Contrato resultara haber sido incorrecta, inexacta, incompleta o engañosa, en cualquier aspecto importante, en el momento de su realización y la misma tuviera un efecto significativo sobre el Fideicomiso. </w:t>
      </w:r>
    </w:p>
    <w:p w14:paraId="407471EA" w14:textId="77777777" w:rsidR="002370AF" w:rsidRPr="00506990" w:rsidRDefault="002370AF" w:rsidP="002370AF">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La enumeración de los eventos del presente artículo así como cualquier otro Evento Especial enunciado en el Contrato Marco son de carácter taxativo. </w:t>
      </w:r>
    </w:p>
    <w:p w14:paraId="4E42FCF1" w14:textId="77777777" w:rsidR="002370AF" w:rsidRPr="00506990" w:rsidRDefault="002370AF" w:rsidP="002370AF">
      <w:pPr>
        <w:autoSpaceDE w:val="0"/>
        <w:autoSpaceDN w:val="0"/>
        <w:adjustRightInd w:val="0"/>
        <w:jc w:val="left"/>
        <w:rPr>
          <w:rFonts w:ascii="Times New Roman" w:hAnsi="Times New Roman" w:cs="Times New Roman"/>
          <w:color w:val="000000"/>
          <w:sz w:val="21"/>
          <w:szCs w:val="21"/>
          <w:lang w:val="es-AR" w:eastAsia="es-AR"/>
        </w:rPr>
      </w:pPr>
    </w:p>
    <w:p w14:paraId="7AEE88B5" w14:textId="6F61E4C1" w:rsidR="002370AF" w:rsidRPr="00506990" w:rsidRDefault="002370AF" w:rsidP="002370AF">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Artículo 2.1</w:t>
      </w:r>
      <w:r w:rsidR="000D40C5">
        <w:rPr>
          <w:rFonts w:ascii="Times New Roman" w:hAnsi="Times New Roman" w:cs="Times New Roman"/>
          <w:b/>
          <w:bCs/>
          <w:color w:val="000000"/>
          <w:sz w:val="22"/>
          <w:szCs w:val="22"/>
          <w:lang w:val="es-AR" w:eastAsia="es-AR"/>
        </w:rPr>
        <w:t>2</w:t>
      </w:r>
      <w:r w:rsidRPr="00506990">
        <w:rPr>
          <w:rFonts w:ascii="Times New Roman" w:hAnsi="Times New Roman" w:cs="Times New Roman"/>
          <w:b/>
          <w:bCs/>
          <w:color w:val="000000"/>
          <w:sz w:val="22"/>
          <w:szCs w:val="22"/>
          <w:lang w:val="es-AR" w:eastAsia="es-AR"/>
        </w:rPr>
        <w:t xml:space="preserve">. Consecuencias de un Evento Especial. </w:t>
      </w:r>
      <w:r w:rsidRPr="00506990">
        <w:rPr>
          <w:rFonts w:ascii="Times New Roman" w:hAnsi="Times New Roman" w:cs="Times New Roman"/>
          <w:color w:val="000000"/>
          <w:sz w:val="22"/>
          <w:szCs w:val="22"/>
          <w:lang w:val="es-AR" w:eastAsia="es-AR"/>
        </w:rPr>
        <w:t xml:space="preserve">Producido cualesquiera de los Eventos Especiales, el Fiduciario deberá inmediatamente, a más tardar dentro de 1 (un) Día Hábil de verificado el hecho, </w:t>
      </w: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 xml:space="preserve">declarar la existencia de un Evento Especial mediante publicación de dicha circunstancia en la página web de la CNV, ítem Información Financiera, “Hecho Relevante”, y en los sistemas de información de los mercados autorizados donde listen y/o negocien los </w:t>
      </w:r>
      <w:r w:rsidR="00151843" w:rsidRPr="00AA2014">
        <w:rPr>
          <w:rFonts w:ascii="Times New Roman" w:hAnsi="Times New Roman" w:cs="Times New Roman"/>
          <w:color w:val="000000"/>
          <w:sz w:val="22"/>
          <w:szCs w:val="22"/>
          <w:lang w:val="es-AR" w:eastAsia="es-AR"/>
        </w:rPr>
        <w:t>Valores de Deuda Fiduciaria</w:t>
      </w:r>
      <w:r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 xml:space="preserve">notificar de inmediato dicha declaración a los Fiduciantes; </w:t>
      </w: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requerirá una resolución de los Beneficiarios  adoptada conforme a las reglas del Contrato Marco acerca de los derechos y facultades a ejercer en tal supuesto. La decisión, que en el marco de un Evento Especial adopten los Beneficiarios, deberá ser mediante Asamblea Extraordinaria de Beneficiarios o a través del procedimiento de adopción de resoluciones prescindiendo de la misma previsto en el artículo 33.2 del Contrato Marco. Serán derechos y facultades de la Mayoría Extraordinaria de Beneficiarios ante un Evento Especial, los siguientes: </w:t>
      </w:r>
      <w:r w:rsidRPr="00506990">
        <w:rPr>
          <w:rFonts w:ascii="Times New Roman" w:hAnsi="Times New Roman" w:cs="Times New Roman"/>
          <w:b/>
          <w:bCs/>
          <w:color w:val="000000"/>
          <w:sz w:val="22"/>
          <w:szCs w:val="22"/>
          <w:lang w:val="es-AR" w:eastAsia="es-AR"/>
        </w:rPr>
        <w:t xml:space="preserve">(i) </w:t>
      </w:r>
      <w:r w:rsidRPr="00506990">
        <w:rPr>
          <w:rFonts w:ascii="Times New Roman" w:hAnsi="Times New Roman" w:cs="Times New Roman"/>
          <w:color w:val="000000"/>
          <w:sz w:val="22"/>
          <w:szCs w:val="22"/>
          <w:lang w:val="es-AR" w:eastAsia="es-AR"/>
        </w:rPr>
        <w:t xml:space="preserve">Disponer la liquidación anticipada del Fideicomiso, mediante (1) la venta en licitación privada de los Créditos y la realización de los demás Bienes Fideicomitidos, por la base y las modalidades, y con la intervención de las entidades que las partes acuerden. El precio por el que se enajenen los Créditos no podrá ser inferior al valor nominal de los </w:t>
      </w:r>
      <w:r w:rsidR="00151843">
        <w:rPr>
          <w:rFonts w:ascii="Times New Roman" w:hAnsi="Times New Roman"/>
          <w:color w:val="0D0D0D" w:themeColor="text1" w:themeTint="F2"/>
          <w:sz w:val="22"/>
          <w:lang w:val="es-AR"/>
        </w:rPr>
        <w:t>Valores de Deuda Fiduciaria</w:t>
      </w:r>
      <w:r w:rsidR="00042325" w:rsidRPr="00E52538">
        <w:rPr>
          <w:rFonts w:ascii="Times New Roman" w:hAnsi="Times New Roman"/>
          <w:color w:val="0D0D0D" w:themeColor="text1" w:themeTint="F2"/>
          <w:sz w:val="22"/>
          <w:lang w:val="es-AR"/>
        </w:rPr>
        <w:t xml:space="preserve"> </w:t>
      </w:r>
      <w:r w:rsidRPr="00506990">
        <w:rPr>
          <w:rFonts w:ascii="Times New Roman" w:hAnsi="Times New Roman" w:cs="Times New Roman"/>
          <w:color w:val="000000"/>
          <w:sz w:val="22"/>
          <w:szCs w:val="22"/>
          <w:lang w:val="es-AR" w:eastAsia="es-AR"/>
        </w:rPr>
        <w:t xml:space="preserve">en circulación; o (2) la asignación directa de los mismos a los Beneficiarios; o </w:t>
      </w:r>
      <w:r w:rsidRPr="00506990">
        <w:rPr>
          <w:rFonts w:ascii="Times New Roman" w:hAnsi="Times New Roman" w:cs="Times New Roman"/>
          <w:b/>
          <w:bCs/>
          <w:color w:val="000000"/>
          <w:sz w:val="22"/>
          <w:szCs w:val="22"/>
          <w:lang w:val="es-AR" w:eastAsia="es-AR"/>
        </w:rPr>
        <w:t xml:space="preserve">(ii) </w:t>
      </w:r>
      <w:r w:rsidRPr="00506990">
        <w:rPr>
          <w:rFonts w:ascii="Times New Roman" w:hAnsi="Times New Roman" w:cs="Times New Roman"/>
          <w:color w:val="000000"/>
          <w:sz w:val="22"/>
          <w:szCs w:val="22"/>
          <w:lang w:val="es-AR" w:eastAsia="es-AR"/>
        </w:rPr>
        <w:t>Disponer la continuación del Fideicomiso como privado. A los Beneficiarios que votaron en contra de tal decisión les serán aplicables las disposiciones contenidas en el artículo 2.1</w:t>
      </w:r>
      <w:r w:rsidR="000D40C5">
        <w:rPr>
          <w:rFonts w:ascii="Times New Roman" w:hAnsi="Times New Roman" w:cs="Times New Roman"/>
          <w:color w:val="000000"/>
          <w:sz w:val="22"/>
          <w:szCs w:val="22"/>
          <w:lang w:val="es-AR" w:eastAsia="es-AR"/>
        </w:rPr>
        <w:t>2</w:t>
      </w:r>
      <w:r w:rsidRPr="00506990">
        <w:rPr>
          <w:rFonts w:ascii="Times New Roman" w:hAnsi="Times New Roman" w:cs="Times New Roman"/>
          <w:color w:val="000000"/>
          <w:sz w:val="22"/>
          <w:szCs w:val="22"/>
          <w:lang w:val="es-AR" w:eastAsia="es-AR"/>
        </w:rPr>
        <w:t xml:space="preserve">, I (c). </w:t>
      </w:r>
    </w:p>
    <w:p w14:paraId="2BFF7BD2" w14:textId="0677C197" w:rsidR="002370AF" w:rsidRPr="00506990" w:rsidRDefault="002370AF" w:rsidP="002370AF">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La resolución que se adopte se anunciará por el Fiduciario en la AIF y, durante tres (3) días en los sistemas de información de los mercados autorizados donde listen y/o negocien los </w:t>
      </w:r>
      <w:r w:rsidR="00151843">
        <w:rPr>
          <w:rFonts w:ascii="Times New Roman" w:hAnsi="Times New Roman"/>
          <w:color w:val="0D0D0D" w:themeColor="text1" w:themeTint="F2"/>
          <w:sz w:val="22"/>
          <w:lang w:val="es-AR"/>
        </w:rPr>
        <w:t>Valores de Deuda Fiduciaria</w:t>
      </w:r>
      <w:r w:rsidR="00042325" w:rsidRPr="00E52538">
        <w:rPr>
          <w:rFonts w:ascii="Times New Roman" w:hAnsi="Times New Roman"/>
          <w:color w:val="0D0D0D" w:themeColor="text1" w:themeTint="F2"/>
          <w:sz w:val="22"/>
          <w:lang w:val="es-AR"/>
        </w:rPr>
        <w:t xml:space="preserve"> </w:t>
      </w:r>
      <w:r w:rsidRPr="00506990">
        <w:rPr>
          <w:rFonts w:ascii="Times New Roman" w:hAnsi="Times New Roman" w:cs="Times New Roman"/>
          <w:color w:val="000000"/>
          <w:sz w:val="22"/>
          <w:szCs w:val="22"/>
          <w:lang w:val="es-AR" w:eastAsia="es-AR"/>
        </w:rPr>
        <w:t>salvo que la decisión se hubiese adoptado por unanimidad donde la publicación se realizará por un (1) solo día.</w:t>
      </w:r>
    </w:p>
    <w:p w14:paraId="033DE8B5" w14:textId="77777777" w:rsidR="002370AF" w:rsidRPr="00506990" w:rsidRDefault="002370AF" w:rsidP="002370AF">
      <w:pPr>
        <w:pStyle w:val="Textoindependiente"/>
        <w:jc w:val="both"/>
        <w:rPr>
          <w:rFonts w:ascii="Times New Roman" w:hAnsi="Times New Roman"/>
          <w:b w:val="0"/>
          <w:bCs w:val="0"/>
          <w:color w:val="000000"/>
          <w:sz w:val="22"/>
          <w:szCs w:val="22"/>
          <w:lang w:val="es-AR" w:eastAsia="es-AR"/>
        </w:rPr>
      </w:pPr>
      <w:r w:rsidRPr="00506990">
        <w:rPr>
          <w:rFonts w:ascii="Times New Roman" w:hAnsi="Times New Roman"/>
          <w:b w:val="0"/>
          <w:bCs w:val="0"/>
          <w:color w:val="000000"/>
          <w:sz w:val="22"/>
          <w:szCs w:val="22"/>
          <w:lang w:val="es-AR" w:eastAsia="es-AR"/>
        </w:rPr>
        <w:t>Desde la declaración de existencia de un Evento Especial previsto en el inciso a) del artículo anterior, se devengarán de pleno derecho intereses moratorios a una tasa equivalente a una vez y media la última tasa de interés pagada a los VDFB.</w:t>
      </w:r>
    </w:p>
    <w:p w14:paraId="79150AD1" w14:textId="77777777" w:rsidR="002370AF" w:rsidRPr="00506990" w:rsidRDefault="002370AF" w:rsidP="002370AF">
      <w:pPr>
        <w:pStyle w:val="0-Texto"/>
        <w:spacing w:line="240" w:lineRule="auto"/>
        <w:rPr>
          <w:rFonts w:ascii="Times New Roman" w:eastAsia="Calibri" w:hAnsi="Times New Roman" w:cs="Times New Roman"/>
          <w:bCs w:val="0"/>
          <w:color w:val="000000"/>
        </w:rPr>
      </w:pPr>
      <w:r w:rsidRPr="00506990">
        <w:rPr>
          <w:rFonts w:ascii="Times New Roman" w:eastAsia="Calibri" w:hAnsi="Times New Roman" w:cs="Times New Roman"/>
          <w:bCs w:val="0"/>
          <w:color w:val="000000"/>
        </w:rPr>
        <w:t>En caso de insuficiencia del patrimonio fideicomitido, se considerarán válidas las decisiones que se tomen con el voto favorable de al menos las tres cuartas partes de los valores emitidos y en circulación, debiendo aplicarse las pautas establecidas en la última parte del artículo 1696 del Código Civil y Comercial de la Nación para el cómputo del quórum y las mayorías.</w:t>
      </w:r>
    </w:p>
    <w:p w14:paraId="374CF46E" w14:textId="77777777" w:rsidR="002370AF" w:rsidRPr="00506990" w:rsidRDefault="002370AF" w:rsidP="002370AF">
      <w:pPr>
        <w:pStyle w:val="Textoindependiente"/>
        <w:jc w:val="both"/>
        <w:rPr>
          <w:rFonts w:ascii="Times New Roman" w:hAnsi="Times New Roman"/>
          <w:b w:val="0"/>
          <w:bCs w:val="0"/>
          <w:iCs/>
          <w:color w:val="0D0D0D" w:themeColor="text1" w:themeTint="F2"/>
          <w:sz w:val="22"/>
          <w:szCs w:val="22"/>
          <w:lang w:val="es-AR"/>
        </w:rPr>
      </w:pPr>
    </w:p>
    <w:p w14:paraId="104545FE" w14:textId="3B4A83D7" w:rsidR="00151843" w:rsidRPr="003A006D" w:rsidRDefault="002370AF" w:rsidP="00151843">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2.</w:t>
      </w:r>
      <w:r w:rsidR="00672A18" w:rsidRPr="00506990">
        <w:rPr>
          <w:rFonts w:ascii="Times New Roman" w:hAnsi="Times New Roman" w:cs="Times New Roman"/>
          <w:b/>
          <w:iCs/>
          <w:color w:val="0D0D0D" w:themeColor="text1" w:themeTint="F2"/>
          <w:sz w:val="22"/>
          <w:szCs w:val="22"/>
        </w:rPr>
        <w:t>1</w:t>
      </w:r>
      <w:r w:rsidR="000D40C5">
        <w:rPr>
          <w:rFonts w:ascii="Times New Roman" w:hAnsi="Times New Roman" w:cs="Times New Roman"/>
          <w:b/>
          <w:iCs/>
          <w:color w:val="0D0D0D" w:themeColor="text1" w:themeTint="F2"/>
          <w:sz w:val="22"/>
          <w:szCs w:val="22"/>
        </w:rPr>
        <w:t>3</w:t>
      </w:r>
      <w:r w:rsidR="00672A18" w:rsidRPr="00506990">
        <w:rPr>
          <w:rFonts w:ascii="Times New Roman" w:hAnsi="Times New Roman" w:cs="Times New Roman"/>
          <w:b/>
          <w:iCs/>
          <w:color w:val="0D0D0D" w:themeColor="text1" w:themeTint="F2"/>
          <w:sz w:val="22"/>
          <w:szCs w:val="22"/>
        </w:rPr>
        <w:t xml:space="preserve">. </w:t>
      </w:r>
      <w:r w:rsidR="00151843" w:rsidRPr="00506990">
        <w:rPr>
          <w:rFonts w:ascii="Times New Roman" w:hAnsi="Times New Roman" w:cs="Times New Roman"/>
          <w:b/>
          <w:bCs/>
          <w:iCs/>
          <w:color w:val="0D0D0D" w:themeColor="text1" w:themeTint="F2"/>
          <w:sz w:val="22"/>
          <w:szCs w:val="22"/>
        </w:rPr>
        <w:t>Liquidación anticipada o transformación del Fideicomiso instruida por Mayoría Ordinaria</w:t>
      </w:r>
      <w:r w:rsidR="00151843" w:rsidRPr="003A006D">
        <w:rPr>
          <w:rFonts w:ascii="Times New Roman" w:hAnsi="Times New Roman" w:cs="Times New Roman"/>
          <w:b/>
          <w:bCs/>
          <w:iCs/>
          <w:color w:val="0D0D0D" w:themeColor="text1" w:themeTint="F2"/>
          <w:sz w:val="22"/>
          <w:szCs w:val="22"/>
        </w:rPr>
        <w:t xml:space="preserve"> de </w:t>
      </w:r>
      <w:r w:rsidR="00151843" w:rsidRPr="00506990">
        <w:rPr>
          <w:rFonts w:ascii="Times New Roman" w:hAnsi="Times New Roman" w:cs="Times New Roman"/>
          <w:b/>
          <w:bCs/>
          <w:iCs/>
          <w:color w:val="0D0D0D" w:themeColor="text1" w:themeTint="F2"/>
          <w:sz w:val="22"/>
          <w:szCs w:val="22"/>
        </w:rPr>
        <w:t xml:space="preserve">Beneficiarios totalmente subordinados. </w:t>
      </w:r>
      <w:r w:rsidR="00151843" w:rsidRPr="00506990">
        <w:rPr>
          <w:rFonts w:ascii="Times New Roman" w:hAnsi="Times New Roman" w:cs="Times New Roman"/>
          <w:bCs/>
          <w:iCs/>
          <w:color w:val="0D0D0D" w:themeColor="text1" w:themeTint="F2"/>
          <w:sz w:val="22"/>
          <w:szCs w:val="22"/>
        </w:rPr>
        <w:t>I.</w:t>
      </w:r>
      <w:r w:rsidR="00151843" w:rsidRPr="00506990">
        <w:rPr>
          <w:rFonts w:ascii="Times New Roman" w:hAnsi="Times New Roman" w:cs="Times New Roman"/>
          <w:iCs/>
          <w:color w:val="0D0D0D" w:themeColor="text1" w:themeTint="F2"/>
          <w:sz w:val="22"/>
          <w:szCs w:val="22"/>
        </w:rPr>
        <w:t xml:space="preserve"> Una</w:t>
      </w:r>
      <w:r w:rsidR="00151843" w:rsidRPr="008B3986">
        <w:rPr>
          <w:rFonts w:ascii="Times New Roman" w:hAnsi="Times New Roman"/>
          <w:color w:val="0D0D0D" w:themeColor="text1" w:themeTint="F2"/>
          <w:sz w:val="22"/>
        </w:rPr>
        <w:t xml:space="preserve"> vez </w:t>
      </w:r>
      <w:r w:rsidR="00151843" w:rsidRPr="00506990">
        <w:rPr>
          <w:rFonts w:ascii="Times New Roman" w:hAnsi="Times New Roman" w:cs="Times New Roman"/>
          <w:iCs/>
          <w:color w:val="0D0D0D" w:themeColor="text1" w:themeTint="F2"/>
          <w:sz w:val="22"/>
          <w:szCs w:val="22"/>
        </w:rPr>
        <w:t>extinguidos los VDFA</w:t>
      </w:r>
      <w:r w:rsidR="00151843" w:rsidRPr="003A006D">
        <w:rPr>
          <w:rFonts w:ascii="Times New Roman" w:hAnsi="Times New Roman" w:cs="Times New Roman"/>
          <w:iCs/>
          <w:color w:val="0D0D0D" w:themeColor="text1" w:themeTint="F2"/>
          <w:sz w:val="22"/>
          <w:szCs w:val="22"/>
        </w:rPr>
        <w:t xml:space="preserve">, los Beneficiarios que representen la </w:t>
      </w:r>
      <w:r w:rsidR="00151843" w:rsidRPr="00506990">
        <w:rPr>
          <w:rFonts w:ascii="Times New Roman" w:hAnsi="Times New Roman" w:cs="Times New Roman"/>
          <w:iCs/>
          <w:color w:val="0D0D0D" w:themeColor="text1" w:themeTint="F2"/>
          <w:sz w:val="22"/>
          <w:szCs w:val="22"/>
        </w:rPr>
        <w:t>Mayoría Ordinaria de los Beneficiarios titulares de los VDFB</w:t>
      </w:r>
      <w:r w:rsidR="00151843" w:rsidRPr="003A006D">
        <w:rPr>
          <w:rFonts w:ascii="Times New Roman" w:hAnsi="Times New Roman" w:cs="Times New Roman"/>
          <w:iCs/>
          <w:color w:val="0D0D0D" w:themeColor="text1" w:themeTint="F2"/>
          <w:sz w:val="22"/>
          <w:szCs w:val="22"/>
        </w:rPr>
        <w:t xml:space="preserve"> podrán resolver, y así instruir al Fiduciario: (a) la liquidación anticipada del Fideicomiso</w:t>
      </w:r>
      <w:r w:rsidR="00151843" w:rsidRPr="00506990">
        <w:rPr>
          <w:rFonts w:ascii="Times New Roman" w:hAnsi="Times New Roman" w:cs="Times New Roman"/>
          <w:iCs/>
          <w:color w:val="0D0D0D" w:themeColor="text1" w:themeTint="F2"/>
          <w:sz w:val="22"/>
          <w:szCs w:val="22"/>
        </w:rPr>
        <w:t xml:space="preserve"> estableciendo </w:t>
      </w:r>
      <w:r w:rsidR="00151843" w:rsidRPr="003A006D">
        <w:rPr>
          <w:rFonts w:ascii="Times New Roman" w:hAnsi="Times New Roman" w:cs="Times New Roman"/>
          <w:iCs/>
          <w:color w:val="0D0D0D" w:themeColor="text1" w:themeTint="F2"/>
          <w:sz w:val="22"/>
          <w:szCs w:val="22"/>
        </w:rPr>
        <w:t xml:space="preserve">el procedimiento de realización de los </w:t>
      </w:r>
      <w:r w:rsidR="00151843" w:rsidRPr="00506990">
        <w:rPr>
          <w:rFonts w:ascii="Times New Roman" w:hAnsi="Times New Roman" w:cs="Times New Roman"/>
          <w:iCs/>
          <w:color w:val="0D0D0D" w:themeColor="text1" w:themeTint="F2"/>
          <w:sz w:val="22"/>
          <w:szCs w:val="22"/>
        </w:rPr>
        <w:t>Bienes Fideicomitidos</w:t>
      </w:r>
      <w:r w:rsidR="00151843" w:rsidRPr="003A006D">
        <w:rPr>
          <w:rFonts w:ascii="Times New Roman" w:hAnsi="Times New Roman" w:cs="Times New Roman"/>
          <w:iCs/>
          <w:color w:val="0D0D0D" w:themeColor="text1" w:themeTint="F2"/>
          <w:sz w:val="22"/>
          <w:szCs w:val="22"/>
        </w:rPr>
        <w:t xml:space="preserve">, que podrán ser readquiridos por </w:t>
      </w:r>
      <w:r w:rsidR="00151843" w:rsidRPr="00506990">
        <w:rPr>
          <w:rFonts w:ascii="Times New Roman" w:hAnsi="Times New Roman" w:cs="Times New Roman"/>
          <w:iCs/>
          <w:color w:val="0D0D0D" w:themeColor="text1" w:themeTint="F2"/>
          <w:sz w:val="22"/>
          <w:szCs w:val="22"/>
        </w:rPr>
        <w:t>los Fiduciantes, o ser adjudicados</w:t>
      </w:r>
      <w:r w:rsidR="00151843" w:rsidRPr="003A006D">
        <w:rPr>
          <w:rFonts w:ascii="Times New Roman" w:hAnsi="Times New Roman" w:cs="Times New Roman"/>
          <w:iCs/>
          <w:color w:val="0D0D0D" w:themeColor="text1" w:themeTint="F2"/>
          <w:sz w:val="22"/>
          <w:szCs w:val="22"/>
        </w:rPr>
        <w:t xml:space="preserve"> a los Beneficiarios en forma proporcional a sus respectivas tenencias, </w:t>
      </w:r>
      <w:r w:rsidR="00151843" w:rsidRPr="00506990">
        <w:rPr>
          <w:rFonts w:ascii="Times New Roman" w:hAnsi="Times New Roman" w:cs="Times New Roman"/>
          <w:iCs/>
          <w:color w:val="0D0D0D" w:themeColor="text1" w:themeTint="F2"/>
          <w:sz w:val="22"/>
          <w:szCs w:val="22"/>
        </w:rPr>
        <w:t xml:space="preserve">y/o </w:t>
      </w:r>
      <w:r w:rsidR="00151843" w:rsidRPr="003A006D">
        <w:rPr>
          <w:rFonts w:ascii="Times New Roman" w:hAnsi="Times New Roman" w:cs="Times New Roman"/>
          <w:iCs/>
          <w:color w:val="0D0D0D" w:themeColor="text1" w:themeTint="F2"/>
          <w:sz w:val="22"/>
          <w:szCs w:val="22"/>
        </w:rPr>
        <w:t xml:space="preserve">(b) el retiro de los </w:t>
      </w:r>
      <w:r w:rsidR="00151843" w:rsidRPr="00506990">
        <w:rPr>
          <w:rFonts w:ascii="Times New Roman" w:hAnsi="Times New Roman" w:cs="Times New Roman"/>
          <w:iCs/>
          <w:color w:val="0D0D0D" w:themeColor="text1" w:themeTint="F2"/>
          <w:sz w:val="22"/>
          <w:szCs w:val="22"/>
        </w:rPr>
        <w:t>VDFB</w:t>
      </w:r>
      <w:r w:rsidR="00151843" w:rsidRPr="003A006D">
        <w:rPr>
          <w:rFonts w:ascii="Times New Roman" w:hAnsi="Times New Roman" w:cs="Times New Roman"/>
          <w:iCs/>
          <w:color w:val="0D0D0D" w:themeColor="text1" w:themeTint="F2"/>
          <w:sz w:val="22"/>
          <w:szCs w:val="22"/>
        </w:rPr>
        <w:t xml:space="preserve">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 y/o negocien los Valores </w:t>
      </w:r>
      <w:r w:rsidR="00151843" w:rsidRPr="00506990">
        <w:rPr>
          <w:rFonts w:ascii="Times New Roman" w:hAnsi="Times New Roman" w:cs="Times New Roman"/>
          <w:iCs/>
          <w:color w:val="0D0D0D" w:themeColor="text1" w:themeTint="F2"/>
          <w:sz w:val="22"/>
          <w:szCs w:val="22"/>
        </w:rPr>
        <w:t>de Deuda Fiduciaria</w:t>
      </w:r>
      <w:r w:rsidR="00151843" w:rsidRPr="003A006D">
        <w:rPr>
          <w:rFonts w:ascii="Times New Roman" w:hAnsi="Times New Roman" w:cs="Times New Roman"/>
          <w:iCs/>
          <w:color w:val="0D0D0D" w:themeColor="text1" w:themeTint="F2"/>
          <w:sz w:val="22"/>
          <w:szCs w:val="22"/>
        </w:rPr>
        <w:t xml:space="preserve"> salvo que la decisión se hubiese adoptado por unanimidad donde la publicación se realizará por un (1) solo día. En caso de adoptarse las alternativas (b) o (c), los Beneficiarios que votaron en contra de la resolución adoptada en (b) y (c) podrán solicitar el reembolso del valor nominal residual de sus </w:t>
      </w:r>
      <w:r w:rsidR="00151843" w:rsidRPr="00506990">
        <w:rPr>
          <w:rFonts w:ascii="Times New Roman" w:hAnsi="Times New Roman" w:cs="Times New Roman"/>
          <w:iCs/>
          <w:color w:val="0D0D0D" w:themeColor="text1" w:themeTint="F2"/>
          <w:sz w:val="22"/>
          <w:szCs w:val="22"/>
        </w:rPr>
        <w:t>VDF con más una rentabilidad equivalente a una vez y media el último interés pagado a la Clase de grado superior</w:t>
      </w:r>
      <w:r w:rsidR="00151843" w:rsidRPr="003A006D">
        <w:rPr>
          <w:rFonts w:ascii="Times New Roman" w:hAnsi="Times New Roman" w:cs="Times New Roman"/>
          <w:iCs/>
          <w:color w:val="0D0D0D" w:themeColor="text1" w:themeTint="F2"/>
          <w:sz w:val="22"/>
          <w:szCs w:val="22"/>
        </w:rPr>
        <w:t xml:space="preserve">, sin derecho a ninguna otra prestación, y en la medida que existan fondos suficientes en el Fideicomiso. Ello importará la liquidación parcial del Fideicomiso, pudiéndose en su caso realizar créditos conforme a lo establecido en (a). La solicitud deberá dirigirse al Fiduciario dentro de los quince (15) días posteriores a la fecha de la última publicación. El valor de reembolso deberá pagarse dentro de los sesenta (60) días de vencido dicho plazo, salvo que antes de esa fecha se hubiera resuelto la liquidación anticipada del Fideicomiso, lo que será comunicado por medio fehaciente a los Beneficiarios que solicitaron el reembolso. </w:t>
      </w:r>
    </w:p>
    <w:p w14:paraId="4C9AD0DA" w14:textId="77777777" w:rsidR="00151843" w:rsidRPr="003A006D" w:rsidRDefault="00151843" w:rsidP="00151843">
      <w:pPr>
        <w:suppressAutoHyphens/>
        <w:rPr>
          <w:rFonts w:ascii="Times New Roman" w:hAnsi="Times New Roman" w:cs="Times New Roman"/>
          <w:iCs/>
          <w:color w:val="0D0D0D" w:themeColor="text1" w:themeTint="F2"/>
          <w:sz w:val="22"/>
          <w:szCs w:val="22"/>
        </w:rPr>
      </w:pPr>
      <w:r w:rsidRPr="003A006D">
        <w:rPr>
          <w:rFonts w:ascii="Times New Roman" w:hAnsi="Times New Roman" w:cs="Times New Roman"/>
          <w:iCs/>
          <w:color w:val="0D0D0D" w:themeColor="text1" w:themeTint="F2"/>
          <w:sz w:val="22"/>
          <w:szCs w:val="22"/>
        </w:rPr>
        <w:t xml:space="preserve">II.- A los efectos de lo dispuesto en el inciso I. (a) precedente, así como en cualquier supuesto de liquidación anticipada del Fideicomiso, salvo disposición en contrario de la Mayoría </w:t>
      </w:r>
      <w:r w:rsidRPr="00506990">
        <w:rPr>
          <w:rFonts w:ascii="Times New Roman" w:hAnsi="Times New Roman" w:cs="Times New Roman"/>
          <w:iCs/>
          <w:color w:val="0D0D0D" w:themeColor="text1" w:themeTint="F2"/>
          <w:sz w:val="22"/>
          <w:szCs w:val="22"/>
        </w:rPr>
        <w:t xml:space="preserve">Ordinaria </w:t>
      </w:r>
      <w:r w:rsidRPr="003A006D">
        <w:rPr>
          <w:rFonts w:ascii="Times New Roman" w:hAnsi="Times New Roman" w:cs="Times New Roman"/>
          <w:iCs/>
          <w:color w:val="0D0D0D" w:themeColor="text1" w:themeTint="F2"/>
          <w:sz w:val="22"/>
          <w:szCs w:val="22"/>
        </w:rPr>
        <w:t>de Beneficiarios, los créditos se valuarán conforme a las normas de previsionamiento del Banco Central de la República Argentina y se deducirán los importes correspondientes al Fondo de Reserva Impositivo y los Gastos.</w:t>
      </w:r>
    </w:p>
    <w:p w14:paraId="6A4B2225" w14:textId="77777777" w:rsidR="00151843" w:rsidRPr="003A006D" w:rsidRDefault="00151843" w:rsidP="00151843">
      <w:pPr>
        <w:suppressAutoHyphens/>
        <w:rPr>
          <w:rFonts w:ascii="Times New Roman" w:hAnsi="Times New Roman" w:cs="Times New Roman"/>
          <w:iCs/>
          <w:color w:val="0D0D0D" w:themeColor="text1" w:themeTint="F2"/>
          <w:sz w:val="22"/>
          <w:szCs w:val="22"/>
        </w:rPr>
      </w:pPr>
      <w:r w:rsidRPr="003A006D">
        <w:rPr>
          <w:rFonts w:ascii="Times New Roman" w:hAnsi="Times New Roman" w:cs="Times New Roman"/>
          <w:iCs/>
          <w:color w:val="0D0D0D" w:themeColor="text1" w:themeTint="F2"/>
          <w:sz w:val="22"/>
          <w:szCs w:val="22"/>
        </w:rPr>
        <w:t xml:space="preserve">III.- La adjudicación de los </w:t>
      </w:r>
      <w:r w:rsidRPr="00506990">
        <w:rPr>
          <w:rFonts w:ascii="Times New Roman" w:hAnsi="Times New Roman" w:cs="Times New Roman"/>
          <w:iCs/>
          <w:color w:val="0D0D0D" w:themeColor="text1" w:themeTint="F2"/>
          <w:sz w:val="22"/>
          <w:szCs w:val="22"/>
        </w:rPr>
        <w:t>Bienes Fideicomitidos</w:t>
      </w:r>
      <w:r w:rsidRPr="003A006D">
        <w:rPr>
          <w:rFonts w:ascii="Times New Roman" w:hAnsi="Times New Roman" w:cs="Times New Roman"/>
          <w:iCs/>
          <w:color w:val="0D0D0D" w:themeColor="text1" w:themeTint="F2"/>
          <w:sz w:val="22"/>
          <w:szCs w:val="22"/>
        </w:rPr>
        <w:t xml:space="preserve"> a los Beneficiarios será notificada por el Fiduciario al domicilio registrado de cada Beneficiario, indicándose el plazo razonable dentro del cual el Beneficiario habrá de concurrir al domicilio del Fiduciario para firmar y retirar la documentación pertinente, bajo apercibimiento de consignación. Vencido dicho plazo sin que el Beneficiario hubiera cumplido los actos que le son exigibles para perfeccionar la transferencia de los Créditos adjudicados, (a) cesará toda obligación del Fiduciario respecto de la gestión de los Créditos que son adjudicados al Beneficiario respectivo y (b) el Fiduciario podrá consignarlos judicialmente, con cargo al Beneficiario incumplidor.</w:t>
      </w:r>
    </w:p>
    <w:p w14:paraId="5F69D54F" w14:textId="77777777" w:rsidR="00151843" w:rsidRPr="003A006D" w:rsidRDefault="00151843" w:rsidP="00151843">
      <w:pPr>
        <w:suppressAutoHyphens/>
        <w:rPr>
          <w:rFonts w:ascii="Times New Roman" w:hAnsi="Times New Roman" w:cs="Times New Roman"/>
          <w:iCs/>
          <w:color w:val="0D0D0D" w:themeColor="text1" w:themeTint="F2"/>
          <w:sz w:val="22"/>
          <w:szCs w:val="22"/>
        </w:rPr>
      </w:pPr>
      <w:r w:rsidRPr="003A006D">
        <w:rPr>
          <w:rFonts w:ascii="Times New Roman" w:hAnsi="Times New Roman" w:cs="Times New Roman"/>
          <w:iCs/>
          <w:color w:val="0D0D0D" w:themeColor="text1" w:themeTint="F2"/>
          <w:sz w:val="22"/>
          <w:szCs w:val="22"/>
        </w:rPr>
        <w:t>IV.- La mayoría especificada en el punto I resolverá los aspectos no contemplados en el presente artículo.</w:t>
      </w:r>
    </w:p>
    <w:p w14:paraId="7A2918CE" w14:textId="77777777" w:rsidR="00151843" w:rsidRPr="003A006D" w:rsidRDefault="00151843" w:rsidP="00151843">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V.- La</w:t>
      </w:r>
      <w:r w:rsidRPr="003A006D">
        <w:rPr>
          <w:rFonts w:ascii="Times New Roman" w:hAnsi="Times New Roman" w:cs="Times New Roman"/>
          <w:iCs/>
          <w:color w:val="0D0D0D" w:themeColor="text1" w:themeTint="F2"/>
          <w:sz w:val="22"/>
          <w:szCs w:val="22"/>
        </w:rPr>
        <w:t xml:space="preserve"> enajenación de los Créditos será realizada por el Fiduciario a través de un procedimiento de licitación privada conforme a las siguientes reglas: (a) El Fiduciario, por sí o a través del Agente de Control y Revisión confeccionará un pliego descriptivo de la cartera a enajenar y de las condiciones de la licitación establecidas en el inciso (c) siguiente; (b) Se publicará </w:t>
      </w:r>
      <w:r w:rsidRPr="00506990">
        <w:rPr>
          <w:rFonts w:ascii="Times New Roman" w:hAnsi="Times New Roman" w:cs="Times New Roman"/>
          <w:iCs/>
          <w:color w:val="0D0D0D" w:themeColor="text1" w:themeTint="F2"/>
          <w:sz w:val="22"/>
          <w:szCs w:val="22"/>
        </w:rPr>
        <w:t>durante el plazo que se establezca en cada Contrato Suplementario un aviso</w:t>
      </w:r>
      <w:r w:rsidRPr="003A006D">
        <w:rPr>
          <w:rFonts w:ascii="Times New Roman" w:hAnsi="Times New Roman" w:cs="Times New Roman"/>
          <w:iCs/>
          <w:color w:val="0D0D0D" w:themeColor="text1" w:themeTint="F2"/>
          <w:sz w:val="22"/>
          <w:szCs w:val="22"/>
        </w:rPr>
        <w:t xml:space="preserve"> en un diario de mayor circulación general en la República llamando a formular ofertas para la compra de la cartera. En el aviso se indicará: (i) que el pliego con la descripción de la cartera y condiciones de la licitación se encuentra a disposición de cualquier interesado en las oficinas del Fiduciario, y (ii) la fecha de presentación de las ofertas (c) Las condiciones de la licitación son las siguientes: (i) Las ofertas se presentarán en sobre cerrado en las oficinas del Fiduciario, y deben indicar el precio contado a pagar por la cartera; (ii) Todos los costos relativos a la transferencia de los créditos de la cartera estarán a exclusivo cargo del comprador, incluyendo impuestos; (iii) En la fecha y hora indicadas en el aviso, el Fiduciario procederá a abrir los sobres; (iv) </w:t>
      </w:r>
      <w:r w:rsidRPr="00506990">
        <w:rPr>
          <w:rFonts w:ascii="Times New Roman" w:hAnsi="Times New Roman" w:cs="Times New Roman"/>
          <w:iCs/>
          <w:color w:val="0D0D0D" w:themeColor="text1" w:themeTint="F2"/>
          <w:sz w:val="22"/>
          <w:szCs w:val="22"/>
        </w:rPr>
        <w:t>Los Fiduciantes</w:t>
      </w:r>
      <w:r w:rsidRPr="003A006D">
        <w:rPr>
          <w:rFonts w:ascii="Times New Roman" w:hAnsi="Times New Roman" w:cs="Times New Roman"/>
          <w:iCs/>
          <w:color w:val="0D0D0D" w:themeColor="text1" w:themeTint="F2"/>
          <w:sz w:val="22"/>
          <w:szCs w:val="22"/>
        </w:rPr>
        <w:t xml:space="preserve"> tendrán el derecho, dentro del día hábil posterior a la apertura de los sobres, a manifestar su voluntad de adquirir la cartera al mejor precio ofrecido; (v) Vencido el plazo anterior, o antes si </w:t>
      </w:r>
      <w:r w:rsidRPr="00506990">
        <w:rPr>
          <w:rFonts w:ascii="Times New Roman" w:hAnsi="Times New Roman" w:cs="Times New Roman"/>
          <w:iCs/>
          <w:color w:val="0D0D0D" w:themeColor="text1" w:themeTint="F2"/>
          <w:sz w:val="22"/>
          <w:szCs w:val="22"/>
        </w:rPr>
        <w:t>los Fiduciantes</w:t>
      </w:r>
      <w:r w:rsidRPr="003A006D">
        <w:rPr>
          <w:rFonts w:ascii="Times New Roman" w:hAnsi="Times New Roman" w:cs="Times New Roman"/>
          <w:iCs/>
          <w:color w:val="0D0D0D" w:themeColor="text1" w:themeTint="F2"/>
          <w:sz w:val="22"/>
          <w:szCs w:val="22"/>
        </w:rPr>
        <w:t xml:space="preserve"> hubieran manifestado su desinterés, el Fiduciario notificará la adjudicación al oferente que haya ofrecido el mayor precio, o </w:t>
      </w:r>
      <w:r w:rsidRPr="00506990">
        <w:rPr>
          <w:rFonts w:ascii="Times New Roman" w:hAnsi="Times New Roman" w:cs="Times New Roman"/>
          <w:iCs/>
          <w:color w:val="0D0D0D" w:themeColor="text1" w:themeTint="F2"/>
          <w:sz w:val="22"/>
          <w:szCs w:val="22"/>
        </w:rPr>
        <w:t>a los Fiduciantes</w:t>
      </w:r>
      <w:r w:rsidRPr="003A006D">
        <w:rPr>
          <w:rFonts w:ascii="Times New Roman" w:hAnsi="Times New Roman" w:cs="Times New Roman"/>
          <w:iCs/>
          <w:color w:val="0D0D0D" w:themeColor="text1" w:themeTint="F2"/>
          <w:sz w:val="22"/>
          <w:szCs w:val="22"/>
        </w:rPr>
        <w:t xml:space="preserve"> en su caso, debiéndose celebrar el pertinente contrato y pagar el precio dentro de los cinco (5) Días Hábiles siguientes; (vi) Si el precio no fuera pagado en el plazo correspondiente, la adjudicación quedará sin efecto, y el Fiduciario adjudicará la cartera a quién haya ofrecido el precio inmediato inferior, repitiendo el procedimiento indicado en el inciso anterior. El producido de la enajenación, neto de Gastos y de la eventual contribución al Fondo de Reserva Impositivo, se distribuirá a prorrata entre todos los Beneficiarios de </w:t>
      </w:r>
      <w:r w:rsidRPr="00506990">
        <w:rPr>
          <w:rFonts w:ascii="Times New Roman" w:hAnsi="Times New Roman" w:cs="Times New Roman"/>
          <w:iCs/>
          <w:color w:val="0D0D0D" w:themeColor="text1" w:themeTint="F2"/>
          <w:sz w:val="22"/>
          <w:szCs w:val="22"/>
        </w:rPr>
        <w:t>la Clase</w:t>
      </w:r>
      <w:r w:rsidRPr="003A006D">
        <w:rPr>
          <w:rFonts w:ascii="Times New Roman" w:hAnsi="Times New Roman" w:cs="Times New Roman"/>
          <w:iCs/>
          <w:color w:val="0D0D0D" w:themeColor="text1" w:themeTint="F2"/>
          <w:sz w:val="22"/>
          <w:szCs w:val="22"/>
        </w:rPr>
        <w:t xml:space="preserve">. (vii) En caso de no existir ofertas y </w:t>
      </w:r>
      <w:r w:rsidRPr="00506990">
        <w:rPr>
          <w:rFonts w:ascii="Times New Roman" w:hAnsi="Times New Roman" w:cs="Times New Roman"/>
          <w:iCs/>
          <w:color w:val="0D0D0D" w:themeColor="text1" w:themeTint="F2"/>
          <w:sz w:val="22"/>
          <w:szCs w:val="22"/>
        </w:rPr>
        <w:t>los Fiduciantes</w:t>
      </w:r>
      <w:r w:rsidRPr="003A006D">
        <w:rPr>
          <w:rFonts w:ascii="Times New Roman" w:hAnsi="Times New Roman" w:cs="Times New Roman"/>
          <w:iCs/>
          <w:color w:val="0D0D0D" w:themeColor="text1" w:themeTint="F2"/>
          <w:sz w:val="22"/>
          <w:szCs w:val="22"/>
        </w:rPr>
        <w:t xml:space="preserve"> manifestaren su intención de adquirir los Créditos, podrá adquirir los mismos al precio que resulte de aplicar lo dispuesto en el apartado II del presente artículo. </w:t>
      </w:r>
      <w:r w:rsidRPr="00506990">
        <w:rPr>
          <w:rFonts w:ascii="Times New Roman" w:hAnsi="Times New Roman" w:cs="Times New Roman"/>
          <w:iCs/>
          <w:color w:val="0D0D0D" w:themeColor="text1" w:themeTint="F2"/>
          <w:sz w:val="22"/>
          <w:szCs w:val="22"/>
        </w:rPr>
        <w:t>(viii) En caso de no existir ofertas y los Fiduciantes no hubiese</w:t>
      </w:r>
      <w:r w:rsidRPr="003A006D">
        <w:rPr>
          <w:rFonts w:ascii="Times New Roman" w:hAnsi="Times New Roman" w:cs="Times New Roman"/>
          <w:iCs/>
          <w:color w:val="0D0D0D" w:themeColor="text1" w:themeTint="F2"/>
          <w:sz w:val="22"/>
          <w:szCs w:val="22"/>
        </w:rPr>
        <w:t xml:space="preserve"> manifestado su intención de adquirir los Créditos y, siempre que: (a) se haya producido el vencimiento final de los </w:t>
      </w:r>
      <w:r w:rsidRPr="00506990">
        <w:rPr>
          <w:rFonts w:ascii="Times New Roman" w:hAnsi="Times New Roman" w:cs="Times New Roman"/>
          <w:iCs/>
          <w:color w:val="0D0D0D" w:themeColor="text1" w:themeTint="F2"/>
          <w:sz w:val="22"/>
          <w:szCs w:val="22"/>
        </w:rPr>
        <w:t>VDF</w:t>
      </w:r>
      <w:r w:rsidRPr="003A006D">
        <w:rPr>
          <w:rFonts w:ascii="Times New Roman" w:hAnsi="Times New Roman" w:cs="Times New Roman"/>
          <w:iCs/>
          <w:color w:val="0D0D0D" w:themeColor="text1" w:themeTint="F2"/>
          <w:sz w:val="22"/>
          <w:szCs w:val="22"/>
        </w:rPr>
        <w:t xml:space="preserve"> y (b) el monto de los Créditos en mora representaren no menos del 90% (noventa por ciento) del saldo de capital de los Créditos, el Fiduciario deberá declarar la imposibilidad de pago de los Servicios de los </w:t>
      </w:r>
      <w:r w:rsidRPr="00506990">
        <w:rPr>
          <w:rFonts w:ascii="Times New Roman" w:hAnsi="Times New Roman" w:cs="Times New Roman"/>
          <w:iCs/>
          <w:color w:val="0D0D0D" w:themeColor="text1" w:themeTint="F2"/>
          <w:sz w:val="22"/>
          <w:szCs w:val="22"/>
        </w:rPr>
        <w:t>VDF</w:t>
      </w:r>
      <w:r w:rsidRPr="003A006D">
        <w:rPr>
          <w:rFonts w:ascii="Times New Roman" w:hAnsi="Times New Roman" w:cs="Times New Roman"/>
          <w:iCs/>
          <w:color w:val="0D0D0D" w:themeColor="text1" w:themeTint="F2"/>
          <w:sz w:val="22"/>
          <w:szCs w:val="22"/>
        </w:rPr>
        <w:t xml:space="preserve"> por insuficiencia de activos y proceder a la liquidación del Fideicomiso mediante la entrega </w:t>
      </w:r>
      <w:r w:rsidRPr="00506990">
        <w:rPr>
          <w:rFonts w:ascii="Times New Roman" w:hAnsi="Times New Roman" w:cs="Times New Roman"/>
          <w:iCs/>
          <w:color w:val="0D0D0D" w:themeColor="text1" w:themeTint="F2"/>
          <w:sz w:val="22"/>
          <w:szCs w:val="22"/>
        </w:rPr>
        <w:t xml:space="preserve">a prorrata </w:t>
      </w:r>
      <w:r w:rsidRPr="003A006D">
        <w:rPr>
          <w:rFonts w:ascii="Times New Roman" w:hAnsi="Times New Roman" w:cs="Times New Roman"/>
          <w:iCs/>
          <w:color w:val="0D0D0D" w:themeColor="text1" w:themeTint="F2"/>
          <w:sz w:val="22"/>
          <w:szCs w:val="22"/>
        </w:rPr>
        <w:t xml:space="preserve">de los Bienes Fideicomitidos remanentes a los </w:t>
      </w:r>
      <w:r w:rsidRPr="00506990">
        <w:rPr>
          <w:rFonts w:ascii="Times New Roman" w:hAnsi="Times New Roman" w:cs="Times New Roman"/>
          <w:iCs/>
          <w:color w:val="0D0D0D" w:themeColor="text1" w:themeTint="F2"/>
          <w:sz w:val="22"/>
          <w:szCs w:val="22"/>
        </w:rPr>
        <w:t>Beneficiarios, caso en el cual sólo procederá la liquidación judicial</w:t>
      </w:r>
      <w:r w:rsidRPr="003A006D">
        <w:rPr>
          <w:rFonts w:ascii="Times New Roman" w:hAnsi="Times New Roman" w:cs="Times New Roman"/>
          <w:iCs/>
          <w:color w:val="0D0D0D" w:themeColor="text1" w:themeTint="F2"/>
          <w:sz w:val="22"/>
          <w:szCs w:val="22"/>
        </w:rPr>
        <w:t xml:space="preserve">; (d) El Fiduciario quedará relevado de la obligación de llevar adelante al procedimiento de licitación privada, cuando el precio estimado de venta de los Bienes Fideicomitidos no alcanzare para afrontar los gastos de su ejecución. En tal caso deberá proceder a la liquidación del Fideicomiso mediante la entrega </w:t>
      </w:r>
      <w:r w:rsidRPr="00506990">
        <w:rPr>
          <w:rFonts w:ascii="Times New Roman" w:hAnsi="Times New Roman" w:cs="Times New Roman"/>
          <w:iCs/>
          <w:color w:val="0D0D0D" w:themeColor="text1" w:themeTint="F2"/>
          <w:sz w:val="22"/>
          <w:szCs w:val="22"/>
        </w:rPr>
        <w:t xml:space="preserve">a prorrata </w:t>
      </w:r>
      <w:r w:rsidRPr="003A006D">
        <w:rPr>
          <w:rFonts w:ascii="Times New Roman" w:hAnsi="Times New Roman" w:cs="Times New Roman"/>
          <w:iCs/>
          <w:color w:val="0D0D0D" w:themeColor="text1" w:themeTint="F2"/>
          <w:sz w:val="22"/>
          <w:szCs w:val="22"/>
        </w:rPr>
        <w:t>de los Bienes Fideicomitidos remanentes a</w:t>
      </w:r>
      <w:r>
        <w:rPr>
          <w:rFonts w:ascii="Times New Roman" w:hAnsi="Times New Roman" w:cs="Times New Roman"/>
          <w:iCs/>
          <w:color w:val="0D0D0D" w:themeColor="text1" w:themeTint="F2"/>
          <w:sz w:val="22"/>
          <w:szCs w:val="22"/>
        </w:rPr>
        <w:t xml:space="preserve"> </w:t>
      </w:r>
      <w:r w:rsidRPr="003A006D">
        <w:rPr>
          <w:rFonts w:ascii="Times New Roman" w:hAnsi="Times New Roman" w:cs="Times New Roman"/>
          <w:iCs/>
          <w:color w:val="0D0D0D" w:themeColor="text1" w:themeTint="F2"/>
          <w:sz w:val="22"/>
          <w:szCs w:val="22"/>
        </w:rPr>
        <w:t>l</w:t>
      </w:r>
      <w:r>
        <w:rPr>
          <w:rFonts w:ascii="Times New Roman" w:hAnsi="Times New Roman" w:cs="Times New Roman"/>
          <w:iCs/>
          <w:color w:val="0D0D0D" w:themeColor="text1" w:themeTint="F2"/>
          <w:sz w:val="22"/>
          <w:szCs w:val="22"/>
        </w:rPr>
        <w:t>os</w:t>
      </w:r>
      <w:r w:rsidRPr="003A006D">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Beneficiarios y/o al Fideicomisario, según corresponda.</w:t>
      </w:r>
      <w:r w:rsidRPr="003A006D">
        <w:rPr>
          <w:rFonts w:ascii="Times New Roman" w:hAnsi="Times New Roman" w:cs="Times New Roman"/>
          <w:iCs/>
          <w:color w:val="0D0D0D" w:themeColor="text1" w:themeTint="F2"/>
          <w:sz w:val="22"/>
          <w:szCs w:val="22"/>
        </w:rPr>
        <w:t xml:space="preserve"> En cualquier supuesto que se declare la imposibilidad de pago de los Servicios de los </w:t>
      </w:r>
      <w:r w:rsidRPr="00506990">
        <w:rPr>
          <w:rFonts w:ascii="Times New Roman" w:hAnsi="Times New Roman" w:cs="Times New Roman"/>
          <w:iCs/>
          <w:color w:val="0D0D0D" w:themeColor="text1" w:themeTint="F2"/>
          <w:sz w:val="22"/>
          <w:szCs w:val="22"/>
        </w:rPr>
        <w:t>VDF</w:t>
      </w:r>
      <w:r w:rsidRPr="003A006D">
        <w:rPr>
          <w:rFonts w:ascii="Times New Roman" w:hAnsi="Times New Roman" w:cs="Times New Roman"/>
          <w:iCs/>
          <w:color w:val="0D0D0D" w:themeColor="text1" w:themeTint="F2"/>
          <w:sz w:val="22"/>
          <w:szCs w:val="22"/>
        </w:rPr>
        <w:t xml:space="preserve"> por insuficiencia de activos, la Resolución adoptada será publicada en la AIF y, durante tres días en los sistemas de información de los mercados </w:t>
      </w:r>
      <w:r w:rsidRPr="00506990">
        <w:rPr>
          <w:rFonts w:ascii="Times New Roman" w:hAnsi="Times New Roman" w:cs="Times New Roman"/>
          <w:iCs/>
          <w:color w:val="0D0D0D" w:themeColor="text1" w:themeTint="F2"/>
          <w:sz w:val="22"/>
          <w:szCs w:val="22"/>
        </w:rPr>
        <w:t>en que se</w:t>
      </w:r>
      <w:r w:rsidRPr="003A006D">
        <w:rPr>
          <w:rFonts w:ascii="Times New Roman" w:hAnsi="Times New Roman" w:cs="Times New Roman"/>
          <w:iCs/>
          <w:color w:val="0D0D0D" w:themeColor="text1" w:themeTint="F2"/>
          <w:sz w:val="22"/>
          <w:szCs w:val="22"/>
        </w:rPr>
        <w:t xml:space="preserve"> negocien los Valores </w:t>
      </w:r>
      <w:r w:rsidRPr="00506990">
        <w:rPr>
          <w:rFonts w:ascii="Times New Roman" w:hAnsi="Times New Roman" w:cs="Times New Roman"/>
          <w:iCs/>
          <w:color w:val="0D0D0D" w:themeColor="text1" w:themeTint="F2"/>
          <w:sz w:val="22"/>
          <w:szCs w:val="22"/>
        </w:rPr>
        <w:t>de Deuda Fiduciaria</w:t>
      </w:r>
      <w:r w:rsidRPr="003A006D">
        <w:rPr>
          <w:rFonts w:ascii="Times New Roman" w:hAnsi="Times New Roman" w:cs="Times New Roman"/>
          <w:iCs/>
          <w:color w:val="0D0D0D" w:themeColor="text1" w:themeTint="F2"/>
          <w:sz w:val="22"/>
          <w:szCs w:val="22"/>
        </w:rPr>
        <w:t>.</w:t>
      </w:r>
    </w:p>
    <w:p w14:paraId="15A98043" w14:textId="77777777" w:rsidR="00151843" w:rsidRPr="00506990" w:rsidRDefault="00151843" w:rsidP="00151843">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VI.- En caso de ser adjudicados los Créditos a los Fiduciantes, y de ser éstos titulares de VDF, sólo deberá pagar al Fiduciario la parte proporcional del precio que exceda a la participación beneficiaria por esa tenencia, y los Créditos se adjudicarán a los Fiduciantes en concepto de la cuota de liquidación correspondiente a los VDF de su titularidad.</w:t>
      </w:r>
    </w:p>
    <w:p w14:paraId="606A09DC" w14:textId="1C8B0A3F" w:rsidR="00672A18" w:rsidRPr="003A006D" w:rsidRDefault="00151843" w:rsidP="00151843">
      <w:pPr>
        <w:suppressAutoHyphens/>
        <w:rPr>
          <w:rFonts w:ascii="Times New Roman" w:hAnsi="Times New Roman" w:cs="Times New Roman"/>
          <w:iCs/>
          <w:color w:val="0D0D0D" w:themeColor="text1" w:themeTint="F2"/>
          <w:sz w:val="22"/>
          <w:szCs w:val="22"/>
        </w:rPr>
      </w:pPr>
      <w:r w:rsidRPr="003A006D">
        <w:rPr>
          <w:rFonts w:ascii="Times New Roman" w:hAnsi="Times New Roman" w:cs="Times New Roman"/>
          <w:iCs/>
          <w:color w:val="0D0D0D" w:themeColor="text1" w:themeTint="F2"/>
          <w:sz w:val="22"/>
          <w:szCs w:val="22"/>
        </w:rPr>
        <w:t xml:space="preserve">En orden a lo establecido en el artículo 2°, Capítulo IV, Título V de las NORMAS de la CNV, en todos los </w:t>
      </w:r>
      <w:r w:rsidRPr="00506990">
        <w:rPr>
          <w:rFonts w:ascii="Times New Roman" w:hAnsi="Times New Roman" w:cs="Times New Roman"/>
          <w:iCs/>
          <w:color w:val="0D0D0D" w:themeColor="text1" w:themeTint="F2"/>
          <w:sz w:val="22"/>
          <w:szCs w:val="22"/>
        </w:rPr>
        <w:t>casos</w:t>
      </w:r>
      <w:r w:rsidRPr="003A006D">
        <w:rPr>
          <w:rFonts w:ascii="Times New Roman" w:hAnsi="Times New Roman" w:cs="Times New Roman"/>
          <w:iCs/>
          <w:color w:val="0D0D0D" w:themeColor="text1" w:themeTint="F2"/>
          <w:sz w:val="22"/>
          <w:szCs w:val="22"/>
        </w:rPr>
        <w:t xml:space="preserve"> en que el o los Fiduciante/s resultare/n ser Beneficiario/s de </w:t>
      </w:r>
      <w:r w:rsidRPr="00506990">
        <w:rPr>
          <w:rFonts w:ascii="Times New Roman" w:hAnsi="Times New Roman" w:cs="Times New Roman"/>
          <w:iCs/>
          <w:color w:val="0D0D0D" w:themeColor="text1" w:themeTint="F2"/>
          <w:sz w:val="22"/>
          <w:szCs w:val="22"/>
        </w:rPr>
        <w:t>VDF</w:t>
      </w:r>
      <w:r w:rsidRPr="003A006D">
        <w:rPr>
          <w:rFonts w:ascii="Times New Roman" w:hAnsi="Times New Roman" w:cs="Times New Roman"/>
          <w:iCs/>
          <w:color w:val="0D0D0D" w:themeColor="text1" w:themeTint="F2"/>
          <w:sz w:val="22"/>
          <w:szCs w:val="22"/>
        </w:rPr>
        <w:t xml:space="preserve"> podrá/n asistir a las Asambleas de Beneficiarios no pudiendo votar cuando la decisión a adoptarse pueda generar conflicto de interés con el resto de los Beneficiarios.</w:t>
      </w:r>
    </w:p>
    <w:p w14:paraId="423A662B" w14:textId="0A804928" w:rsidR="002370AF" w:rsidRPr="003A006D" w:rsidRDefault="002370AF">
      <w:pPr>
        <w:suppressAutoHyphens/>
        <w:rPr>
          <w:rFonts w:ascii="Times New Roman" w:hAnsi="Times New Roman" w:cs="Times New Roman"/>
          <w:iCs/>
          <w:color w:val="0D0D0D" w:themeColor="text1" w:themeTint="F2"/>
          <w:sz w:val="22"/>
          <w:szCs w:val="22"/>
        </w:rPr>
      </w:pPr>
    </w:p>
    <w:p w14:paraId="556E6599" w14:textId="77777777" w:rsidR="002370AF" w:rsidRPr="00506990" w:rsidRDefault="002370AF" w:rsidP="002370AF">
      <w:pPr>
        <w:suppressAutoHyphens/>
        <w:rPr>
          <w:rFonts w:ascii="Times New Roman" w:hAnsi="Times New Roman" w:cs="Times New Roman"/>
          <w:iCs/>
          <w:color w:val="0D0D0D" w:themeColor="text1" w:themeTint="F2"/>
          <w:sz w:val="22"/>
          <w:szCs w:val="22"/>
        </w:rPr>
      </w:pPr>
    </w:p>
    <w:p w14:paraId="073C8098" w14:textId="6DC94792" w:rsidR="002370AF" w:rsidRPr="00506990" w:rsidRDefault="002370AF" w:rsidP="002370AF">
      <w:pPr>
        <w:pStyle w:val="Textocomentario"/>
        <w:rPr>
          <w:rFonts w:ascii="Times New Roman" w:hAnsi="Times New Roman"/>
          <w:iCs/>
          <w:color w:val="0D0D0D" w:themeColor="text1" w:themeTint="F2"/>
          <w:sz w:val="22"/>
          <w:szCs w:val="22"/>
        </w:rPr>
      </w:pPr>
      <w:r w:rsidRPr="00506990">
        <w:rPr>
          <w:rStyle w:val="Textoennegrita"/>
          <w:rFonts w:ascii="Times New Roman" w:hAnsi="Times New Roman"/>
          <w:iCs/>
          <w:color w:val="0D0D0D" w:themeColor="text1" w:themeTint="F2"/>
          <w:sz w:val="22"/>
          <w:szCs w:val="22"/>
        </w:rPr>
        <w:t>Artículo 2.1</w:t>
      </w:r>
      <w:r w:rsidR="000D40C5">
        <w:rPr>
          <w:rStyle w:val="Textoennegrita"/>
          <w:rFonts w:ascii="Times New Roman" w:hAnsi="Times New Roman"/>
          <w:iCs/>
          <w:color w:val="0D0D0D" w:themeColor="text1" w:themeTint="F2"/>
          <w:sz w:val="22"/>
          <w:szCs w:val="22"/>
        </w:rPr>
        <w:t>4</w:t>
      </w:r>
      <w:r w:rsidRPr="00506990">
        <w:rPr>
          <w:rStyle w:val="Textoennegrita"/>
          <w:rFonts w:ascii="Times New Roman" w:hAnsi="Times New Roman"/>
          <w:iCs/>
          <w:color w:val="0D0D0D" w:themeColor="text1" w:themeTint="F2"/>
          <w:sz w:val="22"/>
          <w:szCs w:val="22"/>
        </w:rPr>
        <w:t xml:space="preserve">. </w:t>
      </w:r>
      <w:bookmarkStart w:id="101" w:name="OLE_LINK2"/>
      <w:r w:rsidR="00151843" w:rsidRPr="003A006D">
        <w:rPr>
          <w:rFonts w:ascii="Times New Roman" w:hAnsi="Times New Roman"/>
          <w:b/>
          <w:bCs/>
          <w:iCs/>
          <w:color w:val="0D0D0D" w:themeColor="text1" w:themeTint="F2"/>
          <w:sz w:val="22"/>
          <w:szCs w:val="22"/>
        </w:rPr>
        <w:t>Liquidación por vencimiento del Plazo</w:t>
      </w:r>
      <w:r w:rsidR="00151843" w:rsidRPr="00506990">
        <w:rPr>
          <w:rFonts w:ascii="Times New Roman" w:hAnsi="Times New Roman"/>
          <w:iCs/>
          <w:color w:val="0D0D0D" w:themeColor="text1" w:themeTint="F2"/>
          <w:sz w:val="22"/>
          <w:szCs w:val="22"/>
        </w:rPr>
        <w:t>. Producido</w:t>
      </w:r>
      <w:r w:rsidR="00151843" w:rsidRPr="003A006D">
        <w:rPr>
          <w:rFonts w:ascii="Times New Roman" w:hAnsi="Times New Roman"/>
          <w:iCs/>
          <w:color w:val="0D0D0D" w:themeColor="text1" w:themeTint="F2"/>
          <w:sz w:val="22"/>
          <w:szCs w:val="22"/>
        </w:rPr>
        <w:t xml:space="preserve"> el vencimiento del Plazo de los </w:t>
      </w:r>
      <w:r w:rsidR="00151843" w:rsidRPr="00506990">
        <w:rPr>
          <w:rFonts w:ascii="Times New Roman" w:hAnsi="Times New Roman"/>
          <w:iCs/>
          <w:color w:val="0D0D0D" w:themeColor="text1" w:themeTint="F2"/>
          <w:sz w:val="22"/>
          <w:szCs w:val="22"/>
        </w:rPr>
        <w:t>Valores de Deuda Fiduciaria si por cualquier razón no se hubiese cancelado el total de los derechos correspondientes a los VDF y existieren Bienes Fideicomitidos no liquidados,</w:t>
      </w:r>
      <w:r w:rsidR="00151843" w:rsidRPr="003A006D">
        <w:rPr>
          <w:rFonts w:ascii="Times New Roman" w:hAnsi="Times New Roman"/>
          <w:iCs/>
          <w:color w:val="0D0D0D" w:themeColor="text1" w:themeTint="F2"/>
          <w:sz w:val="22"/>
          <w:szCs w:val="22"/>
        </w:rPr>
        <w:t xml:space="preserve"> el Fiduciario procederá a la liquidación del Fideicomiso conforme al procedimiento indicado en el apartado V del artículo 2.</w:t>
      </w:r>
      <w:r w:rsidR="00151843" w:rsidRPr="00506990">
        <w:rPr>
          <w:rFonts w:ascii="Times New Roman" w:hAnsi="Times New Roman"/>
          <w:iCs/>
          <w:color w:val="0D0D0D" w:themeColor="text1" w:themeTint="F2"/>
          <w:sz w:val="22"/>
          <w:szCs w:val="22"/>
        </w:rPr>
        <w:t>13</w:t>
      </w:r>
      <w:r w:rsidR="00151843" w:rsidRPr="003A006D">
        <w:rPr>
          <w:rFonts w:ascii="Times New Roman" w:hAnsi="Times New Roman"/>
          <w:iCs/>
          <w:color w:val="0D0D0D" w:themeColor="text1" w:themeTint="F2"/>
          <w:sz w:val="22"/>
          <w:szCs w:val="22"/>
        </w:rPr>
        <w:t>. El producido de la liquidación, neto de Gastos y de la eventual contribución al Fondo de Reserva</w:t>
      </w:r>
      <w:r w:rsidR="00151843" w:rsidRPr="00506990">
        <w:rPr>
          <w:rFonts w:ascii="Times New Roman" w:hAnsi="Times New Roman"/>
          <w:iCs/>
          <w:color w:val="0D0D0D" w:themeColor="text1" w:themeTint="F2"/>
          <w:sz w:val="22"/>
          <w:szCs w:val="22"/>
        </w:rPr>
        <w:t xml:space="preserve"> Impositivo</w:t>
      </w:r>
      <w:r w:rsidR="00151843" w:rsidRPr="003A006D">
        <w:rPr>
          <w:rFonts w:ascii="Times New Roman" w:hAnsi="Times New Roman"/>
          <w:iCs/>
          <w:color w:val="0D0D0D" w:themeColor="text1" w:themeTint="F2"/>
          <w:sz w:val="22"/>
          <w:szCs w:val="22"/>
        </w:rPr>
        <w:t xml:space="preserve">, se distribuirá a prorrata entre todos los Beneficiarios de los </w:t>
      </w:r>
      <w:r w:rsidR="00151843" w:rsidRPr="00506990">
        <w:rPr>
          <w:rFonts w:ascii="Times New Roman" w:hAnsi="Times New Roman"/>
          <w:iCs/>
          <w:color w:val="0D0D0D" w:themeColor="text1" w:themeTint="F2"/>
          <w:sz w:val="22"/>
          <w:szCs w:val="22"/>
        </w:rPr>
        <w:t>VDF remanentes</w:t>
      </w:r>
      <w:r w:rsidR="00151843" w:rsidRPr="003A006D">
        <w:rPr>
          <w:rFonts w:ascii="Times New Roman" w:hAnsi="Times New Roman"/>
          <w:iCs/>
          <w:color w:val="0D0D0D" w:themeColor="text1" w:themeTint="F2"/>
          <w:sz w:val="22"/>
          <w:szCs w:val="22"/>
        </w:rPr>
        <w:t>..</w:t>
      </w:r>
    </w:p>
    <w:bookmarkEnd w:id="101"/>
    <w:p w14:paraId="1F3A2FF9"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164F1596"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III</w:t>
      </w:r>
    </w:p>
    <w:p w14:paraId="72FBE2D2"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ADMINISTRACIÓN. CUSTODIA.   </w:t>
      </w:r>
    </w:p>
    <w:p w14:paraId="44398F7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F42C2B1"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Artículo 3.1. Administrador</w:t>
      </w:r>
      <w:r w:rsidR="006E36BA"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lang w:val="es-AR"/>
        </w:rPr>
        <w:t>Dada la experiencia y conocimiento de la cartera fideicomitida que posee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éste tiene dentro de las funciones que le son propias por este Contrato la tarea de administrar los Créditos (en tal rol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36BA"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w:t>
      </w:r>
      <w:r w:rsidR="004C1238">
        <w:rPr>
          <w:rFonts w:ascii="Times New Roman" w:hAnsi="Times New Roman" w:cs="Times New Roman"/>
          <w:iCs/>
          <w:color w:val="0D0D0D" w:themeColor="text1" w:themeTint="F2"/>
          <w:sz w:val="22"/>
          <w:szCs w:val="22"/>
          <w:lang w:val="es-AR"/>
        </w:rPr>
        <w:t>, sin perjuicio de otras obligaciones previstas por la normativa vigente y el presente Suplemento de Prospecto</w:t>
      </w:r>
      <w:r w:rsidRPr="00506990">
        <w:rPr>
          <w:rFonts w:ascii="Times New Roman" w:hAnsi="Times New Roman" w:cs="Times New Roman"/>
          <w:iCs/>
          <w:color w:val="0D0D0D" w:themeColor="text1" w:themeTint="F2"/>
          <w:sz w:val="22"/>
          <w:szCs w:val="22"/>
          <w:lang w:val="es-AR"/>
        </w:rPr>
        <w:t xml:space="preserve">. A los fines del presente, deberá cumplir fielmente las obligaciones establecidas en la presente Sección con la diligencia de un buen hombre de negocios.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de los Créditos asume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el deber de informar al Fiduciario todo hecho que pudiera afectar el normal cumplimiento de las funciones asignadas.</w:t>
      </w:r>
      <w:r w:rsidRPr="00506990">
        <w:rPr>
          <w:rFonts w:ascii="Times New Roman" w:hAnsi="Times New Roman" w:cs="Times New Roman"/>
          <w:iCs/>
          <w:color w:val="0D0D0D" w:themeColor="text1" w:themeTint="F2"/>
          <w:sz w:val="22"/>
          <w:szCs w:val="22"/>
        </w:rPr>
        <w:t xml:space="preserve"> </w:t>
      </w:r>
    </w:p>
    <w:p w14:paraId="6F33EC0C" w14:textId="77777777" w:rsidR="0050339C" w:rsidRPr="00506990" w:rsidRDefault="0050339C" w:rsidP="0050339C">
      <w:pPr>
        <w:tabs>
          <w:tab w:val="left" w:pos="7815"/>
        </w:tabs>
        <w:suppressAutoHyphens/>
        <w:autoSpaceDE w:val="0"/>
        <w:autoSpaceDN w:val="0"/>
        <w:adjustRightInd w:val="0"/>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b/>
      </w:r>
    </w:p>
    <w:p w14:paraId="35F369FE" w14:textId="16505956"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Artículo 3.2. Custodia de los Documentos. </w:t>
      </w:r>
      <w:r w:rsidRPr="00506990">
        <w:rPr>
          <w:rFonts w:ascii="Times New Roman" w:hAnsi="Times New Roman" w:cs="Times New Roman"/>
          <w:bCs/>
          <w:iCs/>
          <w:color w:val="0D0D0D" w:themeColor="text1" w:themeTint="F2"/>
          <w:sz w:val="22"/>
          <w:szCs w:val="22"/>
          <w:lang w:val="es-AR"/>
        </w:rPr>
        <w:t xml:space="preserve">El Fiduciario ha delegado en </w:t>
      </w:r>
      <w:r w:rsidR="00660558">
        <w:rPr>
          <w:rFonts w:ascii="Times New Roman" w:hAnsi="Times New Roman" w:cs="Times New Roman"/>
          <w:bCs/>
          <w:iCs/>
          <w:color w:val="0D0D0D" w:themeColor="text1" w:themeTint="F2"/>
          <w:sz w:val="22"/>
          <w:szCs w:val="22"/>
          <w:lang w:val="es-AR"/>
        </w:rPr>
        <w:t>AZ Administración de Archivos</w:t>
      </w:r>
      <w:r w:rsidR="00660558"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S.A., sito en</w:t>
      </w:r>
      <w:r w:rsidR="00660558">
        <w:rPr>
          <w:rFonts w:ascii="Times New Roman" w:hAnsi="Times New Roman" w:cs="Times New Roman"/>
          <w:bCs/>
          <w:iCs/>
          <w:color w:val="0D0D0D" w:themeColor="text1" w:themeTint="F2"/>
          <w:sz w:val="22"/>
          <w:szCs w:val="22"/>
          <w:lang w:val="es-AR"/>
        </w:rPr>
        <w:t xml:space="preserve"> Ruta Nacional 34, Km. 226</w:t>
      </w:r>
      <w:r w:rsidRPr="00506990">
        <w:rPr>
          <w:rFonts w:ascii="Times New Roman" w:hAnsi="Times New Roman" w:cs="Times New Roman"/>
          <w:bCs/>
          <w:iCs/>
          <w:color w:val="0D0D0D" w:themeColor="text1" w:themeTint="F2"/>
          <w:sz w:val="22"/>
          <w:szCs w:val="22"/>
          <w:lang w:val="es-AR"/>
        </w:rPr>
        <w:t xml:space="preserve">, de la ciudad de </w:t>
      </w:r>
      <w:r w:rsidR="00FA759A" w:rsidRPr="00FA759A">
        <w:rPr>
          <w:rFonts w:ascii="Times New Roman" w:hAnsi="Times New Roman" w:cs="Times New Roman"/>
          <w:bCs/>
          <w:iCs/>
          <w:color w:val="0D0D0D" w:themeColor="text1" w:themeTint="F2"/>
          <w:sz w:val="22"/>
          <w:szCs w:val="22"/>
          <w:lang w:val="es-AR"/>
        </w:rPr>
        <w:t>Rafaela, Provincia de Santa Fe</w:t>
      </w:r>
      <w:r w:rsidRPr="00506990">
        <w:rPr>
          <w:rFonts w:ascii="Times New Roman" w:hAnsi="Times New Roman" w:cs="Times New Roman"/>
          <w:bCs/>
          <w:iCs/>
          <w:color w:val="0D0D0D" w:themeColor="text1" w:themeTint="F2"/>
          <w:sz w:val="22"/>
          <w:szCs w:val="22"/>
          <w:lang w:val="es-AR"/>
        </w:rPr>
        <w:t>, la custodia de los Documentos Respaldatorios de los Créditos (“los Documentos”) en virtud del convenio suscripto entre el Fiduciario,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el Agente de Custodia. Dichos Documentos Respaldatorios fueron entregados para su custodia </w:t>
      </w:r>
      <w:r w:rsidR="004B370E" w:rsidRPr="00506990">
        <w:rPr>
          <w:rFonts w:ascii="Times New Roman" w:hAnsi="Times New Roman" w:cs="Times New Roman"/>
          <w:bCs/>
          <w:iCs/>
          <w:color w:val="0D0D0D" w:themeColor="text1" w:themeTint="F2"/>
          <w:sz w:val="22"/>
          <w:szCs w:val="22"/>
          <w:lang w:val="es-AR"/>
        </w:rPr>
        <w:t xml:space="preserve">en </w:t>
      </w:r>
      <w:r w:rsidR="001126E3" w:rsidRPr="00506990">
        <w:rPr>
          <w:rFonts w:ascii="Times New Roman" w:hAnsi="Times New Roman" w:cs="Times New Roman"/>
          <w:bCs/>
          <w:iCs/>
          <w:color w:val="0D0D0D" w:themeColor="text1" w:themeTint="F2"/>
          <w:sz w:val="22"/>
          <w:szCs w:val="22"/>
          <w:lang w:val="es-AR"/>
        </w:rPr>
        <w:t xml:space="preserve">el domicilio del Agente de Custodia </w:t>
      </w:r>
      <w:r w:rsidRPr="00506990">
        <w:rPr>
          <w:rFonts w:ascii="Times New Roman" w:hAnsi="Times New Roman" w:cs="Times New Roman"/>
          <w:bCs/>
          <w:iCs/>
          <w:color w:val="0D0D0D" w:themeColor="text1" w:themeTint="F2"/>
          <w:sz w:val="22"/>
          <w:szCs w:val="22"/>
          <w:lang w:val="es-AR"/>
        </w:rPr>
        <w:t>en cajas debidamente cerradas y perfectamente identificadas y podrán ser rescatados en cualquier momento por el Fiduciario. Los Documentos Respaldatorios en custodia otorgan al Fiduciario todas las facultades suficientes y necesarias para el cobro de los Créditos y sus garantías. Cuando la designación de Agente de Custodia sea dejada sin efecto por cualquier causa, o cuando lo solicitare a su sólo criterio el Fiduciario, el Agente de Custodia entregará al Fiduciario los Documentos Resp</w:t>
      </w:r>
      <w:r w:rsidR="004B370E" w:rsidRPr="00506990">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bCs/>
          <w:iCs/>
          <w:color w:val="0D0D0D" w:themeColor="text1" w:themeTint="F2"/>
          <w:sz w:val="22"/>
          <w:szCs w:val="22"/>
          <w:lang w:val="es-AR"/>
        </w:rPr>
        <w:t>ldatorios dentro de las 48 horas de recibido el requerimiento pertinente. En tal supuesto el Fiduciario asumirá la Custodia de los Documentos la que podrá realizarla por sí o por intermedio de una entidad de custodia que pudiese designar a tal efecto.</w:t>
      </w:r>
      <w:r w:rsidRPr="00506990">
        <w:rPr>
          <w:rFonts w:ascii="Times New Roman" w:hAnsi="Times New Roman" w:cs="Times New Roman"/>
          <w:b/>
          <w:bCs/>
          <w:iCs/>
          <w:color w:val="0D0D0D" w:themeColor="text1" w:themeTint="F2"/>
          <w:sz w:val="22"/>
          <w:szCs w:val="22"/>
          <w:lang w:val="es-AR"/>
        </w:rPr>
        <w:t xml:space="preserve"> </w:t>
      </w:r>
      <w:r w:rsidR="006E36BA"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constituye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en depositario de Documentos Adicionales de los Créditos en un espacio físico determinado dentro de sus oficinas, perfectamente identificados y diferenciados de los documentos correspondientes a bienes no fideicomitidos y de cualquiera otra documentación, y con las medidas de seguridad adecuadas de modo de evitar su alteración, pérdida, destrucción o sustracción y </w:t>
      </w:r>
      <w:r w:rsidRPr="00506990">
        <w:rPr>
          <w:rFonts w:ascii="Times New Roman" w:hAnsi="Times New Roman" w:cs="Times New Roman"/>
          <w:bCs/>
          <w:iCs/>
          <w:color w:val="0D0D0D" w:themeColor="text1" w:themeTint="F2"/>
          <w:sz w:val="22"/>
          <w:szCs w:val="22"/>
          <w:lang w:val="es-AR"/>
        </w:rPr>
        <w:t>deberán ser entregados a mero requerimiento del Fiduciario en cualquier momento que lo solicite</w:t>
      </w:r>
      <w:r w:rsidRPr="00506990">
        <w:rPr>
          <w:rFonts w:ascii="Times New Roman" w:hAnsi="Times New Roman" w:cs="Times New Roman"/>
          <w:iCs/>
          <w:color w:val="0D0D0D" w:themeColor="text1" w:themeTint="F2"/>
          <w:sz w:val="22"/>
          <w:szCs w:val="22"/>
          <w:lang w:val="es-AR"/>
        </w:rPr>
        <w:t>.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como depositario de la Documentación Adicional de los Préstamos, serán válidas y exigibles durante toda la vigencia del presente Fideicomiso. </w:t>
      </w:r>
    </w:p>
    <w:p w14:paraId="563602D3" w14:textId="77777777" w:rsidR="0050339C" w:rsidRPr="00506990" w:rsidRDefault="0050339C" w:rsidP="0050339C">
      <w:pPr>
        <w:suppressAutoHyphens/>
        <w:rPr>
          <w:rFonts w:ascii="Times New Roman" w:hAnsi="Times New Roman" w:cs="Times New Roman"/>
          <w:b/>
          <w:bCs/>
          <w:iCs/>
          <w:color w:val="0D0D0D" w:themeColor="text1" w:themeTint="F2"/>
          <w:sz w:val="22"/>
          <w:szCs w:val="22"/>
          <w:lang w:val="es-AR"/>
        </w:rPr>
      </w:pPr>
    </w:p>
    <w:p w14:paraId="7117326A" w14:textId="77777777"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3.3. Obligaciones del Fiduciario frente a</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El Fiduciario firmará a solicitud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que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certifique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que son necesarios o convenientes para permitirle cumplir con sus obligaciones conforme al presente. En su caso, el Fiduciario deberá entregar a</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correspondientes a los Créditos que fuera necesario ejecutar.</w:t>
      </w:r>
    </w:p>
    <w:p w14:paraId="21F5FD94" w14:textId="7D450E4E" w:rsidR="0050339C" w:rsidRPr="00506990" w:rsidRDefault="0050339C" w:rsidP="00251784">
      <w:pPr>
        <w:pStyle w:val="NormalWeb"/>
        <w:jc w:val="both"/>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3.4. Depósito de la Cobranza.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ha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celebrado un convenio con el Agente Recaudador por intermedio de cuál éste prestará, por cuenta y orden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el servicio de percepción de cobranza de la totalidad de los Créditos fideicomitidos. En el marco de dicho acuerdo, BAZAR </w:t>
      </w:r>
      <w:r w:rsidR="00F7400D"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en su carácter de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delega</w:t>
      </w:r>
      <w:r w:rsidR="00F7400D"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el Agente Recaudador la recaudación de la cobranza de los Créditos Fideicomitidos, excepto la de aquellos Créditos en Mora que se perciban por las gestiones judiciales y extrajudiciales que realice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Para cumplir con su obligación el Agente Recaudador, podrá celebrar convenios con Agentes Externos de Recaudación</w:t>
      </w:r>
      <w:r w:rsidR="00701348">
        <w:rPr>
          <w:rFonts w:ascii="Times New Roman" w:hAnsi="Times New Roman" w:cs="Times New Roman"/>
          <w:iCs/>
          <w:color w:val="0D0D0D" w:themeColor="text1" w:themeTint="F2"/>
          <w:sz w:val="22"/>
          <w:szCs w:val="22"/>
        </w:rPr>
        <w:t>, los cuales serán informados al Fiduciario por BAZAR y CONSUMO una vez que les sean comunicados por TINSA</w:t>
      </w:r>
      <w:r w:rsidRPr="00506990">
        <w:rPr>
          <w:rFonts w:ascii="Times New Roman" w:hAnsi="Times New Roman" w:cs="Times New Roman"/>
          <w:iCs/>
          <w:color w:val="0D0D0D" w:themeColor="text1" w:themeTint="F2"/>
          <w:sz w:val="22"/>
          <w:szCs w:val="22"/>
        </w:rPr>
        <w:t>.</w:t>
      </w:r>
      <w:r w:rsidR="00701348">
        <w:rPr>
          <w:rFonts w:ascii="Times New Roman" w:hAnsi="Times New Roman" w:cs="Times New Roman"/>
          <w:iCs/>
          <w:color w:val="0D0D0D" w:themeColor="text1" w:themeTint="F2"/>
          <w:sz w:val="22"/>
          <w:szCs w:val="22"/>
        </w:rPr>
        <w:t xml:space="preserve"> A su vez,</w:t>
      </w:r>
      <w:r w:rsidRPr="00506990">
        <w:rPr>
          <w:rFonts w:ascii="Times New Roman" w:hAnsi="Times New Roman" w:cs="Times New Roman"/>
          <w:iCs/>
          <w:color w:val="0D0D0D" w:themeColor="text1" w:themeTint="F2"/>
          <w:sz w:val="22"/>
          <w:szCs w:val="22"/>
        </w:rPr>
        <w:t xml:space="preserve"> TINSA se obliga por la rendición de la Cobranza efectuada por los Agentes Externos de Recaudación de manera tal que si dichos agentes no le rindieran lo recaudado en tiempo y forma, TINSA debe transferir los fondos correspondientes a los Créditos Fideicomitidos. En oportunidad de emitir cada uno de los Fideicomiso</w:t>
      </w:r>
      <w:r w:rsidR="006E7CE5">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BAZAR </w:t>
      </w:r>
      <w:r w:rsidR="00915966"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comunica</w:t>
      </w:r>
      <w:r w:rsidR="00915966"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nota TINSA deberá comunicar a BAZAR</w:t>
      </w:r>
      <w:r w:rsidR="00915966" w:rsidRPr="00506990">
        <w:rPr>
          <w:rFonts w:ascii="Times New Roman" w:hAnsi="Times New Roman" w:cs="Times New Roman"/>
          <w:iCs/>
          <w:color w:val="0D0D0D" w:themeColor="text1" w:themeTint="F2"/>
          <w:sz w:val="22"/>
          <w:szCs w:val="22"/>
        </w:rPr>
        <w:t xml:space="preserve"> y CONSUMO</w:t>
      </w:r>
      <w:r w:rsidRPr="00506990">
        <w:rPr>
          <w:rFonts w:ascii="Times New Roman" w:hAnsi="Times New Roman" w:cs="Times New Roman"/>
          <w:iCs/>
          <w:color w:val="0D0D0D" w:themeColor="text1" w:themeTint="F2"/>
          <w:sz w:val="22"/>
          <w:szCs w:val="22"/>
        </w:rPr>
        <w:t xml:space="preserve">, con copia al </w:t>
      </w:r>
      <w:r w:rsidR="006E7CE5">
        <w:rPr>
          <w:rFonts w:ascii="Times New Roman" w:hAnsi="Times New Roman" w:cs="Times New Roman"/>
          <w:iCs/>
          <w:color w:val="0D0D0D" w:themeColor="text1" w:themeTint="F2"/>
          <w:sz w:val="22"/>
          <w:szCs w:val="22"/>
        </w:rPr>
        <w:t>F</w:t>
      </w:r>
      <w:r w:rsidRPr="00506990">
        <w:rPr>
          <w:rFonts w:ascii="Times New Roman" w:hAnsi="Times New Roman" w:cs="Times New Roman"/>
          <w:iCs/>
          <w:color w:val="0D0D0D" w:themeColor="text1" w:themeTint="F2"/>
          <w:sz w:val="22"/>
          <w:szCs w:val="22"/>
        </w:rPr>
        <w:t xml:space="preserve">iduciario, el alta de la Cuenta Fiduciaria en sus sistemas. </w:t>
      </w:r>
      <w:r w:rsidR="00701348">
        <w:rPr>
          <w:rFonts w:ascii="Times New Roman" w:hAnsi="Times New Roman" w:cs="Times New Roman"/>
          <w:iCs/>
          <w:color w:val="0D0D0D" w:themeColor="text1" w:themeTint="F2"/>
          <w:sz w:val="22"/>
          <w:szCs w:val="22"/>
        </w:rPr>
        <w:t xml:space="preserve">Asimismo, en virtud del convenio entre los Fiduciantes y TINSA, éste se obliga a notificar a los primeros la nómina y domicilio de los Agentes Externos de Recaudación con los cuales celebre convenios de recaudación, </w:t>
      </w:r>
      <w:r w:rsidR="00550DD2">
        <w:rPr>
          <w:rFonts w:ascii="Times New Roman" w:hAnsi="Times New Roman" w:cs="Times New Roman"/>
          <w:iCs/>
          <w:color w:val="0D0D0D" w:themeColor="text1" w:themeTint="F2"/>
          <w:sz w:val="22"/>
          <w:szCs w:val="22"/>
        </w:rPr>
        <w:t xml:space="preserve">y </w:t>
      </w:r>
      <w:r w:rsidR="00701348">
        <w:rPr>
          <w:rFonts w:ascii="Times New Roman" w:hAnsi="Times New Roman" w:cs="Times New Roman"/>
          <w:iCs/>
          <w:color w:val="0D0D0D" w:themeColor="text1" w:themeTint="F2"/>
          <w:sz w:val="22"/>
          <w:szCs w:val="22"/>
        </w:rPr>
        <w:t xml:space="preserve">BAZAR y CONSUMO </w:t>
      </w:r>
      <w:r w:rsidR="00550DD2">
        <w:rPr>
          <w:rFonts w:ascii="Times New Roman" w:hAnsi="Times New Roman" w:cs="Times New Roman"/>
          <w:iCs/>
          <w:color w:val="0D0D0D" w:themeColor="text1" w:themeTint="F2"/>
          <w:sz w:val="22"/>
          <w:szCs w:val="22"/>
        </w:rPr>
        <w:t xml:space="preserve">se obligan a comunicar esa información </w:t>
      </w:r>
      <w:r w:rsidR="00701348">
        <w:rPr>
          <w:rFonts w:ascii="Times New Roman" w:hAnsi="Times New Roman" w:cs="Times New Roman"/>
          <w:iCs/>
          <w:color w:val="0D0D0D" w:themeColor="text1" w:themeTint="F2"/>
          <w:sz w:val="22"/>
          <w:szCs w:val="22"/>
        </w:rPr>
        <w:t xml:space="preserve">al Fiduciario desde que aquellos tomaren conocimiento de los mismos. </w:t>
      </w:r>
      <w:r w:rsidRPr="00506990">
        <w:rPr>
          <w:rFonts w:ascii="Times New Roman" w:hAnsi="Times New Roman" w:cs="Times New Roman"/>
          <w:color w:val="0D0D0D" w:themeColor="text1" w:themeTint="F2"/>
          <w:sz w:val="22"/>
          <w:szCs w:val="22"/>
        </w:rPr>
        <w:t>A los fines de poder identificar la cobranza correspondiente a Créditos fideicomitidos, al final de cada jornada el sistema que opera en cada uno de los agentes transmite información a los sistemas centrales de TINSA. Una vez recibida la información de todos los agentes, TINSA procesa los registros y, a primera hora del día siguiente, transmite información a BAZAR</w:t>
      </w:r>
      <w:r w:rsidR="00915966"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xml:space="preserve"> para que ésta</w:t>
      </w:r>
      <w:r w:rsidR="00915966"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915966"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 xml:space="preserve">TINSA procederá a transferir a las Cuentas Fiduciarias correspondientes los fondos percibidos por Créditos fideicomitidos dentro del día hábil </w:t>
      </w:r>
      <w:r w:rsidR="00D3603D">
        <w:rPr>
          <w:rFonts w:ascii="Times New Roman" w:hAnsi="Times New Roman" w:cs="Times New Roman"/>
          <w:snapToGrid w:val="0"/>
          <w:color w:val="0D0D0D" w:themeColor="text1" w:themeTint="F2"/>
          <w:sz w:val="22"/>
          <w:szCs w:val="22"/>
        </w:rPr>
        <w:t>de</w:t>
      </w:r>
      <w:r w:rsidRPr="00506990">
        <w:rPr>
          <w:rFonts w:ascii="Times New Roman" w:hAnsi="Times New Roman" w:cs="Times New Roman"/>
          <w:snapToGrid w:val="0"/>
          <w:color w:val="0D0D0D" w:themeColor="text1" w:themeTint="F2"/>
          <w:sz w:val="22"/>
          <w:szCs w:val="22"/>
        </w:rPr>
        <w:t xml:space="preserve"> recibida la información de parte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Según las obligaciones que emanan del convenio, TINSA</w:t>
      </w:r>
      <w:r w:rsidRPr="00506990">
        <w:rPr>
          <w:rFonts w:ascii="Times New Roman" w:hAnsi="Times New Roman" w:cs="Times New Roman"/>
          <w:iCs/>
          <w:color w:val="0D0D0D" w:themeColor="text1" w:themeTint="F2"/>
          <w:sz w:val="22"/>
          <w:szCs w:val="22"/>
        </w:rPr>
        <w:t xml:space="preserve"> deberá depositar directamente en las Cuentas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a la Cobranza percibida por los Agentes Externos de Recaudación dentro de los tres días de su percepción, aun cuando los mismos tengan transferencias pendientes. Por su parte, en el supuesto que existan Cobranzas percibidas por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 en virtud de las gestiones de Créditos en Mora realizadas conforme a lo establecido en el artículo 3.6- serán transferidas al día hábil siguiente de su percepción.</w:t>
      </w:r>
      <w:r w:rsidR="00251784">
        <w:rPr>
          <w:rFonts w:ascii="Times New Roman" w:hAnsi="Times New Roman" w:cs="Times New Roman"/>
          <w:iCs/>
          <w:color w:val="0D0D0D" w:themeColor="text1" w:themeTint="F2"/>
          <w:sz w:val="22"/>
          <w:szCs w:val="22"/>
        </w:rPr>
        <w:t xml:space="preserve"> </w:t>
      </w:r>
    </w:p>
    <w:p w14:paraId="750DCDFC" w14:textId="77777777" w:rsidR="0050339C" w:rsidRPr="00506990" w:rsidRDefault="0050339C" w:rsidP="0050339C">
      <w:pPr>
        <w:suppressAutoHyphens/>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 xml:space="preserve">Artículo 3.5. </w:t>
      </w:r>
      <w:r w:rsidRPr="00506990">
        <w:rPr>
          <w:rFonts w:ascii="Times New Roman" w:hAnsi="Times New Roman" w:cs="Times New Roman"/>
          <w:b/>
          <w:bCs/>
          <w:iCs/>
          <w:color w:val="0D0D0D" w:themeColor="text1" w:themeTint="F2"/>
          <w:sz w:val="22"/>
          <w:szCs w:val="22"/>
          <w:lang w:val="es-AR"/>
        </w:rPr>
        <w:t xml:space="preserve">Informe de Administración. </w:t>
      </w:r>
      <w:r w:rsidRPr="00506990">
        <w:rPr>
          <w:rFonts w:ascii="Times New Roman" w:hAnsi="Times New Roman" w:cs="Times New Roman"/>
          <w:bCs/>
          <w:iCs/>
          <w:color w:val="0D0D0D" w:themeColor="text1" w:themeTint="F2"/>
          <w:sz w:val="22"/>
          <w:szCs w:val="22"/>
          <w:lang w:val="es-AR"/>
        </w:rPr>
        <w:t>Conforme lo establecido por el artículo 25 del Título V, Capítulo IV de las NORMAS:</w:t>
      </w:r>
      <w:r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(a) Diariamente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informarán al Fiduciario el importe de la Cobranzas percibida de los Créditos conforme al Anexo 3.5, (b) Mensualmente dentro de los 3 (tres) Días Hábiles de finalizado cada mes calendario desde la fecha de constitución del Fideicomiso,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remitirán al Fiduciario un detalle de la Cobranza (Informe Mensual de Cobranza), que contendrá la información necesaria para realizar la imputación de los pagos y el estado de la cobranza de los Créditos contra los Deudores conforme al Anexo 3.5.1. Este informe contendrá, sin que la enumeración pueda considerarse limitativa, número de sucursal, provincia de la sucursal, número de cliente, número de operación, número de cuota, fecha de vencimiento de la cuota, fecha de pago de la cuota, capital cobrado, interés cobrado, punitorios cobrados y total cobrado, (c) Dentro de los 15 (quince) Días Hábiles de terminado cada trimestre calendario desde la vigencia del Fideicomiso, en el supuesto de Créditos en gestión judicial, un informe de los abogados encargados de tal tarea respecto del estado y perspectivas de los juicios correspondientes (el "Informe del Estado de Juicios"),  y (d) En el tiempo y forma que se le solicitare, cualquier otra información o documento que el Fiduciario y/o el Agente de Control y Revisión razonablemente solicitaren.</w:t>
      </w:r>
    </w:p>
    <w:p w14:paraId="2DA437B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p>
    <w:p w14:paraId="0FFACC17"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Artículo 3.6. Gestión de Créditos en Mora.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tendrá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cobranza y la gestión extrajudicial y judicial de los Créditos (en tal rol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será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y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cualesquiera procedimientos necesarios o convenientes para exigir judicial y extrajudicialmente los pagos que corresponden a los clientes en mora, de acuerdo a la Sección IV - DESCRIPCIÓN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a las instrucciones que oportunamente formule el Fiduciario. Fracasada la gestión de cobranza extrajudicial,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la gestión judicial, salvo que concurran los siguientes requisitos: (a) se hayan cancelado íntegramente los VDF, (b) el monto de capital del Crédito en Mora no supere el 20% (veinte por ciento) del capital original del Crédito a la Fecha de Corte, y (c) considere inconveniente para el Fideicomiso Financiero la cobranza por dicha vía, en función de una desproporción entre el monto de la deuda y los costos inherentes a la cobranza judicial. En tal caso, el crédito se declara incobrable y se computa la pérdida consiguiente.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acreditar y el Fiduciario verificar el cumplimiento de los requisitos antes mencionados.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 obligado a iniciar el proceso de verificación de los Créditos que correspondan a Deudores concursados o declarados en quiebra, cuando considere que resulta antieconómico para el Fideicomiso, y el Fiduciario verifique que así sea.</w:t>
      </w:r>
    </w:p>
    <w:p w14:paraId="237448F4" w14:textId="77777777" w:rsidR="0050339C" w:rsidRPr="00506990" w:rsidRDefault="0050339C" w:rsidP="0050339C">
      <w:pPr>
        <w:rPr>
          <w:rFonts w:ascii="Times New Roman" w:hAnsi="Times New Roman" w:cs="Times New Roman"/>
          <w:iCs/>
          <w:color w:val="0D0D0D" w:themeColor="text1" w:themeTint="F2"/>
          <w:sz w:val="22"/>
          <w:szCs w:val="22"/>
        </w:rPr>
      </w:pPr>
    </w:p>
    <w:p w14:paraId="3F1F6DC4"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3.7. Readquisición o Reemplazo de Créditos en mora.</w:t>
      </w:r>
      <w:r w:rsidRPr="00506990">
        <w:rPr>
          <w:rFonts w:ascii="Times New Roman" w:hAnsi="Times New Roman" w:cs="Times New Roman"/>
          <w:iCs/>
          <w:color w:val="0D0D0D" w:themeColor="text1" w:themeTint="F2"/>
          <w:sz w:val="22"/>
          <w:szCs w:val="22"/>
        </w:rPr>
        <w:t xml:space="preserve"> En caso de mora de cualquiera de los Deudores de los Créditos que integraren el Patrimonio Fideicomitido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optar alternativamente:</w:t>
      </w:r>
    </w:p>
    <w:p w14:paraId="33C2C9BA"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 Reemplazarlo por otro crédito de características análogas o similares al Crédito en mora. La retrocesión y reemplazo deberá verificarse al valor contable de los Créditos en Mora a la fecha de sustitución. En ningún supuesto el valor del Crédito de reemplazo podrá ser inferior al 20% del saldo del valor nominal original del Crédito a ser reemplazado. En caso que a la fecha de sustitución de un crédito, el valor del crédito a sustituir fuere superior al valor del crédito que lo reemplace, la diferencia será abonada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el acto de sustitución, ó</w:t>
      </w:r>
    </w:p>
    <w:p w14:paraId="52C1B00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Readquirir bajo titularidad plena el crédito en mora de que se trate abonando al Fiduciario el Crédito al valor contable a la fecha de pago, correspondiente, formalizándose al momento de pago la readquisición de dicho crédito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En ningún supuesto el valor de readquisición del Crédito podrá ser inferior al 20% del saldo del valor nominal original del Crédito a ser readquirido. Todos los costos, honorarios, gastos e impuestos relacionados con el reemplazo de créditos previsto en este artículo, estarán a exclusivo cargo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w:t>
      </w:r>
    </w:p>
    <w:p w14:paraId="6B8AACA5"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ningún caso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estará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sustituir o readquirir Créditos en Mora.</w:t>
      </w:r>
    </w:p>
    <w:p w14:paraId="420E274F" w14:textId="77777777" w:rsidR="0050339C" w:rsidRPr="00506990" w:rsidRDefault="0050339C" w:rsidP="0050339C">
      <w:pPr>
        <w:rPr>
          <w:rFonts w:ascii="Times New Roman" w:hAnsi="Times New Roman" w:cs="Times New Roman"/>
          <w:b/>
          <w:bCs/>
          <w:iCs/>
          <w:color w:val="0D0D0D" w:themeColor="text1" w:themeTint="F2"/>
          <w:sz w:val="22"/>
          <w:szCs w:val="22"/>
        </w:rPr>
      </w:pPr>
    </w:p>
    <w:p w14:paraId="3406D4CC" w14:textId="77777777" w:rsidR="0050339C" w:rsidRPr="00506990" w:rsidRDefault="0050339C" w:rsidP="0050339C">
      <w:pPr>
        <w:spacing w:line="240" w:lineRule="atLeas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3.8. Remuneración de</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 xml:space="preserve"> y 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Agente</w:t>
      </w:r>
      <w:r w:rsidR="00F7400D"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de Cobro y el Agente Recaudador.</w:t>
      </w:r>
      <w:r w:rsidRPr="00506990">
        <w:rPr>
          <w:rFonts w:ascii="Times New Roman" w:hAnsi="Times New Roman" w:cs="Times New Roman"/>
          <w:bCs/>
          <w:iCs/>
          <w:color w:val="0D0D0D" w:themeColor="text1" w:themeTint="F2"/>
          <w:sz w:val="22"/>
          <w:szCs w:val="22"/>
          <w:lang w:val="es-AR"/>
        </w:rPr>
        <w:t xml:space="preserve"> </w:t>
      </w:r>
      <w:r w:rsidR="00F7400D"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tendrá derecho a cobrar por su gestión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de </w:t>
      </w:r>
      <w:r w:rsidR="00D17C16" w:rsidRPr="00506990">
        <w:rPr>
          <w:rFonts w:ascii="Times New Roman" w:hAnsi="Times New Roman" w:cs="Times New Roman"/>
          <w:bCs/>
          <w:iCs/>
          <w:color w:val="0D0D0D" w:themeColor="text1" w:themeTint="F2"/>
          <w:sz w:val="22"/>
          <w:szCs w:val="22"/>
          <w:lang w:val="es-AR"/>
        </w:rPr>
        <w:t>los Créditos</w:t>
      </w:r>
      <w:r w:rsidRPr="00506990">
        <w:rPr>
          <w:rFonts w:ascii="Times New Roman" w:hAnsi="Times New Roman" w:cs="Times New Roman"/>
          <w:bCs/>
          <w:iCs/>
          <w:color w:val="0D0D0D" w:themeColor="text1" w:themeTint="F2"/>
          <w:sz w:val="22"/>
          <w:szCs w:val="22"/>
          <w:lang w:val="es-AR"/>
        </w:rPr>
        <w:t>, una comisión equivalente de hasta el 0,9% más IVA del flujo de fondos de la Cobranza percibida en forma mensual, pagadera dentro de los diez (10) Días Hábiles del mes calendario siguiente.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w:t>
      </w:r>
      <w:r w:rsidR="00F7400D" w:rsidRPr="00506990">
        <w:rPr>
          <w:rFonts w:ascii="Times New Roman" w:hAnsi="Times New Roman" w:cs="Times New Roman"/>
          <w:bCs/>
          <w:iCs/>
          <w:color w:val="0D0D0D" w:themeColor="text1" w:themeTint="F2"/>
          <w:sz w:val="22"/>
          <w:szCs w:val="22"/>
          <w:lang w:val="es-AR"/>
        </w:rPr>
        <w:t xml:space="preserve"> y Consumo S.A.</w:t>
      </w:r>
      <w:r w:rsidRPr="00506990">
        <w:rPr>
          <w:rFonts w:ascii="Times New Roman" w:hAnsi="Times New Roman" w:cs="Times New Roman"/>
          <w:bCs/>
          <w:iCs/>
          <w:color w:val="0D0D0D" w:themeColor="text1" w:themeTint="F2"/>
          <w:sz w:val="22"/>
          <w:szCs w:val="22"/>
          <w:lang w:val="es-AR"/>
        </w:rPr>
        <w:t xml:space="preserve"> ést</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renuncia</w:t>
      </w:r>
      <w:r w:rsidR="00F7400D" w:rsidRPr="00506990">
        <w:rPr>
          <w:rFonts w:ascii="Times New Roman" w:hAnsi="Times New Roman" w:cs="Times New Roman"/>
          <w:bCs/>
          <w:iCs/>
          <w:color w:val="0D0D0D" w:themeColor="text1" w:themeTint="F2"/>
          <w:sz w:val="22"/>
          <w:szCs w:val="22"/>
          <w:lang w:val="es-AR"/>
        </w:rPr>
        <w:t>n</w:t>
      </w:r>
      <w:r w:rsidRPr="00506990">
        <w:rPr>
          <w:rFonts w:ascii="Times New Roman" w:hAnsi="Times New Roman" w:cs="Times New Roman"/>
          <w:bCs/>
          <w:iCs/>
          <w:color w:val="0D0D0D" w:themeColor="text1" w:themeTint="F2"/>
          <w:sz w:val="22"/>
          <w:szCs w:val="22"/>
          <w:lang w:val="es-AR"/>
        </w:rPr>
        <w:t xml:space="preserve"> a su percepción. Por su parte TINSA S.A. en su carácter de Agente Recaudador percibirá una comisión del 1,2% de la Cobranza percibida, con un máximo de $ 30 (pesos treinta) por factura.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 </w:t>
      </w:r>
      <w:r w:rsidR="00F7400D" w:rsidRPr="00506990">
        <w:rPr>
          <w:rFonts w:ascii="Times New Roman" w:hAnsi="Times New Roman" w:cs="Times New Roman"/>
          <w:bCs/>
          <w:iCs/>
          <w:color w:val="0D0D0D" w:themeColor="text1" w:themeTint="F2"/>
          <w:sz w:val="22"/>
          <w:szCs w:val="22"/>
          <w:lang w:val="es-AR"/>
        </w:rPr>
        <w:t xml:space="preserve">y Consumo S.A. </w:t>
      </w:r>
      <w:r w:rsidRPr="00506990">
        <w:rPr>
          <w:rFonts w:ascii="Times New Roman" w:hAnsi="Times New Roman" w:cs="Times New Roman"/>
          <w:bCs/>
          <w:iCs/>
          <w:color w:val="0D0D0D" w:themeColor="text1" w:themeTint="F2"/>
          <w:sz w:val="22"/>
          <w:szCs w:val="22"/>
          <w:lang w:val="es-AR"/>
        </w:rPr>
        <w:t>la comisión será afrontada por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por lo tanto no afectará los recursos del Fideicomiso.</w:t>
      </w:r>
    </w:p>
    <w:p w14:paraId="051E5A73"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lang w:val="es-AR"/>
        </w:rPr>
      </w:pPr>
    </w:p>
    <w:p w14:paraId="78809410" w14:textId="2FE344D4"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3.9. Revocación de</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b/>
          <w:bCs/>
          <w:iCs/>
          <w:color w:val="0D0D0D" w:themeColor="text1" w:themeTint="F2"/>
          <w:sz w:val="22"/>
          <w:szCs w:val="22"/>
          <w:lang w:val="es-AR"/>
        </w:rPr>
        <w:t>y 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El Fiduciario podrá, revocar la designación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del Agente Recaudador, sin que ello otorgue derecho a indemnización alguna, cuando ocurra cualquiera de estos hechos: (a) existan irregularidades en las funciones de recaudación y cobranza de los Créditos o la Cobranza no sea depositada en modo, tiempo y lugar de acuerdo a lo pactado en el presente Contrato la Cobranza de los Créditos fideicomitidos por parte del Agente Recaudador y/o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según corresponda; (b) cualquiera de ellos modificare fundamentalmente su objeto social y ello implicaré la imposibilidad de continuar las tareas encomendadas por éste Contrato; (c) no brindaren al Fiduciario la información correspondiente y necesaria, en el tiempo acordado en el presente Contrato, que impida y/o dificulte al Fiduciario cumplir con la carga informativa que le es propia frente a los Beneficiarios; (d) no otorgaren en tiempo oportuno los actos públicos y/o privados que le fueran requeridos por el Fiduciario para cumplir con la finalidad del Fideicomiso; (e) fuera decretado un embargo, inhibición, o cualquier otra medida cautelar por un monto acumulado superior al veinte por ciento (20%) del </w:t>
      </w:r>
      <w:r w:rsidR="00BA3CC4" w:rsidRPr="00506990">
        <w:rPr>
          <w:rFonts w:ascii="Times New Roman" w:hAnsi="Times New Roman" w:cs="Times New Roman"/>
          <w:iCs/>
          <w:color w:val="0D0D0D" w:themeColor="text1" w:themeTint="F2"/>
          <w:sz w:val="22"/>
          <w:szCs w:val="22"/>
        </w:rPr>
        <w:t>V</w:t>
      </w:r>
      <w:r w:rsidRPr="00506990">
        <w:rPr>
          <w:rFonts w:ascii="Times New Roman" w:hAnsi="Times New Roman" w:cs="Times New Roman"/>
          <w:iCs/>
          <w:color w:val="0D0D0D" w:themeColor="text1" w:themeTint="F2"/>
          <w:sz w:val="22"/>
          <w:szCs w:val="22"/>
        </w:rPr>
        <w:t xml:space="preserve">alor </w:t>
      </w:r>
      <w:r w:rsidR="00BA3CC4" w:rsidRPr="00506990">
        <w:rPr>
          <w:rFonts w:ascii="Times New Roman" w:hAnsi="Times New Roman" w:cs="Times New Roman"/>
          <w:iCs/>
          <w:color w:val="0D0D0D" w:themeColor="text1" w:themeTint="F2"/>
          <w:sz w:val="22"/>
          <w:szCs w:val="22"/>
        </w:rPr>
        <w:t xml:space="preserve">Fideicomitido </w:t>
      </w:r>
      <w:r w:rsidRPr="00506990">
        <w:rPr>
          <w:rFonts w:ascii="Times New Roman" w:hAnsi="Times New Roman" w:cs="Times New Roman"/>
          <w:iCs/>
          <w:color w:val="0D0D0D" w:themeColor="text1" w:themeTint="F2"/>
          <w:sz w:val="22"/>
          <w:szCs w:val="22"/>
        </w:rPr>
        <w:t>de los Créditos, y dichas medidas cautelares o definitivas no fueran levantadas en el plazo de diez (10) Días Hábiles; (f) fuera solicitada la quiebra de cualquiera de ellos, y la misma no fuera desistida, rechazada o levantada en el término de diez (10) Días Hábiles de ser notificado; (g) cualquiera de ellos fuera declarado en quiebra; (h) les fuera protestada por falta de pago o intimado el pago de una letra de cambio, pagaré o factura de crédito, o si le fueren rechazados cheques por falta de fondos,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o el Agente Recaudador según corresponda no pagara las sumas adeudadas en el plazo de  cinco (5) Días Hábiles; (i) cualquiera de ellos figurare en la Central de Riesgo del BCRA en situación irregular (clasificaciones 4 o 5); (j) En su caso, la Calificadora de Riesgo emitiera una nota o dictamen u opinión desfavorable sobre la actuación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o sobre  el Agente Recaudador y/o redujeran la calificación de los </w:t>
      </w:r>
      <w:r w:rsidR="00151843">
        <w:rPr>
          <w:rFonts w:ascii="Times New Roman" w:hAnsi="Times New Roman"/>
          <w:color w:val="0D0D0D" w:themeColor="text1" w:themeTint="F2"/>
          <w:sz w:val="22"/>
          <w:lang w:val="es-AR"/>
        </w:rPr>
        <w:t>Valores de Deuda Fiduciaria</w:t>
      </w:r>
      <w:r w:rsidR="00042325"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como consecuencia de la actuación de los mismos; (k) La CNV o los mercados autorizados donde listen y/o negocien los </w:t>
      </w:r>
      <w:r w:rsidR="00151843">
        <w:rPr>
          <w:rFonts w:ascii="Times New Roman" w:hAnsi="Times New Roman"/>
          <w:color w:val="0D0D0D" w:themeColor="text1" w:themeTint="F2"/>
          <w:sz w:val="22"/>
          <w:lang w:val="es-AR"/>
        </w:rPr>
        <w:t>Valores de Deuda Fiduciaria</w:t>
      </w:r>
      <w:r w:rsidR="00042325" w:rsidRPr="00E52538">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rPr>
        <w:t xml:space="preserve">emitieran una nota, dictamen, resolución u opinión desfavorable sobre la actuación de cualquiera de ellos, o sugirieran o solicitaran el cambio de alguno de ellos. </w:t>
      </w:r>
      <w:r w:rsidR="00F7400D"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se obligan a informar al Fiduciario, en forma fehaciente, a más tardar el Día Hábil siguiente al de haber tomado conocimiento por cualquier medio, el acaecimiento de cualquiera de las situaciones antes detalladas. El incumplimiento de esta obligación dará inmediato derecho al Fiduciario de removerlos  y designar a uno nuevo en su reemplazo, excepto que acredite en forma fehaciente que tales causales han cesado de existir. </w:t>
      </w:r>
    </w:p>
    <w:p w14:paraId="77BD230B"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No obstante lo establecido en el párrafo anterior, el Fiduciario se reserva el derecho de remover a</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y/o el Agente Recaudador en cualquier momento,  sin invocación de causa y sin derecho a indemnización alguna. Sin perjuicio de ello,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deberán prestar su mayor colaboración para que dicha función sea debidamente asumida y llevada a cabo por la/s entidad/es que fueran designadas en su reemplazo.</w:t>
      </w:r>
    </w:p>
    <w:p w14:paraId="2DF6594E"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5ECCC5FF" w14:textId="33FDA0F6"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3.10. Sustitución de</w:t>
      </w:r>
      <w:r w:rsidR="00F7400D"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F7400D"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Administrador</w:t>
      </w:r>
      <w:r w:rsidR="00F7400D" w:rsidRPr="00506990">
        <w:rPr>
          <w:rFonts w:ascii="Times New Roman" w:hAnsi="Times New Roman" w:cs="Times New Roman"/>
          <w:b/>
          <w:iCs/>
          <w:color w:val="0D0D0D" w:themeColor="text1" w:themeTint="F2"/>
          <w:sz w:val="22"/>
          <w:szCs w:val="22"/>
          <w:lang w:val="es-AR"/>
        </w:rPr>
        <w:t>es</w:t>
      </w:r>
      <w:r w:rsidRPr="00506990">
        <w:rPr>
          <w:rFonts w:ascii="Times New Roman" w:hAnsi="Times New Roman" w:cs="Times New Roman"/>
          <w:b/>
          <w:iCs/>
          <w:color w:val="0D0D0D" w:themeColor="text1" w:themeTint="F2"/>
          <w:sz w:val="22"/>
          <w:szCs w:val="22"/>
          <w:lang w:val="es-AR"/>
        </w:rPr>
        <w:t xml:space="preserve"> y Agente</w:t>
      </w:r>
      <w:r w:rsidR="00F7400D"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En cualquier supuesto en el cual el Fiduciario deba reemplazar al</w:t>
      </w:r>
      <w:r w:rsidR="00F7400D" w:rsidRPr="00506990">
        <w:rPr>
          <w:rFonts w:ascii="Times New Roman" w:hAnsi="Times New Roman" w:cs="Times New Roman"/>
          <w:iCs/>
          <w:color w:val="0D0D0D" w:themeColor="text1" w:themeTint="F2"/>
          <w:sz w:val="22"/>
          <w:szCs w:val="22"/>
          <w:lang w:val="es-AR"/>
        </w:rPr>
        <w:t>/a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el Agente Recaudador</w:t>
      </w:r>
      <w:r w:rsidRPr="00506990">
        <w:rPr>
          <w:rFonts w:ascii="Times New Roman" w:hAnsi="Times New Roman" w:cs="Times New Roman"/>
          <w:iCs/>
          <w:color w:val="0D0D0D" w:themeColor="text1" w:themeTint="F2"/>
          <w:sz w:val="22"/>
          <w:szCs w:val="22"/>
          <w:lang w:val="es-AR"/>
        </w:rPr>
        <w:t>, designará un nuevo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w:t>
      </w:r>
      <w:r w:rsidRPr="00506990">
        <w:rPr>
          <w:rFonts w:ascii="Times New Roman" w:hAnsi="Times New Roman" w:cs="Times New Roman"/>
          <w:iCs/>
          <w:color w:val="0D0D0D" w:themeColor="text1" w:themeTint="F2"/>
          <w:sz w:val="22"/>
          <w:szCs w:val="22"/>
        </w:rPr>
        <w:t>un nuevo Agente Recaudador</w:t>
      </w:r>
      <w:r w:rsidRPr="00506990">
        <w:rPr>
          <w:rFonts w:ascii="Times New Roman" w:hAnsi="Times New Roman" w:cs="Times New Roman"/>
          <w:iCs/>
          <w:color w:val="0D0D0D" w:themeColor="text1" w:themeTint="F2"/>
          <w:sz w:val="22"/>
          <w:szCs w:val="22"/>
          <w:lang w:val="es-AR"/>
        </w:rPr>
        <w:t xml:space="preserve"> según corresponda de entre por lo menos tres (3) entidades que hubieran sido listados a tal fin, ponderando para la elección la experiencia acreditada, la capacidad de gestión y la retribución pretendida que en caso de exceder la indicada en el artículo 3.8 deberá percibir una retribución de mercado conforme surja por compulsa entre por lo menos dos entidades de reconocido prestigio y experiencia en la materia. Todos los gastos relativos a la sustitución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del Agente Recaudador</w:t>
      </w:r>
      <w:r w:rsidRPr="00506990">
        <w:rPr>
          <w:rFonts w:ascii="Times New Roman" w:hAnsi="Times New Roman" w:cs="Times New Roman"/>
          <w:iCs/>
          <w:color w:val="0D0D0D" w:themeColor="text1" w:themeTint="F2"/>
          <w:sz w:val="22"/>
          <w:szCs w:val="22"/>
          <w:lang w:val="es-AR"/>
        </w:rPr>
        <w:t>, incluyendo la notificación a los deudores y los Agentes Externos de Recaudación serán con cargo al Fideicomiso, salvo culpa, dolo o renuncia intempestiva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del Agente Recaudador. El administrador sustituto de los Créditos o la entidad que sea designada en carácter de agente recaudador sustituto adoptará todos los medios que, a criterio del Fiduciario, sean necesario para la notificación fehaciente a los deudores, ya sea mediante el envío de cartas documento, notificación a los deudores mediante publicación en la AIF y, durante cinco (5) Días Hábiles de avisos en los sistemas de información de los mercados donde listen y/o negocien los </w:t>
      </w:r>
      <w:r w:rsidR="00151843">
        <w:rPr>
          <w:rFonts w:ascii="Times New Roman" w:hAnsi="Times New Roman"/>
          <w:color w:val="0D0D0D" w:themeColor="text1" w:themeTint="F2"/>
          <w:sz w:val="22"/>
          <w:lang w:val="es-AR"/>
        </w:rPr>
        <w:t>Valores de Deuda Fiduciaria</w:t>
      </w:r>
      <w:r w:rsidR="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emitidos bajo el presente Fideicomiso Financiero o publicaciones en diarios de gran circulación.  El administrador sustituto de los Créditos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lang w:val="es-AR"/>
        </w:rPr>
        <w:t>o la entidad que sea designada en carácter de agente recaudador sustituto, al asumir su rol, deberá cumplir con todas las obligaciones y ejercer todos los derechos establecidos por la sola virtualidad de este Contrato respecto de</w:t>
      </w:r>
      <w:r w:rsidR="006E2BC0"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2BC0"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2BC0"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6E2BC0"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y deberá contar con capacidad de gestión y organización administrativa propia y adecuada para prestar el respectivo servicio y deberá </w:t>
      </w:r>
      <w:r w:rsidRPr="00506990">
        <w:rPr>
          <w:rFonts w:ascii="Times New Roman" w:hAnsi="Times New Roman" w:cs="Times New Roman"/>
          <w:bCs/>
          <w:iCs/>
          <w:color w:val="0D0D0D" w:themeColor="text1" w:themeTint="F2"/>
          <w:sz w:val="22"/>
          <w:szCs w:val="22"/>
          <w:lang w:val="es-AR"/>
        </w:rPr>
        <w:t>informar de inmediato al Fiduciario, en su caso, cualquier hecho relevante que afecte o pudiera afectar el ejercicio de las funciones que le corresponden en virtud del presente Contrato.</w:t>
      </w:r>
    </w:p>
    <w:p w14:paraId="70D4BE78"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2C9C04F2" w14:textId="76B4723D" w:rsidR="0050339C" w:rsidRPr="00506990" w:rsidRDefault="0050339C" w:rsidP="0050339C">
      <w:pPr>
        <w:rPr>
          <w:rFonts w:ascii="Times New Roman" w:eastAsia="Arial Unicode MS"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3.11. Declaración especial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r w:rsidRPr="0098446E">
        <w:rPr>
          <w:rFonts w:ascii="Times New Roman" w:hAnsi="Times New Roman" w:cs="Times New Roman"/>
          <w:bCs/>
          <w:iCs/>
          <w:color w:val="0D0D0D" w:themeColor="text1" w:themeTint="F2"/>
          <w:sz w:val="22"/>
          <w:szCs w:val="22"/>
          <w:lang w:val="es-AR"/>
        </w:rPr>
        <w:t xml:space="preserve">. </w:t>
      </w:r>
      <w:r w:rsidR="006E2BC0" w:rsidRPr="0098446E">
        <w:rPr>
          <w:rFonts w:ascii="Times New Roman" w:hAnsi="Times New Roman" w:cs="Times New Roman"/>
          <w:bCs/>
          <w:iCs/>
          <w:color w:val="0D0D0D" w:themeColor="text1" w:themeTint="F2"/>
          <w:sz w:val="22"/>
          <w:szCs w:val="22"/>
          <w:lang w:val="es-AR"/>
        </w:rPr>
        <w:t>Los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declara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y reconoce</w:t>
      </w:r>
      <w:r w:rsidR="00463985"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como condición esencial de este Contrato Suplementario en lo que a esta Sección refiere tanto respecto de sus funciones como de las que asume el Agente Recaudador, que (a) la función que se reserva como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 los Créditos y las que asume el Agente Recaudador deben ser cumplida con escrupulosidad, y con la diligencia del buen hombre de negocios que obra en base a la confianza depositada en ellos por parte del Fiduciario y los Beneficiarios; (b) que el incumplimiento de las obligaciones inherentes a la funciones asignadas pueden causar perjuicios graves e irreparables a los Beneficiarios, y al mercado de capitales y el público inversor en su conjunto; (c) que la retención o desviación de los fondos provenientes de la Cobranza constituye el delito de administración fraudulenta (art. 173 inc. 6 del Código Penal), consideraciones todas estas que justifican las facultades reconocidas al Fiduciario en los artículos siguientes, en miras al cumplimiento del objeto de este Fideicomiso y el interés de los Beneficiarios; (d) que l</w:t>
      </w:r>
      <w:r w:rsidR="006E2BC0" w:rsidRPr="0098446E">
        <w:rPr>
          <w:rFonts w:ascii="Times New Roman" w:hAnsi="Times New Roman" w:cs="Times New Roman"/>
          <w:bCs/>
          <w:iCs/>
          <w:color w:val="0D0D0D" w:themeColor="text1" w:themeTint="F2"/>
          <w:sz w:val="22"/>
          <w:szCs w:val="22"/>
          <w:lang w:val="es-AR"/>
        </w:rPr>
        <w:t>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se encuentra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en concurso preventivo, </w:t>
      </w:r>
      <w:r w:rsidR="006E2BC0" w:rsidRPr="0098446E">
        <w:rPr>
          <w:rFonts w:ascii="Times New Roman" w:hAnsi="Times New Roman" w:cs="Times New Roman"/>
          <w:bCs/>
          <w:iCs/>
          <w:color w:val="0D0D0D" w:themeColor="text1" w:themeTint="F2"/>
          <w:sz w:val="22"/>
          <w:szCs w:val="22"/>
          <w:lang w:val="es-AR"/>
        </w:rPr>
        <w:t xml:space="preserve">Bazar Avenida S.A. </w:t>
      </w:r>
      <w:r w:rsidRPr="0098446E">
        <w:rPr>
          <w:rFonts w:ascii="Times New Roman" w:hAnsi="Times New Roman" w:cs="Times New Roman"/>
          <w:bCs/>
          <w:iCs/>
          <w:color w:val="0D0D0D" w:themeColor="text1" w:themeTint="F2"/>
          <w:sz w:val="22"/>
          <w:szCs w:val="22"/>
          <w:lang w:val="es-AR"/>
        </w:rPr>
        <w:t xml:space="preserve">con acuerdo concursal homologado mediante resolución judicial N° 549 del 26/08/2016 y no registra atrasos en el pago del mismo. Con fecha 7 de octubre de 2013 mediante Resolución Judicial Nro. 73.6 se dispuso el levantamiento de la inhibición general de bienes trabada sobre el patrimonio de la sociedad. </w:t>
      </w:r>
      <w:r w:rsidR="006E2BC0" w:rsidRPr="0098446E">
        <w:rPr>
          <w:rFonts w:ascii="Times New Roman" w:hAnsi="Times New Roman" w:cs="Times New Roman"/>
          <w:bCs/>
          <w:iCs/>
          <w:color w:val="0D0D0D" w:themeColor="text1" w:themeTint="F2"/>
          <w:sz w:val="22"/>
          <w:szCs w:val="22"/>
          <w:lang w:val="es-AR"/>
        </w:rPr>
        <w:t xml:space="preserve">Respecto </w:t>
      </w:r>
      <w:r w:rsidR="00463985" w:rsidRPr="0098446E">
        <w:rPr>
          <w:rFonts w:ascii="Times New Roman" w:hAnsi="Times New Roman" w:cs="Times New Roman"/>
          <w:bCs/>
          <w:iCs/>
          <w:color w:val="0D0D0D" w:themeColor="text1" w:themeTint="F2"/>
          <w:sz w:val="22"/>
          <w:szCs w:val="22"/>
          <w:lang w:val="es-AR"/>
        </w:rPr>
        <w:t>d</w:t>
      </w:r>
      <w:r w:rsidR="006E2BC0" w:rsidRPr="0098446E">
        <w:rPr>
          <w:rFonts w:ascii="Times New Roman" w:hAnsi="Times New Roman" w:cs="Times New Roman"/>
          <w:bCs/>
          <w:iCs/>
          <w:color w:val="0D0D0D" w:themeColor="text1" w:themeTint="F2"/>
          <w:sz w:val="22"/>
          <w:szCs w:val="22"/>
          <w:lang w:val="es-AR"/>
        </w:rPr>
        <w:t xml:space="preserve">el concurso </w:t>
      </w:r>
      <w:r w:rsidR="00463985" w:rsidRPr="0098446E">
        <w:rPr>
          <w:rFonts w:ascii="Times New Roman" w:hAnsi="Times New Roman" w:cs="Times New Roman"/>
          <w:bCs/>
          <w:iCs/>
          <w:color w:val="0D0D0D" w:themeColor="text1" w:themeTint="F2"/>
          <w:sz w:val="22"/>
          <w:szCs w:val="22"/>
          <w:lang w:val="es-AR"/>
        </w:rPr>
        <w:t xml:space="preserve">de </w:t>
      </w:r>
      <w:r w:rsidR="006E2BC0" w:rsidRPr="0098446E">
        <w:rPr>
          <w:rFonts w:ascii="Times New Roman" w:hAnsi="Times New Roman" w:cs="Times New Roman"/>
          <w:bCs/>
          <w:iCs/>
          <w:color w:val="0D0D0D" w:themeColor="text1" w:themeTint="F2"/>
          <w:sz w:val="22"/>
          <w:szCs w:val="22"/>
          <w:lang w:val="es-AR"/>
        </w:rPr>
        <w:t xml:space="preserve">Consumo S.A., </w:t>
      </w:r>
      <w:r w:rsidR="00463985" w:rsidRPr="0098446E">
        <w:rPr>
          <w:rFonts w:ascii="Times New Roman" w:hAnsi="Times New Roman" w:cs="Times New Roman"/>
          <w:bCs/>
          <w:iCs/>
          <w:color w:val="0D0D0D" w:themeColor="text1" w:themeTint="F2"/>
          <w:sz w:val="22"/>
          <w:szCs w:val="22"/>
          <w:lang w:val="es-AR"/>
        </w:rPr>
        <w:t xml:space="preserve">el referido concurso fue iniciado en fecha 29 de diciembre de 2009, y con fecha 13 de mayo de 2013 se dictó resolución homologatoria de la propuesta de acuerdo preventivo oportunamente presentada y consentida por las mayorías </w:t>
      </w:r>
      <w:r w:rsidR="006E2BC0" w:rsidRPr="0098446E">
        <w:rPr>
          <w:rFonts w:ascii="Times New Roman" w:hAnsi="Times New Roman" w:cs="Times New Roman"/>
          <w:bCs/>
          <w:iCs/>
          <w:color w:val="0D0D0D" w:themeColor="text1" w:themeTint="F2"/>
          <w:sz w:val="22"/>
          <w:szCs w:val="22"/>
          <w:lang w:val="es-AR"/>
        </w:rPr>
        <w:t>y no registra atrasos en el pago del mismo</w:t>
      </w:r>
      <w:r w:rsidR="00FA1C54" w:rsidRPr="0098446E">
        <w:rPr>
          <w:rFonts w:ascii="Times New Roman" w:hAnsi="Times New Roman" w:cs="Times New Roman"/>
          <w:bCs/>
          <w:iCs/>
          <w:color w:val="0D0D0D" w:themeColor="text1" w:themeTint="F2"/>
          <w:sz w:val="22"/>
          <w:szCs w:val="22"/>
          <w:lang w:val="es-AR"/>
        </w:rPr>
        <w:t xml:space="preserve">. </w:t>
      </w:r>
      <w:r w:rsidR="00355608" w:rsidRPr="0098446E">
        <w:rPr>
          <w:rFonts w:ascii="Times New Roman" w:hAnsi="Times New Roman" w:cs="Times New Roman"/>
          <w:bCs/>
          <w:iCs/>
          <w:color w:val="0D0D0D" w:themeColor="text1" w:themeTint="F2"/>
          <w:sz w:val="22"/>
          <w:szCs w:val="22"/>
          <w:lang w:val="es-AR"/>
        </w:rPr>
        <w:t xml:space="preserve">Adicionalmente, con fecha 7 de octubre de 2013 (Resolución N°726, Folio 300 T.33), se dispuso el levantamiento de la inhibición general de bienes trabada sobre el patrimonio de la sociedad. La propuesta concursal </w:t>
      </w:r>
      <w:r w:rsidR="00FA1C54" w:rsidRPr="0098446E">
        <w:rPr>
          <w:rFonts w:ascii="Times New Roman" w:hAnsi="Times New Roman" w:cs="Times New Roman"/>
          <w:bCs/>
          <w:iCs/>
          <w:color w:val="0D0D0D" w:themeColor="text1" w:themeTint="F2"/>
          <w:sz w:val="22"/>
          <w:szCs w:val="22"/>
          <w:lang w:val="es-AR"/>
        </w:rPr>
        <w:t xml:space="preserve">de cada Fiduciante </w:t>
      </w:r>
      <w:r w:rsidR="00355608" w:rsidRPr="0098446E">
        <w:rPr>
          <w:rFonts w:ascii="Times New Roman" w:hAnsi="Times New Roman" w:cs="Times New Roman"/>
          <w:bCs/>
          <w:iCs/>
          <w:color w:val="0D0D0D" w:themeColor="text1" w:themeTint="F2"/>
          <w:sz w:val="22"/>
          <w:szCs w:val="22"/>
          <w:lang w:val="es-AR"/>
        </w:rPr>
        <w:t xml:space="preserve">no limita en general el derecho de los </w:t>
      </w:r>
      <w:r w:rsidR="00FA1C54" w:rsidRPr="0098446E">
        <w:rPr>
          <w:rFonts w:ascii="Times New Roman" w:hAnsi="Times New Roman" w:cs="Times New Roman"/>
          <w:bCs/>
          <w:iCs/>
          <w:color w:val="0D0D0D" w:themeColor="text1" w:themeTint="F2"/>
          <w:sz w:val="22"/>
          <w:szCs w:val="22"/>
          <w:lang w:val="es-AR"/>
        </w:rPr>
        <w:t xml:space="preserve">mismos </w:t>
      </w:r>
      <w:r w:rsidR="00355608" w:rsidRPr="0098446E">
        <w:rPr>
          <w:rFonts w:ascii="Times New Roman" w:hAnsi="Times New Roman" w:cs="Times New Roman"/>
          <w:bCs/>
          <w:iCs/>
          <w:color w:val="0D0D0D" w:themeColor="text1" w:themeTint="F2"/>
          <w:sz w:val="22"/>
          <w:szCs w:val="22"/>
          <w:lang w:val="es-AR"/>
        </w:rPr>
        <w:t xml:space="preserve">de disponer de activos no registrables como son los créditos que </w:t>
      </w:r>
      <w:r w:rsidR="00FA1C54" w:rsidRPr="0098446E">
        <w:rPr>
          <w:rFonts w:ascii="Times New Roman" w:hAnsi="Times New Roman" w:cs="Times New Roman"/>
          <w:bCs/>
          <w:iCs/>
          <w:color w:val="0D0D0D" w:themeColor="text1" w:themeTint="F2"/>
          <w:sz w:val="22"/>
          <w:szCs w:val="22"/>
          <w:lang w:val="es-AR"/>
        </w:rPr>
        <w:t xml:space="preserve">aquellos </w:t>
      </w:r>
      <w:r w:rsidR="00355608" w:rsidRPr="0098446E">
        <w:rPr>
          <w:rFonts w:ascii="Times New Roman" w:hAnsi="Times New Roman" w:cs="Times New Roman"/>
          <w:bCs/>
          <w:iCs/>
          <w:color w:val="0D0D0D" w:themeColor="text1" w:themeTint="F2"/>
          <w:sz w:val="22"/>
          <w:szCs w:val="22"/>
          <w:lang w:val="es-AR"/>
        </w:rPr>
        <w:t>origina</w:t>
      </w:r>
      <w:r w:rsidR="00FA1C54" w:rsidRPr="0098446E">
        <w:rPr>
          <w:rFonts w:ascii="Times New Roman" w:hAnsi="Times New Roman" w:cs="Times New Roman"/>
          <w:bCs/>
          <w:iCs/>
          <w:color w:val="0D0D0D" w:themeColor="text1" w:themeTint="F2"/>
          <w:sz w:val="22"/>
          <w:szCs w:val="22"/>
          <w:lang w:val="es-AR"/>
        </w:rPr>
        <w:t>n</w:t>
      </w:r>
      <w:r w:rsidR="00355608" w:rsidRPr="0098446E">
        <w:rPr>
          <w:rFonts w:ascii="Times New Roman" w:hAnsi="Times New Roman" w:cs="Times New Roman"/>
          <w:bCs/>
          <w:iCs/>
          <w:color w:val="0D0D0D" w:themeColor="text1" w:themeTint="F2"/>
          <w:sz w:val="22"/>
          <w:szCs w:val="22"/>
          <w:lang w:val="es-AR"/>
        </w:rPr>
        <w:t xml:space="preserve"> así </w:t>
      </w:r>
      <w:r w:rsidR="00355608" w:rsidRPr="00D96652">
        <w:rPr>
          <w:rFonts w:ascii="Times New Roman" w:hAnsi="Times New Roman" w:cs="Times New Roman"/>
          <w:bCs/>
          <w:iCs/>
          <w:color w:val="0D0D0D" w:themeColor="text1" w:themeTint="F2"/>
          <w:sz w:val="22"/>
          <w:szCs w:val="22"/>
          <w:lang w:val="es-AR"/>
        </w:rPr>
        <w:t xml:space="preserve">como la administración de los mismos, debiendo para ello informar al </w:t>
      </w:r>
      <w:r w:rsidR="00FA1C54" w:rsidRPr="00D96652">
        <w:rPr>
          <w:rFonts w:ascii="Times New Roman" w:hAnsi="Times New Roman" w:cs="Times New Roman"/>
          <w:bCs/>
          <w:iCs/>
          <w:color w:val="0D0D0D" w:themeColor="text1" w:themeTint="F2"/>
          <w:sz w:val="22"/>
          <w:szCs w:val="22"/>
          <w:lang w:val="es-AR"/>
        </w:rPr>
        <w:t xml:space="preserve">respectivo </w:t>
      </w:r>
      <w:r w:rsidR="00355608" w:rsidRPr="00D96652">
        <w:rPr>
          <w:rFonts w:ascii="Times New Roman" w:hAnsi="Times New Roman" w:cs="Times New Roman"/>
          <w:bCs/>
          <w:iCs/>
          <w:color w:val="0D0D0D" w:themeColor="text1" w:themeTint="F2"/>
          <w:sz w:val="22"/>
          <w:szCs w:val="22"/>
          <w:lang w:val="es-AR"/>
        </w:rPr>
        <w:t>comité de acreedores</w:t>
      </w:r>
      <w:r w:rsidR="00FA1C54" w:rsidRPr="00D96652">
        <w:rPr>
          <w:rFonts w:ascii="Times New Roman" w:hAnsi="Times New Roman" w:cs="Times New Roman"/>
          <w:bCs/>
          <w:iCs/>
          <w:color w:val="0D0D0D" w:themeColor="text1" w:themeTint="F2"/>
          <w:sz w:val="22"/>
          <w:szCs w:val="22"/>
          <w:lang w:val="es-AR"/>
        </w:rPr>
        <w:t xml:space="preserve">. </w:t>
      </w:r>
      <w:r w:rsidR="00355608" w:rsidRPr="00D96652">
        <w:rPr>
          <w:rFonts w:ascii="Times New Roman" w:hAnsi="Times New Roman" w:cs="Times New Roman"/>
          <w:iCs/>
          <w:color w:val="0D0D0D" w:themeColor="text1" w:themeTint="F2"/>
          <w:sz w:val="22"/>
          <w:szCs w:val="22"/>
        </w:rPr>
        <w:t xml:space="preserve">Con fecha </w:t>
      </w:r>
      <w:r w:rsidR="00D96652" w:rsidRPr="00DB405C">
        <w:rPr>
          <w:rFonts w:ascii="Times New Roman" w:hAnsi="Times New Roman" w:cs="Times New Roman"/>
          <w:iCs/>
          <w:color w:val="0D0D0D" w:themeColor="text1" w:themeTint="F2"/>
          <w:sz w:val="22"/>
          <w:szCs w:val="22"/>
        </w:rPr>
        <w:t>16</w:t>
      </w:r>
      <w:r w:rsidR="00D96652" w:rsidRPr="00D96652">
        <w:rPr>
          <w:rFonts w:ascii="Times New Roman" w:hAnsi="Times New Roman" w:cs="Times New Roman"/>
          <w:iCs/>
          <w:color w:val="0D0D0D" w:themeColor="text1" w:themeTint="F2"/>
          <w:sz w:val="22"/>
          <w:szCs w:val="22"/>
        </w:rPr>
        <w:t xml:space="preserve"> </w:t>
      </w:r>
      <w:r w:rsidR="000525A3" w:rsidRPr="00D96652">
        <w:rPr>
          <w:rFonts w:ascii="Times New Roman" w:hAnsi="Times New Roman" w:cs="Times New Roman"/>
          <w:iCs/>
          <w:color w:val="0D0D0D" w:themeColor="text1" w:themeTint="F2"/>
          <w:sz w:val="22"/>
          <w:szCs w:val="22"/>
        </w:rPr>
        <w:t xml:space="preserve">de </w:t>
      </w:r>
      <w:r w:rsidR="00D96652" w:rsidRPr="00DB405C">
        <w:rPr>
          <w:rFonts w:ascii="Times New Roman" w:hAnsi="Times New Roman" w:cs="Times New Roman"/>
          <w:iCs/>
          <w:color w:val="0D0D0D" w:themeColor="text1" w:themeTint="F2"/>
          <w:sz w:val="22"/>
          <w:szCs w:val="22"/>
        </w:rPr>
        <w:t>septiembre</w:t>
      </w:r>
      <w:r w:rsidR="00D96652" w:rsidRPr="00D96652">
        <w:rPr>
          <w:rFonts w:ascii="Times New Roman" w:hAnsi="Times New Roman" w:cs="Times New Roman"/>
          <w:iCs/>
          <w:color w:val="0D0D0D" w:themeColor="text1" w:themeTint="F2"/>
          <w:sz w:val="22"/>
          <w:szCs w:val="22"/>
        </w:rPr>
        <w:t xml:space="preserve"> </w:t>
      </w:r>
      <w:r w:rsidR="000525A3" w:rsidRPr="00D96652">
        <w:rPr>
          <w:rFonts w:ascii="Times New Roman" w:hAnsi="Times New Roman" w:cs="Times New Roman"/>
          <w:iCs/>
          <w:color w:val="0D0D0D" w:themeColor="text1" w:themeTint="F2"/>
          <w:sz w:val="22"/>
          <w:szCs w:val="22"/>
        </w:rPr>
        <w:t>de 2022</w:t>
      </w:r>
      <w:r w:rsidR="00A81A04" w:rsidRPr="00D96652">
        <w:rPr>
          <w:rFonts w:ascii="Times New Roman" w:hAnsi="Times New Roman" w:cs="Times New Roman"/>
          <w:iCs/>
          <w:color w:val="0D0D0D" w:themeColor="text1" w:themeTint="F2"/>
          <w:sz w:val="22"/>
          <w:szCs w:val="22"/>
        </w:rPr>
        <w:t xml:space="preserve"> </w:t>
      </w:r>
      <w:r w:rsidR="00355608" w:rsidRPr="00D96652">
        <w:rPr>
          <w:rFonts w:ascii="Times New Roman" w:hAnsi="Times New Roman" w:cs="Times New Roman"/>
          <w:iCs/>
          <w:color w:val="0D0D0D" w:themeColor="text1" w:themeTint="F2"/>
          <w:sz w:val="22"/>
          <w:szCs w:val="22"/>
        </w:rPr>
        <w:t>fue notificado el comité de acreedores y hasta la fecha no se ha recibido notificación alguna.</w:t>
      </w:r>
      <w:r w:rsidR="00355608" w:rsidRPr="00506990">
        <w:rPr>
          <w:rFonts w:ascii="Times New Roman" w:hAnsi="Times New Roman" w:cs="Times New Roman"/>
          <w:iCs/>
          <w:color w:val="0D0D0D" w:themeColor="text1" w:themeTint="F2"/>
          <w:sz w:val="22"/>
          <w:szCs w:val="22"/>
        </w:rPr>
        <w:t xml:space="preserve"> Es dable destacar que el Comité de Acreedores no tiene obligación de expedirse, ni brindar ninguna autorización al respecto.</w:t>
      </w:r>
      <w:r w:rsidR="00355608" w:rsidRPr="00506990">
        <w:rPr>
          <w:rFonts w:ascii="Times New Roman" w:hAnsi="Times New Roman" w:cs="Times New Roman"/>
          <w:iCs/>
          <w:color w:val="0D0D0D" w:themeColor="text1" w:themeTint="F2"/>
          <w:sz w:val="20"/>
          <w:szCs w:val="20"/>
        </w:rPr>
        <w:t xml:space="preserve"> </w:t>
      </w:r>
      <w:r w:rsidR="00355608" w:rsidRPr="00506990">
        <w:rPr>
          <w:rFonts w:ascii="Times New Roman" w:hAnsi="Times New Roman" w:cs="Times New Roman"/>
          <w:iCs/>
          <w:color w:val="0D0D0D" w:themeColor="text1" w:themeTint="F2"/>
          <w:sz w:val="22"/>
          <w:szCs w:val="22"/>
        </w:rPr>
        <w:t xml:space="preserve">A la fecha no existen en las actuaciones judiciales presentación alguna por parte de los acreedores concursales verificados denunciando o haciendo saber la falta de pago al acuerdo homologado. </w:t>
      </w:r>
    </w:p>
    <w:p w14:paraId="78767B6C" w14:textId="77777777" w:rsidR="00847AF1" w:rsidRDefault="00A81A04" w:rsidP="00EC58B0">
      <w:pPr>
        <w:tabs>
          <w:tab w:val="left" w:pos="5070"/>
        </w:tab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ab/>
      </w:r>
    </w:p>
    <w:p w14:paraId="7469D152"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3.12. Facultades de inspección. </w:t>
      </w:r>
      <w:r w:rsidRPr="00506990">
        <w:rPr>
          <w:rFonts w:ascii="Times New Roman" w:hAnsi="Times New Roman" w:cs="Times New Roman"/>
          <w:iCs/>
          <w:color w:val="0D0D0D" w:themeColor="text1" w:themeTint="F2"/>
          <w:sz w:val="22"/>
          <w:szCs w:val="22"/>
        </w:rPr>
        <w:t>El Fiduciario podrá constituirse - por intermedio de las personas que a su sólo criterio determine- en cualquier momento en que lo considere conveniente y mediando aviso previo de dos (2) Días Hábiles, en el domicilio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en el domicilio del Agente Recaudador, o en los lugares en donde éstos lleven a cabo las tareas que por éste Contrato Suplementario asumen, en horarios y días hábiles, a efectos de constatar el debido cumplimiento de las obligaciones asumidas. A tales fines,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el Agente Recaudador se obligan a prestar toda la colaboración que el Fiduciario como las personas que éste designe le solicite, incluyendo la puesta a disposición de toda la documentación relacionada con la Cobranza y administración de los Créditos, sin que esto implique entorpecimiento de las tareas habituales y cotidianas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ni obste a la adopción de otras medidas conforme al artículo 3.11.</w:t>
      </w:r>
    </w:p>
    <w:p w14:paraId="1A9036FE"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w:t>
      </w:r>
    </w:p>
    <w:p w14:paraId="299A8006" w14:textId="74E593DF"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3.13. Revocación u otras medidas acerca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Cuando a juicio del Fiduciario la verificación de cualquiera de los supuestos previstos en el artículo 3.9 no hiciera necesaria o conveniente la remoción del mismo, el Fiduciario podrá adoptar cualquiera de las siguientes medidas, alternativa o acumulativamente: (a) Designar un veedor en las oficinas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Recaudador, y/o en cualesquiera de sus locales en los que se verifiquen tareas de Cobranza de los Créditos, eventualmente con facultades para disponer medidas relativas a la Cobranza de los Créditos, su contabilización y rendición de la Cobranza que sin causar perjuicio a</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al Agente Recaudador, a criterio del Fiduciario sean convenientes para el interés de los Beneficiarios; (b) Reducir el plazo o periodicidad para la rendición de la Cobranza si fuera posible (c) Disponer que la gestión de Cobranza de los créditos en mora esté a cargo en forma total o parcial de terceros. Las medidas señaladas en los puntos a) y b) de este apartado podrán ser adoptadas alternativa o acumuladamente en cualquier momento por el Fiduciario cuando lo considerase necesario para un mejor desempeño del Fideicomiso. Los gastos derivados de cualquiera de las medidas señaladas en este apartado serán con cargo al Fideicomiso, salvo culpa o dolo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Agente Recaudador declarada dicha conducta como tal por resolución firme de tribunal competente. </w:t>
      </w:r>
    </w:p>
    <w:p w14:paraId="272E202D"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el caso que el Fiduciario detecte a su sólo criterio incumplimientos en la función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que no hayan podido subsanarse – o que existan dudas razonables acerca de que puedan subsanarse - con las medidas anteriormente descriptas, y aun cuando se inicie el procedimiento de remoción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o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imposibilitaran u obstaculizaran el cumplimiento de las funciones asignadas al veedor conforme el apartado (a) precedente, el Fiduciario podrá solicitar a un juez competente (i) el nombramiento de un veedor o de un co-administrador, y/o (ii)  el dictado de medidas de no innovar respecto a los procedimientos de cobranza de créditos o disponibilidad de fondos. Tales medidas podrán ser solicitadas sobre la base de un informe del Agente de Control y Revisión que acredite los incumplimientos, sin que sea exigible contracautela salvo la caución juratoria, y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no tendrá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derecho a oponerse a ellas en tanto no acredite fehacientemente que de su parte no han existido los incumplimientos invocados o que la medida es desproporcionada.</w:t>
      </w:r>
    </w:p>
    <w:p w14:paraId="2F95287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83DB646" w14:textId="6FFB9510" w:rsidR="0050339C" w:rsidRDefault="0050339C" w:rsidP="0050339C">
      <w:pPr>
        <w:widowControl w:val="0"/>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3.14. Agente de Control y Revisión. </w:t>
      </w:r>
      <w:r w:rsidRPr="00506990">
        <w:rPr>
          <w:rFonts w:ascii="Times New Roman" w:hAnsi="Times New Roman" w:cs="Times New Roman"/>
          <w:color w:val="0D0D0D" w:themeColor="text1" w:themeTint="F2"/>
          <w:sz w:val="22"/>
          <w:szCs w:val="22"/>
        </w:rPr>
        <w:t xml:space="preserve">Daniel H. Zubillaga, en carácter de titular,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en carácter de Suplente,</w:t>
      </w:r>
      <w:r w:rsidR="005034D2">
        <w:rPr>
          <w:rFonts w:ascii="Times New Roman" w:hAnsi="Times New Roman" w:cs="Times New Roman"/>
          <w:color w:val="0D0D0D" w:themeColor="text1" w:themeTint="F2"/>
          <w:sz w:val="22"/>
          <w:szCs w:val="22"/>
        </w:rPr>
        <w:t xml:space="preserve"> y Guillermo A. Barbero, en carácter Suplente,</w:t>
      </w:r>
      <w:r w:rsidR="005034D2"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w:t>
      </w:r>
      <w:r w:rsidR="005034D2"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miembros de Zubillaga &amp; Asociados S.A-</w:t>
      </w:r>
      <w:r w:rsidRPr="00506990">
        <w:rPr>
          <w:rFonts w:ascii="Times New Roman" w:hAnsi="Times New Roman" w:cs="Times New Roman"/>
          <w:iCs/>
          <w:color w:val="0D0D0D" w:themeColor="text1" w:themeTint="F2"/>
          <w:sz w:val="22"/>
          <w:szCs w:val="22"/>
        </w:rPr>
        <w:t>, o la persona o personas que el Fiduciario designe, actuará como Agente de Control y Revisión de la cartera transferida al Fideicomiso. Adicionalmente a estar matriculado en el Consejo Profesional de Ciencias Económicas de la Prov. de Santa Fe, se encuentra matriculado en el Consejo Profesional de Ciencias Económicas de la Ciudad de Buenos Aires (“CPCECABA”), con una antigüedad no inferior a 5 años. A tales efectos recibirá mensualmente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Fiduciario información en soporte magnético acerca de las carteras de Créditos y de los fondos acreditados en las cuentas de recaudación. Con dicha </w:t>
      </w:r>
      <w:r w:rsidRPr="008230AE">
        <w:rPr>
          <w:rFonts w:ascii="Times New Roman" w:hAnsi="Times New Roman" w:cs="Times New Roman"/>
          <w:iCs/>
          <w:color w:val="0D0D0D" w:themeColor="text1" w:themeTint="F2"/>
          <w:sz w:val="22"/>
          <w:szCs w:val="22"/>
        </w:rPr>
        <w:t xml:space="preserve">información remitirá al Fiduciario un informe con periodicidad mensual sobre: (i) el estado de atrasos de los Créditos y (ii) respecto de la cartera de Crédito, comparación de la cobranza real contra la cobranza teórica. </w:t>
      </w:r>
      <w:r w:rsidRPr="008230AE">
        <w:rPr>
          <w:rFonts w:ascii="Times New Roman" w:hAnsi="Times New Roman" w:cs="Times New Roman"/>
          <w:color w:val="0D0D0D" w:themeColor="text1" w:themeTint="F2"/>
          <w:sz w:val="22"/>
          <w:szCs w:val="22"/>
        </w:rPr>
        <w:t xml:space="preserve">Dichos informes contarán con firma certificada por el </w:t>
      </w:r>
      <w:r w:rsidR="009A4B88" w:rsidRPr="008230AE">
        <w:rPr>
          <w:rFonts w:ascii="Times New Roman" w:hAnsi="Times New Roman" w:cs="Times New Roman"/>
          <w:iCs/>
          <w:color w:val="0D0D0D" w:themeColor="text1" w:themeTint="F2"/>
          <w:sz w:val="22"/>
          <w:szCs w:val="22"/>
        </w:rPr>
        <w:t>Consejo Profesional de Ciencias Económicas de la Prov. de Santa Fe</w:t>
      </w:r>
      <w:r w:rsidR="009A4B88" w:rsidRPr="008230AE" w:rsidDel="009A4B88">
        <w:rPr>
          <w:rFonts w:ascii="Times New Roman" w:hAnsi="Times New Roman" w:cs="Times New Roman"/>
          <w:color w:val="0D0D0D" w:themeColor="text1" w:themeTint="F2"/>
          <w:sz w:val="22"/>
          <w:szCs w:val="22"/>
        </w:rPr>
        <w:t xml:space="preserve"> </w:t>
      </w:r>
      <w:r w:rsidRPr="008230AE">
        <w:rPr>
          <w:rFonts w:ascii="Times New Roman" w:hAnsi="Times New Roman" w:cs="Times New Roman"/>
          <w:color w:val="0D0D0D" w:themeColor="text1" w:themeTint="F2"/>
          <w:sz w:val="22"/>
          <w:szCs w:val="22"/>
        </w:rPr>
        <w:t>y los mismos estarán disponibles en las oficinas del Fiduciario</w:t>
      </w:r>
      <w:r w:rsidR="003E181B" w:rsidRPr="008230AE">
        <w:rPr>
          <w:rFonts w:ascii="Times New Roman" w:hAnsi="Times New Roman" w:cs="Times New Roman"/>
          <w:color w:val="0D0D0D" w:themeColor="text1" w:themeTint="F2"/>
          <w:sz w:val="22"/>
          <w:szCs w:val="22"/>
        </w:rPr>
        <w:t xml:space="preserve"> y se publicarán</w:t>
      </w:r>
      <w:r w:rsidR="0025597D" w:rsidRPr="008230AE">
        <w:rPr>
          <w:rFonts w:ascii="Times New Roman" w:hAnsi="Times New Roman" w:cs="Times New Roman"/>
          <w:color w:val="0D0D0D" w:themeColor="text1" w:themeTint="F2"/>
          <w:sz w:val="22"/>
          <w:szCs w:val="22"/>
        </w:rPr>
        <w:t xml:space="preserve"> según corresponda por </w:t>
      </w:r>
      <w:r w:rsidR="003E181B" w:rsidRPr="008230AE">
        <w:rPr>
          <w:rFonts w:ascii="Times New Roman" w:hAnsi="Times New Roman" w:cs="Times New Roman"/>
          <w:color w:val="0D0D0D" w:themeColor="text1" w:themeTint="F2"/>
          <w:sz w:val="22"/>
          <w:szCs w:val="22"/>
        </w:rPr>
        <w:t>el Fiduciario</w:t>
      </w:r>
      <w:r w:rsidR="00C43D39" w:rsidRPr="008230AE">
        <w:rPr>
          <w:rFonts w:ascii="Times New Roman" w:hAnsi="Times New Roman" w:cs="Times New Roman"/>
          <w:color w:val="0D0D0D" w:themeColor="text1" w:themeTint="F2"/>
          <w:sz w:val="22"/>
          <w:szCs w:val="22"/>
        </w:rPr>
        <w:t xml:space="preserve">, </w:t>
      </w:r>
      <w:r w:rsidR="00D64A20" w:rsidRPr="008230AE">
        <w:rPr>
          <w:rFonts w:ascii="Times New Roman" w:eastAsia="Arial Unicode MS" w:hAnsi="Times New Roman" w:cs="Times New Roman"/>
          <w:noProof/>
          <w:color w:val="0D0D0D" w:themeColor="text1" w:themeTint="F2"/>
          <w:sz w:val="22"/>
          <w:szCs w:val="22"/>
        </w:rPr>
        <w:t>en un plazo de 15 (quince) días hábiles de finalizado el mes al que corresponda el informe,</w:t>
      </w:r>
      <w:r w:rsidR="00D64A20" w:rsidRPr="008230AE">
        <w:rPr>
          <w:rFonts w:ascii="Times New Roman" w:hAnsi="Times New Roman" w:cs="Times New Roman"/>
          <w:color w:val="0D0D0D" w:themeColor="text1" w:themeTint="F2"/>
          <w:sz w:val="22"/>
          <w:szCs w:val="22"/>
        </w:rPr>
        <w:t xml:space="preserve"> </w:t>
      </w:r>
      <w:r w:rsidR="00C43D39" w:rsidRPr="008230AE">
        <w:rPr>
          <w:rFonts w:ascii="Times New Roman" w:hAnsi="Times New Roman" w:cs="Times New Roman"/>
          <w:color w:val="0D0D0D" w:themeColor="text1" w:themeTint="F2"/>
          <w:sz w:val="22"/>
          <w:szCs w:val="22"/>
        </w:rPr>
        <w:t>de conformid</w:t>
      </w:r>
      <w:r w:rsidR="00C43D39" w:rsidRPr="008230AE">
        <w:rPr>
          <w:rFonts w:ascii="Times New Roman" w:hAnsi="Times New Roman" w:cs="Times New Roman"/>
          <w:iCs/>
          <w:color w:val="0D0D0D" w:themeColor="text1" w:themeTint="F2"/>
          <w:sz w:val="22"/>
          <w:szCs w:val="22"/>
        </w:rPr>
        <w:t>ad con lo dispuesto en el art. 28 de, Capítulo IV del Título V de las NORMAS</w:t>
      </w:r>
      <w:r w:rsidRPr="008230AE">
        <w:rPr>
          <w:rFonts w:ascii="Times New Roman" w:hAnsi="Times New Roman" w:cs="Times New Roman"/>
          <w:iCs/>
          <w:color w:val="0D0D0D" w:themeColor="text1" w:themeTint="F2"/>
          <w:sz w:val="22"/>
          <w:szCs w:val="22"/>
        </w:rPr>
        <w:t>.</w:t>
      </w:r>
    </w:p>
    <w:p w14:paraId="2FAD84D7" w14:textId="77777777" w:rsidR="00576448" w:rsidRDefault="00576448" w:rsidP="0050339C">
      <w:pPr>
        <w:widowControl w:val="0"/>
        <w:suppressAutoHyphens/>
        <w:rPr>
          <w:rFonts w:ascii="Times New Roman" w:hAnsi="Times New Roman" w:cs="Times New Roman"/>
          <w:iCs/>
          <w:color w:val="0D0D0D" w:themeColor="text1" w:themeTint="F2"/>
          <w:sz w:val="22"/>
          <w:szCs w:val="22"/>
        </w:rPr>
      </w:pPr>
    </w:p>
    <w:p w14:paraId="61B4AB78" w14:textId="7C70FFC7" w:rsidR="00173D28" w:rsidRDefault="00173D28" w:rsidP="0050339C">
      <w:pPr>
        <w:widowControl w:val="0"/>
        <w:suppressAutoHyphens/>
        <w:rPr>
          <w:rFonts w:ascii="Times New Roman" w:hAnsi="Times New Roman"/>
          <w:color w:val="0D0D0D" w:themeColor="text1" w:themeTint="F2"/>
          <w:sz w:val="22"/>
        </w:rPr>
      </w:pPr>
      <w:r w:rsidRPr="00D96652">
        <w:rPr>
          <w:rFonts w:ascii="Times New Roman" w:hAnsi="Times New Roman"/>
          <w:color w:val="0D0D0D" w:themeColor="text1" w:themeTint="F2"/>
          <w:sz w:val="22"/>
        </w:rPr>
        <w:t>El</w:t>
      </w:r>
      <w:r w:rsidR="00954187" w:rsidRPr="00954187">
        <w:rPr>
          <w:rFonts w:ascii="Times New Roman" w:hAnsi="Times New Roman"/>
          <w:color w:val="0D0D0D" w:themeColor="text1" w:themeTint="F2"/>
          <w:sz w:val="22"/>
        </w:rPr>
        <w:t xml:space="preserve"> Agente de Control y Revisión tendrá derecho a cobrar en concepto de honorarios por su función un monto que podrá fijarse en hasta la suma de $</w:t>
      </w:r>
      <w:r w:rsidR="000C48D2">
        <w:rPr>
          <w:rFonts w:ascii="Times New Roman" w:hAnsi="Times New Roman"/>
          <w:color w:val="0D0D0D" w:themeColor="text1" w:themeTint="F2"/>
          <w:sz w:val="22"/>
        </w:rPr>
        <w:t>250</w:t>
      </w:r>
      <w:r w:rsidR="00954187" w:rsidRPr="00954187">
        <w:rPr>
          <w:rFonts w:ascii="Times New Roman" w:hAnsi="Times New Roman"/>
          <w:color w:val="0D0D0D" w:themeColor="text1" w:themeTint="F2"/>
          <w:sz w:val="22"/>
        </w:rPr>
        <w:t xml:space="preserve">.000 más IVA mensuales hasta </w:t>
      </w:r>
      <w:r w:rsidR="000C48D2">
        <w:rPr>
          <w:rFonts w:ascii="Times New Roman" w:hAnsi="Times New Roman"/>
          <w:color w:val="0D0D0D" w:themeColor="text1" w:themeTint="F2"/>
          <w:sz w:val="22"/>
        </w:rPr>
        <w:t>diciembre</w:t>
      </w:r>
      <w:r w:rsidR="000C48D2" w:rsidRPr="00954187">
        <w:rPr>
          <w:rFonts w:ascii="Times New Roman" w:hAnsi="Times New Roman"/>
          <w:color w:val="0D0D0D" w:themeColor="text1" w:themeTint="F2"/>
          <w:sz w:val="22"/>
        </w:rPr>
        <w:t xml:space="preserve"> </w:t>
      </w:r>
      <w:r w:rsidR="00954187" w:rsidRPr="00954187">
        <w:rPr>
          <w:rFonts w:ascii="Times New Roman" w:hAnsi="Times New Roman"/>
          <w:color w:val="0D0D0D" w:themeColor="text1" w:themeTint="F2"/>
          <w:sz w:val="22"/>
        </w:rPr>
        <w:t xml:space="preserve">2023. Para los meses restantes se fijarán los honorarios correspondientes de común acuerdo entre las partes tomando como referencia el </w:t>
      </w:r>
      <w:r w:rsidR="0082550E">
        <w:rPr>
          <w:rFonts w:ascii="Times New Roman" w:hAnsi="Times New Roman"/>
          <w:color w:val="0D0D0D" w:themeColor="text1" w:themeTint="F2"/>
          <w:sz w:val="22"/>
        </w:rPr>
        <w:t>Índice de Precios al Consumidor (</w:t>
      </w:r>
      <w:r w:rsidR="00954187" w:rsidRPr="00954187">
        <w:rPr>
          <w:rFonts w:ascii="Times New Roman" w:hAnsi="Times New Roman"/>
          <w:color w:val="0D0D0D" w:themeColor="text1" w:themeTint="F2"/>
          <w:sz w:val="22"/>
        </w:rPr>
        <w:t>IPC</w:t>
      </w:r>
      <w:r w:rsidR="0082550E">
        <w:rPr>
          <w:rFonts w:ascii="Times New Roman" w:hAnsi="Times New Roman"/>
          <w:color w:val="0D0D0D" w:themeColor="text1" w:themeTint="F2"/>
          <w:sz w:val="22"/>
        </w:rPr>
        <w:t>)</w:t>
      </w:r>
      <w:r w:rsidR="00954187" w:rsidRPr="00954187">
        <w:rPr>
          <w:rFonts w:ascii="Times New Roman" w:hAnsi="Times New Roman"/>
          <w:color w:val="0D0D0D" w:themeColor="text1" w:themeTint="F2"/>
          <w:sz w:val="22"/>
        </w:rPr>
        <w:t>.</w:t>
      </w:r>
      <w:r w:rsidR="00954187" w:rsidDel="00954187">
        <w:rPr>
          <w:rFonts w:ascii="Times New Roman" w:hAnsi="Times New Roman"/>
          <w:color w:val="0D0D0D" w:themeColor="text1" w:themeTint="F2"/>
          <w:sz w:val="22"/>
        </w:rPr>
        <w:t xml:space="preserve"> </w:t>
      </w:r>
    </w:p>
    <w:p w14:paraId="42863D86" w14:textId="77777777" w:rsidR="0050339C" w:rsidRPr="00506990" w:rsidRDefault="0050339C" w:rsidP="0050339C">
      <w:pPr>
        <w:widowControl w:val="0"/>
        <w:suppressAutoHyphens/>
        <w:rPr>
          <w:rFonts w:ascii="Times New Roman" w:hAnsi="Times New Roman" w:cs="Times New Roman"/>
          <w:iCs/>
          <w:color w:val="0D0D0D" w:themeColor="text1" w:themeTint="F2"/>
          <w:sz w:val="22"/>
          <w:szCs w:val="22"/>
        </w:rPr>
      </w:pPr>
    </w:p>
    <w:p w14:paraId="32F309F5" w14:textId="77777777" w:rsidR="0050339C" w:rsidRPr="00506990" w:rsidRDefault="0050339C" w:rsidP="0050339C">
      <w:pPr>
        <w:widowControl w:val="0"/>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3.15. Funciones y Obligaciones del Agente de Control y Revisión. </w:t>
      </w:r>
      <w:r w:rsidRPr="00506990">
        <w:rPr>
          <w:rFonts w:ascii="Times New Roman" w:hAnsi="Times New Roman" w:cs="Times New Roman"/>
          <w:color w:val="0D0D0D" w:themeColor="text1" w:themeTint="F2"/>
          <w:sz w:val="22"/>
          <w:szCs w:val="22"/>
        </w:rPr>
        <w:t>El Agente de Control y Revisión asume las siguientes funciones y obligaciones:</w:t>
      </w:r>
    </w:p>
    <w:p w14:paraId="30D1D266"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Realizará la revisión y control de los activos transferidos al Fideicomiso y de los recursos recibidos y su posterior aplicación;</w:t>
      </w:r>
    </w:p>
    <w:p w14:paraId="7C815716" w14:textId="14EE5D22"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 xml:space="preserve">Controlará los flujos de fondos provenientes de la cobranza y (ii) realizará la comparación de la Cobranza real contra la Cobranza teórica y su impacto en el pago de los servicios de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Respecto de los pagos, los controlará y los comparará con el cuadro teórico de pagos;</w:t>
      </w:r>
    </w:p>
    <w:p w14:paraId="08F6E480"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w:t>
      </w:r>
      <w:r w:rsidR="0050339C" w:rsidRPr="00506990">
        <w:rPr>
          <w:rFonts w:ascii="Times New Roman" w:hAnsi="Times New Roman" w:cs="Times New Roman"/>
          <w:color w:val="0D0D0D" w:themeColor="text1" w:themeTint="F2"/>
          <w:sz w:val="22"/>
          <w:szCs w:val="22"/>
        </w:rPr>
        <w:t>ecibirá mensualmente de</w:t>
      </w:r>
      <w:r w:rsidR="002A2B1C" w:rsidRPr="00506990">
        <w:rPr>
          <w:rFonts w:ascii="Times New Roman" w:hAnsi="Times New Roman" w:cs="Times New Roman"/>
          <w:color w:val="0D0D0D" w:themeColor="text1" w:themeTint="F2"/>
          <w:sz w:val="22"/>
          <w:szCs w:val="22"/>
        </w:rPr>
        <w:t xml:space="preserve"> </w:t>
      </w:r>
      <w:r w:rsidR="0050339C" w:rsidRPr="00506990">
        <w:rPr>
          <w:rFonts w:ascii="Times New Roman" w:hAnsi="Times New Roman" w:cs="Times New Roman"/>
          <w:color w:val="0D0D0D" w:themeColor="text1" w:themeTint="F2"/>
          <w:sz w:val="22"/>
          <w:szCs w:val="22"/>
        </w:rPr>
        <w:t>l</w:t>
      </w:r>
      <w:r w:rsidR="002A2B1C" w:rsidRPr="00506990">
        <w:rPr>
          <w:rFonts w:ascii="Times New Roman" w:hAnsi="Times New Roman" w:cs="Times New Roman"/>
          <w:color w:val="0D0D0D" w:themeColor="text1" w:themeTint="F2"/>
          <w:sz w:val="22"/>
          <w:szCs w:val="22"/>
        </w:rPr>
        <w:t>os</w:t>
      </w:r>
      <w:r w:rsidR="0050339C" w:rsidRPr="00506990">
        <w:rPr>
          <w:rFonts w:ascii="Times New Roman" w:hAnsi="Times New Roman" w:cs="Times New Roman"/>
          <w:color w:val="0D0D0D" w:themeColor="text1" w:themeTint="F2"/>
          <w:sz w:val="22"/>
          <w:szCs w:val="22"/>
        </w:rPr>
        <w:t xml:space="preserve"> Administrador</w:t>
      </w:r>
      <w:r w:rsidR="002A2B1C" w:rsidRPr="00506990">
        <w:rPr>
          <w:rFonts w:ascii="Times New Roman" w:hAnsi="Times New Roman" w:cs="Times New Roman"/>
          <w:color w:val="0D0D0D" w:themeColor="text1" w:themeTint="F2"/>
          <w:sz w:val="22"/>
          <w:szCs w:val="22"/>
        </w:rPr>
        <w:t>es</w:t>
      </w:r>
      <w:r w:rsidR="0050339C" w:rsidRPr="00506990">
        <w:rPr>
          <w:rFonts w:ascii="Times New Roman" w:hAnsi="Times New Roman" w:cs="Times New Roman"/>
          <w:color w:val="0D0D0D" w:themeColor="text1" w:themeTint="F2"/>
          <w:sz w:val="22"/>
          <w:szCs w:val="22"/>
        </w:rPr>
        <w:t xml:space="preserve"> información en soporte magnético acerca de la Cartera de Créditos y de los fondos acreditados en las cuentas de recaudación y verificará el cumplimiento de los plazos de la rendición, dispuestos por la normativa vigente;</w:t>
      </w:r>
    </w:p>
    <w:p w14:paraId="02A8BF92"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Controlará los niveles de mora, niveles de cobranza y cualquier otro parámetro financiero que se establezca en el desarrollo del Fideicomiso Financiero;</w:t>
      </w:r>
    </w:p>
    <w:p w14:paraId="1EC9F8F1"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b/>
          <w:bCs/>
          <w:iCs/>
          <w:color w:val="0D0D0D" w:themeColor="text1" w:themeTint="F2"/>
          <w:sz w:val="22"/>
          <w:szCs w:val="22"/>
        </w:rPr>
      </w:pPr>
      <w:r w:rsidRPr="00B24F87">
        <w:rPr>
          <w:rFonts w:ascii="Times New Roman" w:hAnsi="Times New Roman" w:cs="Times New Roman"/>
          <w:color w:val="0D0D0D" w:themeColor="text1" w:themeTint="F2"/>
          <w:sz w:val="22"/>
          <w:szCs w:val="22"/>
        </w:rPr>
        <w:t>R</w:t>
      </w:r>
      <w:r w:rsidR="0050339C" w:rsidRPr="00B24F87">
        <w:rPr>
          <w:rFonts w:ascii="Times New Roman" w:hAnsi="Times New Roman" w:cs="Times New Roman"/>
          <w:color w:val="0D0D0D" w:themeColor="text1" w:themeTint="F2"/>
          <w:sz w:val="22"/>
          <w:szCs w:val="22"/>
        </w:rPr>
        <w:t xml:space="preserve">emitirá al Fiduciario un informe con periodicidad mensual sobre el estado de atrasos de la </w:t>
      </w:r>
      <w:r w:rsidR="0050339C" w:rsidRPr="00506990">
        <w:rPr>
          <w:rFonts w:ascii="Times New Roman" w:hAnsi="Times New Roman" w:cs="Times New Roman"/>
          <w:color w:val="0D0D0D" w:themeColor="text1" w:themeTint="F2"/>
          <w:sz w:val="22"/>
          <w:szCs w:val="22"/>
        </w:rPr>
        <w:t>Cartera.</w:t>
      </w:r>
    </w:p>
    <w:p w14:paraId="455FF22C" w14:textId="77777777" w:rsidR="007073F9" w:rsidRPr="00506990" w:rsidRDefault="007073F9" w:rsidP="00047454">
      <w:pPr>
        <w:widowControl w:val="0"/>
        <w:tabs>
          <w:tab w:val="left" w:pos="7088"/>
        </w:tabs>
        <w:suppressAutoHyphens/>
        <w:rPr>
          <w:rFonts w:ascii="Times New Roman" w:hAnsi="Times New Roman" w:cs="Times New Roman"/>
          <w:b/>
          <w:bCs/>
          <w:iCs/>
          <w:color w:val="0D0D0D" w:themeColor="text1" w:themeTint="F2"/>
          <w:sz w:val="22"/>
          <w:szCs w:val="22"/>
        </w:rPr>
      </w:pPr>
    </w:p>
    <w:p w14:paraId="0CDA4A72" w14:textId="77777777" w:rsidR="00275EAF" w:rsidRPr="00506990" w:rsidRDefault="0050339C" w:rsidP="0050339C">
      <w:pPr>
        <w:keepNext/>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3.16.  Renuncia y/o revocación del Agente de Control y Revisión.</w:t>
      </w:r>
      <w:r w:rsidRPr="00506990">
        <w:rPr>
          <w:rFonts w:ascii="Times New Roman" w:hAnsi="Times New Roman" w:cs="Times New Roman"/>
          <w:iCs/>
          <w:color w:val="0D0D0D" w:themeColor="text1" w:themeTint="F2"/>
          <w:sz w:val="22"/>
          <w:szCs w:val="22"/>
        </w:rPr>
        <w:t xml:space="preserve"> Corresponderá al Fiduciario remover al Agente de Control y Revisión, sin derecho de éste a indemnización alguna, cuando ocurra cualquiera de estos hechos a su respecto: (a) no brindare al Fiduciario en tiempo y forma la información que está a su cargo proveer, de manera que se impida y/o dificulte al Fiduciario cumplir con la carga informativa que le es propia frente a los Beneficiarios y a las entidades de control y no subsanare el incumplimiento dentro del término que el Fiduciario especifique en la intimación pertinente; (b) se decretare su quiebra. El nuevo Agente de Control y Revisión será designado por el Fiduciario, de común acuerdo con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ponderando para la elección la experiencia acreditada, la capacidad de gestión, la retribución pretendida, y teniendo en consideración las NORMAS de la CNV y su designación será comunicada a la CNV </w:t>
      </w:r>
      <w:r w:rsidRPr="00506990">
        <w:rPr>
          <w:rFonts w:ascii="Times New Roman" w:hAnsi="Times New Roman" w:cs="Times New Roman"/>
          <w:iCs/>
          <w:color w:val="0D0D0D" w:themeColor="text1" w:themeTint="F2"/>
          <w:sz w:val="22"/>
          <w:szCs w:val="22"/>
          <w:lang w:val="es-AR"/>
        </w:rPr>
        <w:t>mediante la publicación de un aviso en la AIF</w:t>
      </w:r>
      <w:r w:rsidRPr="00506990">
        <w:rPr>
          <w:rFonts w:ascii="Times New Roman" w:hAnsi="Times New Roman" w:cs="Times New Roman"/>
          <w:iCs/>
          <w:color w:val="0D0D0D" w:themeColor="text1" w:themeTint="F2"/>
          <w:sz w:val="22"/>
          <w:szCs w:val="22"/>
        </w:rPr>
        <w:t>. El Fiduciario procederá de igual modo, en caso de renuncia del Agente de Control y Revisión designado.</w:t>
      </w:r>
      <w:r w:rsidRPr="00506990">
        <w:rPr>
          <w:rFonts w:ascii="Times New Roman" w:hAnsi="Times New Roman" w:cs="Times New Roman"/>
          <w:color w:val="0D0D0D" w:themeColor="text1" w:themeTint="F2"/>
          <w:sz w:val="22"/>
          <w:szCs w:val="22"/>
        </w:rPr>
        <w:t xml:space="preserve"> Los gastos de designación de un nuevo Agente de Control y Revisión estarán a cargo del Fideicomiso</w:t>
      </w:r>
      <w:r w:rsidR="00275EAF" w:rsidRPr="00506990">
        <w:rPr>
          <w:rFonts w:ascii="Times New Roman" w:hAnsi="Times New Roman" w:cs="Times New Roman"/>
          <w:color w:val="0D0D0D" w:themeColor="text1" w:themeTint="F2"/>
          <w:sz w:val="22"/>
          <w:szCs w:val="22"/>
        </w:rPr>
        <w:t>.</w:t>
      </w:r>
    </w:p>
    <w:p w14:paraId="2D669D54" w14:textId="77777777" w:rsidR="00275EAF" w:rsidRPr="00506990" w:rsidRDefault="00275EAF" w:rsidP="0050339C">
      <w:pPr>
        <w:keepNext/>
        <w:suppressAutoHyphens/>
        <w:rPr>
          <w:rFonts w:ascii="Times New Roman" w:hAnsi="Times New Roman" w:cs="Times New Roman"/>
          <w:b/>
          <w:bCs/>
          <w:iCs/>
          <w:color w:val="0D0D0D" w:themeColor="text1" w:themeTint="F2"/>
          <w:sz w:val="22"/>
          <w:szCs w:val="22"/>
        </w:rPr>
      </w:pPr>
    </w:p>
    <w:p w14:paraId="54AE75E8" w14:textId="62365372"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3.17. Modificación de artículos de la presente Sección.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el Fiduciario con consentimiento de la CNV, podrán acordar modificaciones  de la presente sección para (a) imponer otras obligaciones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(b) modificar el contenido de los informes de cobranza con la finalidad de lograr un mejor cumplimiento de la  administración y cobranza de los Créditos, y (c) adoptar otras medidas protectoras de los Créditos y su Cobranza con la finalidad de lograr un mejor cumplimiento de la administración y cobranza de los Créditos, en tanto ello no altere los derechos de los Beneficiarios y/o, en su caso, no afecte la calificación de riesgo de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En todo otro supuesto se requerirá el consentimiento de la Asamblea de los Beneficiarios y la pertinente autorización de la CNV en los términos de las Cláusulas Trigésimo Tercera y Trigésimo quinta del Contrato Marco</w:t>
      </w:r>
      <w:r w:rsidR="001126E3" w:rsidRPr="00506990">
        <w:rPr>
          <w:rFonts w:ascii="Times New Roman" w:hAnsi="Times New Roman" w:cs="Times New Roman"/>
          <w:iCs/>
          <w:color w:val="0D0D0D" w:themeColor="text1" w:themeTint="F2"/>
          <w:sz w:val="22"/>
          <w:szCs w:val="22"/>
        </w:rPr>
        <w:t>, y conforme a lo dispuesto en los artículos 50 y 51 del Capítulo IV del Título V de las NORMAS (N. T. 2013 y mod.)</w:t>
      </w:r>
      <w:r w:rsidRPr="00506990">
        <w:rPr>
          <w:rFonts w:ascii="Times New Roman" w:hAnsi="Times New Roman" w:cs="Times New Roman"/>
          <w:iCs/>
          <w:color w:val="0D0D0D" w:themeColor="text1" w:themeTint="F2"/>
          <w:sz w:val="22"/>
          <w:szCs w:val="22"/>
        </w:rPr>
        <w:t>.</w:t>
      </w:r>
    </w:p>
    <w:p w14:paraId="43EE2FAE"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p>
    <w:p w14:paraId="3354F377" w14:textId="4EE501C0" w:rsidR="00B24F87" w:rsidRPr="00506990" w:rsidRDefault="00B24F87" w:rsidP="00B24F87">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SECCIÓN IV</w:t>
      </w:r>
    </w:p>
    <w:p w14:paraId="0F26CFE0"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bCs/>
          <w:iCs/>
          <w:color w:val="0D0D0D" w:themeColor="text1" w:themeTint="F2"/>
          <w:sz w:val="22"/>
          <w:szCs w:val="22"/>
        </w:rPr>
        <w:t>MISCELÁNEAS</w:t>
      </w:r>
    </w:p>
    <w:p w14:paraId="5F01729B"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p>
    <w:p w14:paraId="559680EB"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4.1.- Declaraciones y Garantías.</w:t>
      </w:r>
      <w:r w:rsidRPr="00506990">
        <w:rPr>
          <w:rFonts w:ascii="Times New Roman" w:hAnsi="Times New Roman" w:cs="Times New Roman"/>
          <w:iCs/>
          <w:color w:val="0D0D0D" w:themeColor="text1" w:themeTint="F2"/>
          <w:sz w:val="22"/>
          <w:szCs w:val="22"/>
        </w:rPr>
        <w:t xml:space="preserve">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declara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y garantiza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que: </w:t>
      </w:r>
    </w:p>
    <w:p w14:paraId="09DCA4B2" w14:textId="0B364F19"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(a) La formalización y cumplimiento de este Contrato Suplementario, y de los actos que son su consecuencia se encuentran dentro de sus facultades y objeto social, y que para su debida formalización y cumplimiento no se requiere de autorización alguna por parte de cualquier órgano o autoridad, excepto por las autorizaciones de oferta pública y listado de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w:t>
      </w:r>
    </w:p>
    <w:p w14:paraId="70A6F4A9"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Además del acuerdo concursal homologado, no está pendiente ni es inminente según su leal saber y entender ninguna acción ante los tribunales, organismos gubernamentales o árbitros y ningún proceso que afecte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pueda tener un efecto adverso y significativo sobre su situación financiera o sus operaciones, o que pueda afectar la validez o exigibilidad de este Contrato Suplementario; y que especialmente no se han dado, ni es previsible que se den en el futuro inmediato, ninguna de las circunstancias indicadas en el artículo 3.9. </w:t>
      </w:r>
    </w:p>
    <w:p w14:paraId="5004F9D8"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 En su caso, ha otorgado los Créditos dentro de sus facultades, de acuerdo con los estatutos y leyes que le son aplicables, en el curso de operaciones normales;</w:t>
      </w:r>
    </w:p>
    <w:p w14:paraId="69F1B672"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(d) Es titular irrestricto y tiene la libre disponibilidad de los Créditos;</w:t>
      </w:r>
    </w:p>
    <w:p w14:paraId="78F13197"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 Los Créditos se encuentran en plena vigencia y validez y se encuentran libres de todo gravamen y afectación de cualquier naturaleza;</w:t>
      </w:r>
    </w:p>
    <w:p w14:paraId="58086990"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(f) Los Créditos constituyen obligaciones válidas de moneda nacional;</w:t>
      </w:r>
    </w:p>
    <w:p w14:paraId="55C68EF4" w14:textId="3291097B" w:rsidR="00BF6930" w:rsidRPr="00506990" w:rsidRDefault="00BF6930"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(g) Los Créditos producto de refinanciación no superan el </w:t>
      </w:r>
      <w:r w:rsidR="00CD415E">
        <w:rPr>
          <w:rFonts w:ascii="Times New Roman" w:hAnsi="Times New Roman" w:cs="Times New Roman"/>
          <w:iCs/>
          <w:color w:val="0D0D0D" w:themeColor="text1" w:themeTint="F2"/>
          <w:sz w:val="22"/>
          <w:szCs w:val="22"/>
        </w:rPr>
        <w:t>10</w:t>
      </w:r>
      <w:r>
        <w:rPr>
          <w:rFonts w:ascii="Times New Roman" w:hAnsi="Times New Roman" w:cs="Times New Roman"/>
          <w:iCs/>
          <w:color w:val="0D0D0D" w:themeColor="text1" w:themeTint="F2"/>
          <w:sz w:val="22"/>
          <w:szCs w:val="22"/>
        </w:rPr>
        <w:t xml:space="preserve">% de participación sobre el total de la Cartera. </w:t>
      </w:r>
    </w:p>
    <w:p w14:paraId="3D671815"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r w:rsidR="00BF6930">
        <w:rPr>
          <w:rFonts w:ascii="Times New Roman" w:hAnsi="Times New Roman" w:cs="Times New Roman"/>
          <w:iCs/>
          <w:color w:val="0D0D0D" w:themeColor="text1" w:themeTint="F2"/>
          <w:sz w:val="22"/>
          <w:szCs w:val="22"/>
        </w:rPr>
        <w:t>h</w:t>
      </w:r>
      <w:r w:rsidRPr="00506990">
        <w:rPr>
          <w:rFonts w:ascii="Times New Roman" w:hAnsi="Times New Roman" w:cs="Times New Roman"/>
          <w:iCs/>
          <w:color w:val="0D0D0D" w:themeColor="text1" w:themeTint="F2"/>
          <w:sz w:val="22"/>
          <w:szCs w:val="22"/>
        </w:rPr>
        <w:t>) Los fondos / bienes objeto del Contrato de Fideicomiso tienen su origen en actividades lícitas, comprometiéndose a suministrar toda información por ustedes requerida para dar cumplimiento a las normas del BCRA y demás entes de contralor aplicables, así como también aquellas relacionadas con la Prevención del Lavado de Dinero y Financiamiento del Terrorismo (ley 25.246 y modificatorias).</w:t>
      </w:r>
    </w:p>
    <w:p w14:paraId="3713B79E" w14:textId="77777777" w:rsidR="00226199" w:rsidRPr="00506990" w:rsidRDefault="00226199"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(i) Otorgan garantía de evicción sobre los Créditos cedidos que conforman el Activo Fideicomitido del Fideicomiso.</w:t>
      </w:r>
    </w:p>
    <w:p w14:paraId="0A78080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39D805E0" w14:textId="53D8826E"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4.2. Condiciones previas a la </w:t>
      </w:r>
      <w:r w:rsidRPr="00042325">
        <w:rPr>
          <w:rFonts w:ascii="Times New Roman" w:hAnsi="Times New Roman" w:cs="Times New Roman"/>
          <w:b/>
          <w:iCs/>
          <w:color w:val="0D0D0D" w:themeColor="text1" w:themeTint="F2"/>
          <w:sz w:val="22"/>
          <w:szCs w:val="22"/>
          <w:lang w:val="es-AR"/>
        </w:rPr>
        <w:t xml:space="preserve">colocación de los </w:t>
      </w:r>
      <w:r w:rsidR="00E05EDF" w:rsidRPr="002276F7">
        <w:rPr>
          <w:rFonts w:ascii="Times New Roman" w:hAnsi="Times New Roman" w:cs="Times New Roman"/>
          <w:b/>
          <w:iCs/>
          <w:color w:val="0D0D0D" w:themeColor="text1" w:themeTint="F2"/>
          <w:sz w:val="22"/>
          <w:szCs w:val="22"/>
          <w:lang w:val="es-AR"/>
        </w:rPr>
        <w:t>Valores de Deuda Fiduciaria</w:t>
      </w:r>
      <w:r w:rsidR="00042325" w:rsidRPr="00FD44AD">
        <w:rPr>
          <w:rFonts w:ascii="Times New Roman" w:hAnsi="Times New Roman"/>
          <w:b/>
          <w:color w:val="0D0D0D" w:themeColor="text1" w:themeTint="F2"/>
          <w:sz w:val="22"/>
          <w:lang w:val="es-AR"/>
        </w:rPr>
        <w:t xml:space="preserve"> </w:t>
      </w:r>
      <w:r w:rsidRPr="00042325">
        <w:rPr>
          <w:rFonts w:ascii="Times New Roman" w:hAnsi="Times New Roman" w:cs="Times New Roman"/>
          <w:b/>
          <w:iCs/>
          <w:color w:val="0D0D0D" w:themeColor="text1" w:themeTint="F2"/>
          <w:sz w:val="22"/>
          <w:szCs w:val="22"/>
          <w:lang w:val="es-AR"/>
        </w:rPr>
        <w:t>en el mer</w:t>
      </w:r>
      <w:r w:rsidRPr="00506990">
        <w:rPr>
          <w:rFonts w:ascii="Times New Roman" w:hAnsi="Times New Roman" w:cs="Times New Roman"/>
          <w:b/>
          <w:iCs/>
          <w:color w:val="0D0D0D" w:themeColor="text1" w:themeTint="F2"/>
          <w:sz w:val="22"/>
          <w:szCs w:val="22"/>
          <w:lang w:val="es-AR"/>
        </w:rPr>
        <w:t>cado.</w:t>
      </w:r>
      <w:r w:rsidRPr="00506990">
        <w:rPr>
          <w:rFonts w:ascii="Times New Roman" w:hAnsi="Times New Roman" w:cs="Times New Roman"/>
          <w:iCs/>
          <w:color w:val="0D0D0D" w:themeColor="text1" w:themeTint="F2"/>
          <w:sz w:val="22"/>
          <w:szCs w:val="22"/>
          <w:lang w:val="es-AR"/>
        </w:rPr>
        <w:t xml:space="preserve"> Todas las obligaciones del Fiduciario bajo el presente Contrato, incluyendo la obligación de colocar los </w:t>
      </w:r>
      <w:r w:rsidR="00E05EDF">
        <w:rPr>
          <w:rFonts w:ascii="Times New Roman" w:hAnsi="Times New Roman"/>
          <w:color w:val="0D0D0D" w:themeColor="text1" w:themeTint="F2"/>
          <w:sz w:val="22"/>
          <w:lang w:val="es-AR"/>
        </w:rPr>
        <w:t>Valores de Deuda Fiduciaria</w:t>
      </w:r>
      <w:r w:rsidR="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en el mercado, están sujetas a las siguientes condiciones previas:</w:t>
      </w:r>
    </w:p>
    <w:p w14:paraId="2F66315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ab/>
        <w:t>a la exactitud de la totalidad de las declaraciones y garantías por parte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consignadas en el presente Contrato; </w:t>
      </w:r>
    </w:p>
    <w:p w14:paraId="7E800E67"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(b)</w:t>
      </w:r>
      <w:r w:rsidRPr="00506990">
        <w:rPr>
          <w:rFonts w:ascii="Times New Roman" w:hAnsi="Times New Roman" w:cs="Times New Roman"/>
          <w:iCs/>
          <w:color w:val="0D0D0D" w:themeColor="text1" w:themeTint="F2"/>
          <w:sz w:val="22"/>
          <w:szCs w:val="22"/>
          <w:lang w:val="es-AR"/>
        </w:rPr>
        <w:tab/>
        <w:t xml:space="preserve">la transferencia correspondiente de los Bienes Fideicomitidos al Fideicomiso mediante el endoso sin recurso de los pagarés correspondientes, la entrega de los Documentos Respaldatorios de Crédito al Custodio de los documentos, más la entrega al Fiduciario de un archivo electrónico con el detalle de los créditos cedidos al presente fideicomiso conforme al artículo 1.2; </w:t>
      </w:r>
    </w:p>
    <w:p w14:paraId="11B574EA" w14:textId="7C12EA00"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ab/>
        <w:t xml:space="preserve">que la CNV otorgue la autorización de oferta pública de los </w:t>
      </w:r>
      <w:r w:rsidR="00E05EDF">
        <w:rPr>
          <w:rFonts w:ascii="Times New Roman" w:hAnsi="Times New Roman"/>
          <w:color w:val="0D0D0D" w:themeColor="text1" w:themeTint="F2"/>
          <w:sz w:val="22"/>
          <w:lang w:val="es-AR"/>
        </w:rPr>
        <w:t>Valores de Deuda Fiduciaria</w:t>
      </w:r>
      <w:r w:rsidR="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 xml:space="preserve">a ser emitidos y no se hayan iniciado procedimientos a efectos de suspender la oferta pública por parte de la CNV; y </w:t>
      </w:r>
    </w:p>
    <w:p w14:paraId="7952F345" w14:textId="54ED90B0"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b/>
        <w:t xml:space="preserve">que no ocurra ninguno de los eventos detallados a continuación que, según la opinión razonable del Fiduciario, haga imposible la colocación de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w:t>
      </w:r>
    </w:p>
    <w:p w14:paraId="7E4B9C18"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a razonable criterio del Fiduciario, los Bienes Fideicomitidos;</w:t>
      </w:r>
    </w:p>
    <w:p w14:paraId="35B032A4"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la extensión, vigencia y validez del Fideicomiso;</w:t>
      </w:r>
    </w:p>
    <w:p w14:paraId="43938309" w14:textId="615A743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suspensión o limitación significativa de las operaciones de valores negociables en general en el MAV y/o en los mercados autorizados donde listen y/o negocien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lang w:val="es-AR"/>
        </w:rPr>
        <w:t xml:space="preserve">, o en cualquier mercado donde, en caso de solicitarse autorización pertinente, vayan a ser listados los </w:t>
      </w:r>
      <w:r w:rsidR="00155E25" w:rsidRPr="00EE5CF2">
        <w:rPr>
          <w:rFonts w:ascii="Times New Roman" w:hAnsi="Times New Roman"/>
          <w:color w:val="0D0D0D" w:themeColor="text1" w:themeTint="F2"/>
          <w:sz w:val="22"/>
          <w:lang w:val="es-AR"/>
        </w:rPr>
        <w:t xml:space="preserve">Valores de Deuda </w:t>
      </w:r>
      <w:r w:rsidR="00155E25" w:rsidRPr="00506990">
        <w:rPr>
          <w:rFonts w:ascii="Times New Roman" w:eastAsia="Times New Roman" w:hAnsi="Times New Roman" w:cs="Times New Roman"/>
          <w:color w:val="0D0D0D" w:themeColor="text1" w:themeTint="F2"/>
          <w:sz w:val="22"/>
          <w:szCs w:val="22"/>
          <w:lang w:val="es-AR"/>
        </w:rPr>
        <w:t>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cualquier fijación de precios mínimos para la realización de operaciones en cualquiera de dichas entidades.</w:t>
      </w:r>
    </w:p>
    <w:p w14:paraId="0D16D8B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4084ECA0" w14:textId="4C79BEE8"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que no se hubiere dado cumplimiento, a entera satisfacción del Fiduciario, a todas y cada una de las condiciones previas mencionadas anteriormente, o las mismas no hubieran sido dispensadas total o parcialmente por el Fiduciario, y el Contrato de Fideicomiso ya se hubiere firmado, el Fiduciario no tendrá obligación de colocar los </w:t>
      </w:r>
      <w:r w:rsidR="00E05EDF">
        <w:rPr>
          <w:rFonts w:ascii="Times New Roman" w:hAnsi="Times New Roman"/>
          <w:color w:val="0D0D0D" w:themeColor="text1" w:themeTint="F2"/>
          <w:sz w:val="22"/>
          <w:lang w:val="es-AR"/>
        </w:rPr>
        <w:t>Valores de Deuda Fiduciaria</w:t>
      </w:r>
      <w:r w:rsidR="00042325" w:rsidRPr="00EE5CF2" w:rsidDel="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y el presente Contrato de Fideicomiso se resolverá de pleno derecho, sin necesidad de intimación previa ni constitución en mora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quedando a salvo el derecho del Fiduciario a reclamar a</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los daños y perjuicios en caso que la imposibilidad de llevar adelante la colocación de los </w:t>
      </w:r>
      <w:r w:rsidR="00E05EDF">
        <w:rPr>
          <w:rFonts w:ascii="Times New Roman" w:hAnsi="Times New Roman"/>
          <w:color w:val="0D0D0D" w:themeColor="text1" w:themeTint="F2"/>
          <w:sz w:val="22"/>
          <w:lang w:val="es-AR"/>
        </w:rPr>
        <w:t>Valores de Deuda Fiduciaria</w:t>
      </w:r>
      <w:r w:rsidR="00042325" w:rsidRPr="00EE5CF2" w:rsidDel="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sea imputable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sin que ello genere indemnización, cargo, gasto o responsabilidad alguna del Fiduciario, salvo culpa o dolo de su parte y/o de sus agentes por quienes deba responder, calificada dicha conducta como tal por sentencia judicial firme y definitiva emanada de autoridad judicial competente. </w:t>
      </w:r>
    </w:p>
    <w:p w14:paraId="4676918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párrafo anterior, el presente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4DBA25B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razonables, según la liquidación que el Fiduciario deberá notificar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 se hubieren generado o puedan generarse con motivo del Fideicomiso y la resolución del Contrato de Fideicomiso, serán a cargo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salvo culpa o dolo del Fiduciario y/o de sus agentes por quienes deba responder, calificada dicha conducta como tal por sentencia judicial firme y definitiva emanada de autoridad judicial competente.</w:t>
      </w:r>
    </w:p>
    <w:p w14:paraId="7944A082"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58CE97A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4.3. Obligación de</w:t>
      </w:r>
      <w:r w:rsidR="006E36BA"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6E36BA"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Fiduciante</w:t>
      </w:r>
      <w:r w:rsidR="006E36BA"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indemnizar y mantener indemne:</w:t>
      </w:r>
      <w:r w:rsidRPr="00506990">
        <w:rPr>
          <w:rFonts w:ascii="Times New Roman" w:hAnsi="Times New Roman" w:cs="Times New Roman"/>
          <w:iCs/>
          <w:color w:val="0D0D0D" w:themeColor="text1" w:themeTint="F2"/>
          <w:sz w:val="22"/>
          <w:szCs w:val="22"/>
          <w:lang w:val="es-AR"/>
        </w:rPr>
        <w:t>(</w:t>
      </w:r>
      <w:r w:rsidRPr="00506990">
        <w:rPr>
          <w:rFonts w:ascii="Times New Roman" w:hAnsi="Times New Roman" w:cs="Times New Roman"/>
          <w:b/>
          <w:iCs/>
          <w:color w:val="0D0D0D" w:themeColor="text1" w:themeTint="F2"/>
          <w:sz w:val="22"/>
          <w:szCs w:val="22"/>
          <w:lang w:val="es-AR"/>
        </w:rPr>
        <w:t xml:space="preserve">a) </w:t>
      </w:r>
      <w:r w:rsidR="006E36BA"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mantendrá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indemne al Fiduciario, y a cada uno de sus funcionarios, directores, accionistas, gerentes, empleados, representantes, sus personas controlantes, controladas, sujetos de control común, vinculadas, afiliadas, subsidiarias, y al Fideicomiso según fuera el caso, (cada uno, una “Parte indemnizada”) contra toda pérdida, responsabilidad, obligación, gasto razonable, Impuestos, multa, acciones, daños y perjuicios incluyendo pero sin limitar cualquier sentencia, laudo, acuerdo, comisiones, honorarios razonables de abogado y otras costas y gastos incurridos en relación con la defensa de cualquier acción presente o de posible iniciación, proceso o demanda judicial, sufrido con motivo de la celebración y cumplimiento de este Contrato, a menos que tales responsabilidades, obligaciones, gastos razonables, Impuestos, multas, acciones, daños y perjuicios se hayan originado por culpa o dolo del Fiduciario o de una Parte indemnizada, que procuren obtener dicha indemnización.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bajo este artículo continuarán vigentes luego de su renuncia o remoción como Administradores de los Créditos y la extinción de las demás disposiciones de este Contrato</w:t>
      </w:r>
    </w:p>
    <w:p w14:paraId="089DE32D" w14:textId="03233DB3"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(b)</w:t>
      </w:r>
      <w:r w:rsidR="0082550E">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 xml:space="preserve">La presente se mantendrá en vigencia hasta la prescripción de las acciones para reclamar los pagos debidos por los conceptos antes mencionados, aun cuando la prescripción de dichas acciones opere con posterioridad al vencimiento del plazo de vigencia del Fideicomiso o su efectiva liquidación y aún ante un supuesto de renuncia o remoción del Fiduciario. </w:t>
      </w:r>
    </w:p>
    <w:p w14:paraId="2C20FD94" w14:textId="39F63EB9"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 El Fiduciario, por cuenta propia o de la Parte indemnizada de que se trate, notificará tan pronto como sea posible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y a los Beneficiarios, mediante la publicación de un aviso en la AIF y en los sistemas de información de los mercado</w:t>
      </w:r>
      <w:r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lang w:val="es-AR"/>
        </w:rPr>
        <w:t xml:space="preserve"> autorizados donde listen y/o negocien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lang w:val="es-AR"/>
        </w:rPr>
        <w:t>, sobre cualquier responsabilidad, daño y/o reclamo conforme la presente cláusula, actual o potencial, y suministrará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 la mayor brevedad posible, toda la información y una copia de toda la documentación en poder del Fiduciario relativas al supuesto previsto en la presente cláusula que cualquier Parte indemnizada razonablemente considere que podría llegar a generar la obligación de indemnidad a su favor conforme el inciso (a) anterior;</w:t>
      </w:r>
    </w:p>
    <w:p w14:paraId="08ACF48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sidDel="008343AF">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tendrá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derecho a asumir la defensa de la Parte indemnizada de que se trate (incluyendo la contratación de los asesores legales de dicha Parte indemnizada por sí o por dicha Parte indemnizada) contra cualquier responsabilidad, daño y/o reclamo conforme al inciso (a) y, de así notificarlo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al Fiduciario, por cuenta propia o de la Parte indemnizada de que se trate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suministrará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la brevedad al Fiduciario, por cuenta propia o de la Parte indemnizada de que se trate, toda la información acerca de la defensa de dicha Parte indemnizada que en cualquier momento durante el transcurso de la misma el Fiduciario, por cuenta propia o de la Parte indemnizada de que se trate, solicite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contratación de los asesores legales deberá ser aprobada por el Fiduciario, quien no podrá denegar dicha aprobación en forma irrazonable.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hubieran asumido la defensa de la Parte indemnizada, la estrategia de cualquier pleito o procedimiento relevante deberá ser acordada con el Fiduciario;</w:t>
      </w:r>
    </w:p>
    <w:p w14:paraId="6E2CB54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(e)</w:t>
      </w:r>
      <w:r w:rsidRPr="00506990">
        <w:rPr>
          <w:rFonts w:ascii="Times New Roman" w:hAnsi="Times New Roman" w:cs="Times New Roman"/>
          <w:iCs/>
          <w:color w:val="0D0D0D" w:themeColor="text1" w:themeTint="F2"/>
          <w:sz w:val="22"/>
          <w:szCs w:val="22"/>
          <w:lang w:val="es-AR"/>
        </w:rPr>
        <w:t xml:space="preserv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(i) hubiera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asumido la defensa de la Parte indemnizada de que se trate conforme al inciso (a) de este artículo y dicha defensa hubiera resultado en una sentencia o resolución definitiva adversa a dicha Parte indemnizada o (ii) hubiera asumido la defensa de la Parte indemnizada de que se trate conforme al inciso (a) y posteriormente hubiera desistido de continuar con dicha defensa hasta la obtención de una sentencia o resolución definitiva o (iii) no hubiera asumido la defensa de la Parte indemnizada de que se trate conforme a este artículo, entonces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abonará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al Fiduciario todas las sumas que el Fiduciario, por cuenta propia o de la Parte indemnizada de que se trate, le requiera mediante una notificación dentro de las 72 (setenta y dos) horas de notificada a dicha Parte indemnizada una sentencia o resolución definitiva adversa;</w:t>
      </w:r>
    </w:p>
    <w:p w14:paraId="443267E3"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(f)</w:t>
      </w:r>
      <w:r w:rsidRPr="00506990">
        <w:rPr>
          <w:rFonts w:ascii="Times New Roman" w:hAnsi="Times New Roman" w:cs="Times New Roman"/>
          <w:iCs/>
          <w:color w:val="0D0D0D" w:themeColor="text1" w:themeTint="F2"/>
          <w:sz w:val="22"/>
          <w:szCs w:val="22"/>
          <w:lang w:val="es-AR"/>
        </w:rPr>
        <w:t xml:space="preserve"> Las disposiciones de esta sección alcanzarán y serán exigibles por una Parte indemnizada con sujeción a las limitaciones del presente y dichas disposiciones permanecerán vigentes luego de la renuncia o remoción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08183E"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renuncia o remoción del Fiduciario y/o la terminación del presente; y</w:t>
      </w:r>
    </w:p>
    <w:p w14:paraId="5CC8513F"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(g)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independientemente de la responsabilidad a la que deba hacer frente el Fiduciario con los Créditos, frente al BCRA y frente a los deudores de los Créditos respecto de los informes que deban presentarse ante cualquiera de las entidades relevantes (BCRA, agencias de informes comerciales, Veraz, etc.) o los que eventualmente los reemplacen con relación a los Créditos. Asimismo,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por cualquier penalidad o sanción que pudiera ser aplicable por el BCRA o cualquier otra Autoridad Gubernamental al Fiduciario, sea a título personal o en su calidad de fiduciario, por la inexactitud de la información presentada conforme con la información proporcionada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w:t>
      </w:r>
    </w:p>
    <w:p w14:paraId="0BE1B94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(h)</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obliga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mantener indemne al Fiduciario, los integrantes de sus órganos de administración, fiscalización y deliberación, empleados, gerentes, funcionarios y asesores,  de cualquier reclamo, acción o demanda laboral o previsional o extensión de responsabilidad, que se les hiciere por los empleados o personas en relación de dependencia con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aunque prestaren servicios, o realizaran tareas propias o vinculadas o en ocasión del presente contrato de fideicomiso.</w:t>
      </w:r>
    </w:p>
    <w:p w14:paraId="6D8E8986"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103ECF9F" w14:textId="2F13FD39"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4.4. Resolución del Contrato. </w:t>
      </w:r>
      <w:r w:rsidRPr="00506990">
        <w:rPr>
          <w:rFonts w:ascii="Times New Roman" w:hAnsi="Times New Roman" w:cs="Times New Roman"/>
          <w:iCs/>
          <w:color w:val="0D0D0D" w:themeColor="text1" w:themeTint="F2"/>
          <w:sz w:val="22"/>
          <w:szCs w:val="22"/>
          <w:lang w:val="es-AR"/>
        </w:rPr>
        <w:t xml:space="preserve">El presente Contrato se resolverá de pleno derecho y sin responsabilidad para el Fiduciario en caso de que, obtenida la autorización de oferta pública de la CNV y la autorización del listado de los mercados autorizados donde listen y/o negocien los </w:t>
      </w:r>
      <w:r w:rsidR="00E05EDF">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lang w:val="es-AR"/>
        </w:rPr>
        <w:t xml:space="preserve">, transcurran ciento ochenta (180) días desde la firma del mismo sin que los </w:t>
      </w:r>
      <w:r w:rsidR="00E05EDF">
        <w:rPr>
          <w:rFonts w:ascii="Times New Roman" w:hAnsi="Times New Roman"/>
          <w:color w:val="0D0D0D" w:themeColor="text1" w:themeTint="F2"/>
          <w:sz w:val="22"/>
          <w:lang w:val="es-AR"/>
        </w:rPr>
        <w:t>Valores de Deuda Fiduciaria</w:t>
      </w:r>
      <w:r w:rsidR="00042325" w:rsidRPr="00EE5CF2" w:rsidDel="00042325">
        <w:rPr>
          <w:rFonts w:ascii="Times New Roman" w:hAnsi="Times New Roman"/>
          <w:color w:val="0D0D0D" w:themeColor="text1" w:themeTint="F2"/>
          <w:sz w:val="22"/>
          <w:lang w:val="es-AR"/>
        </w:rPr>
        <w:t xml:space="preserve"> </w:t>
      </w:r>
      <w:r w:rsidRPr="00506990">
        <w:rPr>
          <w:rFonts w:ascii="Times New Roman" w:hAnsi="Times New Roman" w:cs="Times New Roman"/>
          <w:iCs/>
          <w:color w:val="0D0D0D" w:themeColor="text1" w:themeTint="F2"/>
          <w:sz w:val="22"/>
          <w:szCs w:val="22"/>
          <w:lang w:val="es-AR"/>
        </w:rPr>
        <w:t xml:space="preserve">puedan ser colocados. </w:t>
      </w:r>
    </w:p>
    <w:p w14:paraId="54AFB6A4"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que se hubieren generado o puedan generarse con motivo de la firma, ejecución y la resolución del Contrato estarán a cargo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o, en su caso, podrán ser deducidos por el Fiduciario del Fondo de Gastos si existiere. Dichos costos, gastos y honorarios deberán ser razonables, documentados y de acuerdo a los valores de mercado. </w:t>
      </w:r>
    </w:p>
    <w:p w14:paraId="73FE8E0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de que se resuelva el Contrato de Fideicomiso, y en la medida que el Fiduciario hubiera recibido cualquier suma de dinero por parte de los inversores, la misma deberá ser reintegrada en un plazo no mayor a cinco (5) Días Hábiles posteriores a la fecha de finalización del Período de Colocación, sin obligación de abonar intereses ni compensación alguna. </w:t>
      </w:r>
    </w:p>
    <w:p w14:paraId="079BF505"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presente artículo, la resolución no será aplicable y éste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05137D2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57B463A8"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4.5. </w:t>
      </w:r>
      <w:r w:rsidRPr="00506990">
        <w:rPr>
          <w:rFonts w:ascii="Times New Roman" w:hAnsi="Times New Roman" w:cs="Times New Roman"/>
          <w:b/>
          <w:bCs/>
          <w:iCs/>
          <w:color w:val="0D0D0D" w:themeColor="text1" w:themeTint="F2"/>
          <w:sz w:val="22"/>
          <w:szCs w:val="22"/>
          <w:lang w:val="es-AR"/>
        </w:rPr>
        <w:t>Fecha de cierre de los estados contables del Fideicomiso</w:t>
      </w:r>
      <w:r w:rsidRPr="00506990">
        <w:rPr>
          <w:rFonts w:ascii="Times New Roman" w:hAnsi="Times New Roman" w:cs="Times New Roman"/>
          <w:iCs/>
          <w:color w:val="0D0D0D" w:themeColor="text1" w:themeTint="F2"/>
          <w:sz w:val="22"/>
          <w:szCs w:val="22"/>
          <w:lang w:val="es-AR"/>
        </w:rPr>
        <w:t>: La fecha de cierre de los estados contables del Fideicomiso será el 31 de diciembre de cada año.</w:t>
      </w:r>
      <w:r w:rsidR="00923F39"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Asimismo se informa que los Libros Contables del Fideicomiso se encontrarán en las oficinas del Fiduciario sitas en la calle </w:t>
      </w:r>
      <w:r w:rsidRPr="00506990">
        <w:rPr>
          <w:rFonts w:ascii="Times New Roman" w:hAnsi="Times New Roman" w:cs="Times New Roman"/>
          <w:color w:val="0D0D0D" w:themeColor="text1" w:themeTint="F2"/>
          <w:sz w:val="22"/>
          <w:szCs w:val="22"/>
        </w:rPr>
        <w:t>Paraguay 777 Piso 9º - (S2000CVO) Rosario, Pcia. de Santa Fe</w:t>
      </w:r>
    </w:p>
    <w:p w14:paraId="3E6009D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6710FF"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4.6. Domicilios.</w:t>
      </w:r>
      <w:r w:rsidRPr="00506990">
        <w:rPr>
          <w:rFonts w:ascii="Times New Roman" w:hAnsi="Times New Roman" w:cs="Times New Roman"/>
          <w:iCs/>
          <w:color w:val="0D0D0D" w:themeColor="text1" w:themeTint="F2"/>
          <w:sz w:val="22"/>
          <w:szCs w:val="22"/>
        </w:rPr>
        <w:t xml:space="preserve"> El Fiduciario,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constituyen en la cláusula siguiente (a) domicilios postales especiales, donde serán válidas todas las notificaciones a ser cursadas por escrito con motivo del Fideicomiso (el “Domicilio Postal”); y (b) direcciones de correo electrónico, donde serán válidas todas las comunicaciones que conforme al Contrato Marco y el presente, o según acuerden las Partes, puedan ser cursadas o recibidas por ese medio (la “Dirección Electrónica”). Cualquier nuevo domicilio postal o dirección de correo electrónico sólo será oponible a las otras partes una vez notificada por medio fehaciente.</w:t>
      </w:r>
    </w:p>
    <w:p w14:paraId="5E03B278"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4EE28966"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4.7. Notificaciones.</w:t>
      </w:r>
      <w:r w:rsidRPr="00506990">
        <w:rPr>
          <w:rFonts w:ascii="Times New Roman" w:hAnsi="Times New Roman" w:cs="Times New Roman"/>
          <w:iCs/>
          <w:color w:val="0D0D0D" w:themeColor="text1" w:themeTint="F2"/>
          <w:sz w:val="22"/>
          <w:szCs w:val="22"/>
        </w:rPr>
        <w:t xml:space="preserve"> Todas las notificaciones, comunicaciones o intimaciones que deban cursarse conforme lo previsto en el presente, deben ser realizadas por medio fehaciente escrito, salvo los casos en que proceda las comunicaciones por correo electrónico según este Contrato Suplementario. Las notificaciones que por sus características no admitan demora serán cursadas por telefax o por cualquier otro medio disponible, en cuyo caso serán de inmediato confirmadas por escrito en forma fehaciente. Las comunicaciones por correo electrónico se presumirán remitidas por la persona autorizada que figure como remitente en la comunicación respectiva (la “Persona Autorizada”).</w:t>
      </w:r>
    </w:p>
    <w:p w14:paraId="63BDE5CB" w14:textId="77777777" w:rsidR="0050339C" w:rsidRPr="00506990" w:rsidRDefault="0050339C" w:rsidP="0050339C">
      <w:pPr>
        <w:pStyle w:val="Textoindependiente2"/>
        <w:keepNext w:val="0"/>
        <w:suppressAutoHyphens/>
        <w:rPr>
          <w:rFonts w:ascii="Times New Roman" w:hAnsi="Times New Roman"/>
          <w:b/>
          <w:bCs/>
          <w:i w:val="0"/>
          <w:color w:val="0D0D0D" w:themeColor="text1" w:themeTint="F2"/>
          <w:sz w:val="22"/>
          <w:szCs w:val="22"/>
        </w:rPr>
      </w:pPr>
    </w:p>
    <w:p w14:paraId="0725917D"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Al Fiduciario:</w:t>
      </w:r>
    </w:p>
    <w:p w14:paraId="474B1BBC" w14:textId="77777777" w:rsidR="0050339C" w:rsidRPr="00506990" w:rsidRDefault="0050339C" w:rsidP="0050339C">
      <w:pPr>
        <w:rPr>
          <w:rFonts w:ascii="Times New Roman" w:hAnsi="Times New Roman" w:cs="Times New Roman"/>
          <w:b/>
          <w:color w:val="0D0D0D" w:themeColor="text1" w:themeTint="F2"/>
          <w:sz w:val="22"/>
          <w:szCs w:val="22"/>
        </w:rPr>
      </w:pPr>
    </w:p>
    <w:p w14:paraId="2773E566"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Rosario Administradora Sociedad Fiduciaria S.A. </w:t>
      </w:r>
    </w:p>
    <w:p w14:paraId="24343553"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Paraguay 777 Piso 9º, Ciudad de Rosario, Pcia. de Santa Fe</w:t>
      </w:r>
    </w:p>
    <w:p w14:paraId="01EE7EA2"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Tel/Fax: (0341) </w:t>
      </w:r>
      <w:r w:rsidR="00923F39" w:rsidRPr="00506990">
        <w:rPr>
          <w:rFonts w:ascii="Times New Roman" w:hAnsi="Times New Roman" w:cs="Times New Roman"/>
          <w:color w:val="0D0D0D" w:themeColor="text1" w:themeTint="F2"/>
          <w:sz w:val="22"/>
          <w:szCs w:val="22"/>
        </w:rPr>
        <w:t>5300900</w:t>
      </w:r>
    </w:p>
    <w:p w14:paraId="357CB949" w14:textId="34F20501"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Dirección Electrónica: </w:t>
      </w:r>
      <w:r w:rsidR="001B0224">
        <w:rPr>
          <w:rFonts w:ascii="Times New Roman" w:hAnsi="Times New Roman" w:cs="Times New Roman"/>
          <w:color w:val="0D0D0D" w:themeColor="text1" w:themeTint="F2"/>
          <w:sz w:val="22"/>
          <w:szCs w:val="22"/>
        </w:rPr>
        <w:t>notificaciones</w:t>
      </w:r>
      <w:r w:rsidRPr="00506990">
        <w:rPr>
          <w:rFonts w:ascii="Times New Roman" w:hAnsi="Times New Roman" w:cs="Times New Roman"/>
          <w:color w:val="0D0D0D" w:themeColor="text1" w:themeTint="F2"/>
          <w:sz w:val="22"/>
          <w:szCs w:val="22"/>
        </w:rPr>
        <w:t xml:space="preserve">@rosfid.com.ar </w:t>
      </w:r>
    </w:p>
    <w:p w14:paraId="0CDCF45A" w14:textId="77777777" w:rsidR="0050339C" w:rsidRPr="00506990" w:rsidRDefault="0050339C" w:rsidP="0050339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At.: Lucas Jakimowicz</w:t>
      </w:r>
    </w:p>
    <w:p w14:paraId="1396C81C" w14:textId="77777777" w:rsidR="0050339C" w:rsidRPr="00506990" w:rsidRDefault="0050339C" w:rsidP="0050339C">
      <w:pPr>
        <w:suppressAutoHyphens/>
        <w:rPr>
          <w:rFonts w:ascii="Times New Roman" w:hAnsi="Times New Roman" w:cs="Times New Roman"/>
          <w:color w:val="0D0D0D" w:themeColor="text1" w:themeTint="F2"/>
          <w:sz w:val="22"/>
          <w:szCs w:val="22"/>
        </w:rPr>
      </w:pPr>
    </w:p>
    <w:p w14:paraId="1A87A27B" w14:textId="77777777" w:rsidR="0050339C" w:rsidRPr="00506990" w:rsidRDefault="0050339C" w:rsidP="0050339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Bazar Avenida S.A. </w:t>
      </w:r>
    </w:p>
    <w:p w14:paraId="60710706" w14:textId="1FDEC894" w:rsidR="0050339C" w:rsidRPr="00506990" w:rsidRDefault="00C55026" w:rsidP="0050339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 xml:space="preserve">Calle </w:t>
      </w:r>
      <w:r w:rsidR="009B5242" w:rsidRPr="009B5242">
        <w:t xml:space="preserve"> </w:t>
      </w:r>
      <w:r w:rsidR="009B5242" w:rsidRPr="009B5242">
        <w:rPr>
          <w:rFonts w:ascii="Times New Roman" w:eastAsiaTheme="minorHAnsi" w:hAnsi="Times New Roman" w:cs="Times New Roman"/>
          <w:color w:val="0D0D0D" w:themeColor="text1" w:themeTint="F2"/>
          <w:sz w:val="22"/>
          <w:szCs w:val="22"/>
          <w:lang w:val="es-AR" w:eastAsia="en-US"/>
        </w:rPr>
        <w:t>Cayetano Santi</w:t>
      </w:r>
      <w:r>
        <w:rPr>
          <w:rFonts w:ascii="Times New Roman" w:eastAsiaTheme="minorHAnsi" w:hAnsi="Times New Roman" w:cs="Times New Roman"/>
          <w:color w:val="0D0D0D" w:themeColor="text1" w:themeTint="F2"/>
          <w:sz w:val="22"/>
          <w:szCs w:val="22"/>
          <w:lang w:val="es-AR" w:eastAsia="en-US"/>
        </w:rPr>
        <w:t xml:space="preserve"> N° 1045</w:t>
      </w:r>
      <w:r w:rsidR="0050339C" w:rsidRPr="00506990">
        <w:rPr>
          <w:rFonts w:ascii="Times New Roman" w:eastAsiaTheme="minorHAnsi" w:hAnsi="Times New Roman" w:cs="Times New Roman"/>
          <w:color w:val="0D0D0D" w:themeColor="text1" w:themeTint="F2"/>
          <w:sz w:val="22"/>
          <w:szCs w:val="22"/>
          <w:lang w:val="es-AR" w:eastAsia="en-US"/>
        </w:rPr>
        <w:t xml:space="preserve">, Ciudad de Rafaela, Prov. de Santa Fe </w:t>
      </w:r>
    </w:p>
    <w:p w14:paraId="6B274FD0" w14:textId="77777777" w:rsidR="0050339C" w:rsidRPr="0065404B" w:rsidRDefault="00A1210B" w:rsidP="0050339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 xml:space="preserve">Tel.: 03492-438090 – Fax: 03492-438070 </w:t>
      </w:r>
    </w:p>
    <w:p w14:paraId="5E2DC836" w14:textId="77777777" w:rsidR="0050339C" w:rsidRPr="0065404B" w:rsidRDefault="00A1210B" w:rsidP="0050339C">
      <w:pPr>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1D669DF4" w14:textId="77777777" w:rsidR="0050339C" w:rsidRPr="00506990" w:rsidRDefault="0050339C" w:rsidP="0050339C">
      <w:pPr>
        <w:autoSpaceDE w:val="0"/>
        <w:autoSpaceDN w:val="0"/>
        <w:adjustRightInd w:val="0"/>
        <w:rPr>
          <w:rFonts w:ascii="Times New Roman"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hyperlink r:id="rId79" w:history="1">
        <w:r w:rsidR="002A2B1C" w:rsidRPr="00506990">
          <w:rPr>
            <w:rStyle w:val="Hipervnculo"/>
            <w:rFonts w:ascii="Times New Roman" w:hAnsi="Times New Roman"/>
            <w:sz w:val="22"/>
            <w:szCs w:val="22"/>
            <w:lang w:val="es-AR" w:eastAsia="en-US"/>
          </w:rPr>
          <w:t>infofid@bamegatone.com</w:t>
        </w:r>
      </w:hyperlink>
    </w:p>
    <w:p w14:paraId="04C6676C" w14:textId="77777777" w:rsidR="002A2B1C" w:rsidRPr="00506990" w:rsidRDefault="002A2B1C" w:rsidP="002A2B1C">
      <w:pPr>
        <w:suppressAutoHyphens/>
        <w:rPr>
          <w:rFonts w:ascii="Times New Roman" w:hAnsi="Times New Roman" w:cs="Times New Roman"/>
          <w:b/>
          <w:color w:val="0D0D0D" w:themeColor="text1" w:themeTint="F2"/>
          <w:sz w:val="22"/>
          <w:szCs w:val="22"/>
        </w:rPr>
      </w:pPr>
    </w:p>
    <w:p w14:paraId="4A7A3C2D" w14:textId="77777777" w:rsidR="002A2B1C" w:rsidRPr="00506990" w:rsidRDefault="002A2B1C" w:rsidP="002A2B1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Consumo S.A. </w:t>
      </w:r>
    </w:p>
    <w:p w14:paraId="4E636F0D" w14:textId="40C19CB9" w:rsidR="00DD0C47" w:rsidRDefault="00C55026" w:rsidP="002A2B1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 xml:space="preserve">Calle </w:t>
      </w:r>
      <w:r w:rsidR="009B5242" w:rsidRPr="009B5242">
        <w:rPr>
          <w:rFonts w:ascii="Times New Roman" w:eastAsiaTheme="minorHAnsi" w:hAnsi="Times New Roman" w:cs="Times New Roman"/>
          <w:color w:val="0D0D0D" w:themeColor="text1" w:themeTint="F2"/>
          <w:sz w:val="22"/>
          <w:szCs w:val="22"/>
          <w:lang w:val="es-AR" w:eastAsia="en-US"/>
        </w:rPr>
        <w:t>Cayetano Santi</w:t>
      </w:r>
      <w:r w:rsidR="009B5242" w:rsidRPr="009B5242" w:rsidDel="009B5242">
        <w:rPr>
          <w:rFonts w:ascii="Times New Roman" w:eastAsiaTheme="minorHAnsi" w:hAnsi="Times New Roman" w:cs="Times New Roman"/>
          <w:color w:val="0D0D0D" w:themeColor="text1" w:themeTint="F2"/>
          <w:sz w:val="22"/>
          <w:szCs w:val="22"/>
          <w:lang w:val="es-AR" w:eastAsia="en-US"/>
        </w:rPr>
        <w:t xml:space="preserve"> </w:t>
      </w:r>
      <w:r>
        <w:rPr>
          <w:rFonts w:ascii="Times New Roman" w:eastAsiaTheme="minorHAnsi" w:hAnsi="Times New Roman" w:cs="Times New Roman"/>
          <w:color w:val="0D0D0D" w:themeColor="text1" w:themeTint="F2"/>
          <w:sz w:val="22"/>
          <w:szCs w:val="22"/>
          <w:lang w:val="es-AR" w:eastAsia="en-US"/>
        </w:rPr>
        <w:t xml:space="preserve"> N°1045</w:t>
      </w:r>
      <w:r w:rsidR="00DD0C47" w:rsidRPr="00DD0C47">
        <w:rPr>
          <w:rFonts w:ascii="Times New Roman" w:eastAsiaTheme="minorHAnsi" w:hAnsi="Times New Roman" w:cs="Times New Roman"/>
          <w:color w:val="0D0D0D" w:themeColor="text1" w:themeTint="F2"/>
          <w:sz w:val="22"/>
          <w:szCs w:val="22"/>
          <w:lang w:val="es-AR" w:eastAsia="en-US"/>
        </w:rPr>
        <w:t>, Ciudad de Rafaela, Provincia de Santa Fe</w:t>
      </w:r>
    </w:p>
    <w:p w14:paraId="57A8245B" w14:textId="77777777" w:rsidR="002A2B1C" w:rsidRPr="0065404B" w:rsidRDefault="00A1210B" w:rsidP="002A2B1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Tel.: 03492-438090  – Fax: 03492-438070</w:t>
      </w:r>
    </w:p>
    <w:p w14:paraId="6887A0B5" w14:textId="77777777" w:rsidR="00DD0C47" w:rsidRPr="0065404B" w:rsidRDefault="00A1210B" w:rsidP="00DD0C47">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362D1DF1" w14:textId="31407102" w:rsidR="00DD0C47" w:rsidRDefault="002A2B1C" w:rsidP="00DD0C47">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r w:rsidR="00DD0C47" w:rsidRPr="00DD0C47">
        <w:rPr>
          <w:rFonts w:ascii="Times New Roman" w:eastAsiaTheme="minorHAnsi" w:hAnsi="Times New Roman" w:cs="Times New Roman"/>
          <w:color w:val="0D0D0D" w:themeColor="text1" w:themeTint="F2"/>
          <w:sz w:val="22"/>
          <w:szCs w:val="22"/>
          <w:lang w:val="es-AR" w:eastAsia="en-US"/>
        </w:rPr>
        <w:t xml:space="preserve">infofid@bamegatone.com </w:t>
      </w:r>
    </w:p>
    <w:p w14:paraId="103C167F" w14:textId="0BFB74F0" w:rsidR="005F5187" w:rsidRDefault="005F5187" w:rsidP="00DD0C47">
      <w:pPr>
        <w:autoSpaceDE w:val="0"/>
        <w:autoSpaceDN w:val="0"/>
        <w:adjustRightInd w:val="0"/>
        <w:rPr>
          <w:rFonts w:ascii="Times New Roman" w:eastAsiaTheme="minorHAnsi" w:hAnsi="Times New Roman" w:cs="Times New Roman"/>
          <w:color w:val="0D0D0D" w:themeColor="text1" w:themeTint="F2"/>
          <w:sz w:val="22"/>
          <w:szCs w:val="22"/>
          <w:lang w:val="es-AR" w:eastAsia="en-US"/>
        </w:rPr>
      </w:pPr>
    </w:p>
    <w:p w14:paraId="47E9DD5C"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b/>
          <w:color w:val="0D0D0D" w:themeColor="text1" w:themeTint="F2"/>
          <w:sz w:val="22"/>
          <w:szCs w:val="22"/>
        </w:rPr>
        <w:t>Artículo 4.8.- Asambleas de Beneficiarios a Distancia</w:t>
      </w:r>
      <w:r w:rsidRPr="00DB405C">
        <w:rPr>
          <w:rFonts w:ascii="Times New Roman" w:hAnsi="Times New Roman" w:cs="Times New Roman"/>
          <w:color w:val="0D0D0D" w:themeColor="text1" w:themeTint="F2"/>
          <w:sz w:val="22"/>
          <w:szCs w:val="22"/>
        </w:rPr>
        <w:t>. Podrán celebrarse asambleas de Beneficiarios a distancia, mediante la utilización de un canal de comunicación que permita la transmisión simultánea de sonido, imágenes y palabras en el transcurso de toda la reunión, así como su grabación en un soporte digital. Se aplicarán las siguientes reglas:</w:t>
      </w:r>
    </w:p>
    <w:p w14:paraId="71DDFCE4"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(a) El Fiduciario deberá garantizar el libre acceso a la reunión de todos los Beneficiarios, del Administrador, del Fiduciante, del Agente de Cobro, del Agente de Control y Revisión, de los demás participantes, y de uno o más representantes de la CNV y de los mercados en los que se encuentren listados los Valores Fiduciarios.</w:t>
      </w:r>
    </w:p>
    <w:p w14:paraId="6C3BBB4D"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(b) En la convocatoria y en su comunicación por la vía legal y contractual correspondiente, se difundirá el correo electrónico referido en el punto siguiente e informar de manera clara y sencilla: el canal de comunicación elegido y el modo de acceso a los efectos de permitir dicha participación.</w:t>
      </w:r>
    </w:p>
    <w:p w14:paraId="4A8D5835"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(c) Los Beneficiarios y demás personas con derecho a participar en la asamblea comunicarán su asistencia por el correo electrónico que el Fiduciario habilite al efecto. En el caso de tratarse de representantes se deberá remitir a Fiduciario con una antelación mínima de tres Días Hábiles el instrumento habilitante correspondiente.</w:t>
      </w:r>
    </w:p>
    <w:p w14:paraId="2B7DBE00"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(d) Deberá dejarse constancia en el acta de los participantes, el lugar en el que se encuentran, el carácter en que lo hicieron, y el sistema utilizado.</w:t>
      </w:r>
    </w:p>
    <w:p w14:paraId="11EECA30" w14:textId="23FF8D02"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 xml:space="preserve">(e) (i) Para la constitución de la Asamblea Ordinaria (a efectos de que exprese su voluntad una Mayoría Ordinaria de Beneficiarios), en primera convocatoria el quórum será de titulares que tengan o representen la mayoría simple del valor nominal de los </w:t>
      </w:r>
      <w:r w:rsidR="00E05EDF">
        <w:rPr>
          <w:rFonts w:ascii="Times New Roman" w:hAnsi="Times New Roman"/>
          <w:color w:val="0D0D0D" w:themeColor="text1" w:themeTint="F2"/>
          <w:sz w:val="22"/>
          <w:lang w:val="es-AR"/>
        </w:rPr>
        <w:t>Valores de Deuda Fiduciaria</w:t>
      </w:r>
      <w:r w:rsidRPr="00DB405C">
        <w:rPr>
          <w:rFonts w:ascii="Times New Roman" w:hAnsi="Times New Roman" w:cs="Times New Roman"/>
          <w:color w:val="0D0D0D" w:themeColor="text1" w:themeTint="F2"/>
          <w:sz w:val="22"/>
          <w:szCs w:val="22"/>
        </w:rPr>
        <w:t xml:space="preserve"> en circulación. En segunda convocatoria el quórum se constituirá cualquiera sea el número de Beneficiarios presentes. Las decisiones en ambos casos se adoptarán por mayoría absoluta de los votos presentes habilitados a votar.  (ii) Para la constitución de la Asamblea Extraordinaria (a efectos de que exprese su voluntad una Mayoría Extraordinaria de Beneficiarios) en primera convocatoria el quórum será de titulares que representen el 60 % (sesenta por ciento) de los </w:t>
      </w:r>
      <w:r w:rsidR="00E05EDF">
        <w:rPr>
          <w:rFonts w:ascii="Times New Roman" w:hAnsi="Times New Roman"/>
          <w:color w:val="0D0D0D" w:themeColor="text1" w:themeTint="F2"/>
          <w:sz w:val="22"/>
          <w:lang w:val="es-AR"/>
        </w:rPr>
        <w:t>Valores de Deuda Fiduciaria</w:t>
      </w:r>
      <w:r w:rsidRPr="00DB405C">
        <w:rPr>
          <w:rFonts w:ascii="Times New Roman" w:hAnsi="Times New Roman" w:cs="Times New Roman"/>
          <w:color w:val="0D0D0D" w:themeColor="text1" w:themeTint="F2"/>
          <w:sz w:val="22"/>
          <w:szCs w:val="22"/>
        </w:rPr>
        <w:t xml:space="preserve"> en circulación y en segunda convocatoria el quórum se constituirá cualquiera sea el número de Beneficiarios presentes. Las decisiones en ambos casos se adoptarán por mayoría absoluta de los votos presentes habilitados a votar.</w:t>
      </w:r>
      <w:r>
        <w:rPr>
          <w:rFonts w:ascii="Times New Roman" w:hAnsi="Times New Roman" w:cs="Times New Roman"/>
          <w:color w:val="0D0D0D" w:themeColor="text1" w:themeTint="F2"/>
          <w:sz w:val="22"/>
          <w:szCs w:val="22"/>
        </w:rPr>
        <w:t xml:space="preserve"> </w:t>
      </w:r>
      <w:r w:rsidRPr="00DB405C">
        <w:rPr>
          <w:rFonts w:ascii="Times New Roman" w:hAnsi="Times New Roman" w:cs="Times New Roman"/>
          <w:color w:val="0D0D0D" w:themeColor="text1" w:themeTint="F2"/>
          <w:sz w:val="22"/>
          <w:szCs w:val="22"/>
        </w:rPr>
        <w:t xml:space="preserve">(iii) Para la constitución de la Asamblea Unánime (a efecto de que exprese su voluntad la unanimidad de los Beneficiarios) el quórum en primera como en segunda convocatoria será de titulares que representen el 100% (cien por ciento) de los </w:t>
      </w:r>
      <w:r w:rsidR="00E05EDF">
        <w:rPr>
          <w:rFonts w:ascii="Times New Roman" w:hAnsi="Times New Roman"/>
          <w:color w:val="0D0D0D" w:themeColor="text1" w:themeTint="F2"/>
          <w:sz w:val="22"/>
          <w:lang w:val="es-AR"/>
        </w:rPr>
        <w:t>Valores de Deuda Fiduciaria</w:t>
      </w:r>
      <w:r w:rsidRPr="00DB405C">
        <w:rPr>
          <w:rFonts w:ascii="Times New Roman" w:hAnsi="Times New Roman" w:cs="Times New Roman"/>
          <w:color w:val="0D0D0D" w:themeColor="text1" w:themeTint="F2"/>
          <w:sz w:val="22"/>
          <w:szCs w:val="22"/>
        </w:rPr>
        <w:t xml:space="preserve"> en circulación. Las decisiones en ambos casos se adoptarán por la unanimidad de los votos presentes habilitados a votar.</w:t>
      </w:r>
    </w:p>
    <w:p w14:paraId="10CF5228" w14:textId="77777777"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(f) Procedimiento de votación: A cada Beneficiario se le asignará un número de orden, una vez concluido el tratamiento de cada punto del orden del día se procederá a realizar la votación comenzando de menor a mayor número de orden.</w:t>
      </w:r>
    </w:p>
    <w:p w14:paraId="7C8F7D47" w14:textId="6A8E989C"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(g) En caso de producirse un desperfecto técnico en el canal de comunicación elegido que no permita al Fiduciario el ingreso al mismo,</w:t>
      </w:r>
      <w:r>
        <w:rPr>
          <w:rFonts w:ascii="Times New Roman" w:hAnsi="Times New Roman" w:cs="Times New Roman"/>
          <w:color w:val="0D0D0D" w:themeColor="text1" w:themeTint="F2"/>
          <w:sz w:val="22"/>
          <w:szCs w:val="22"/>
        </w:rPr>
        <w:t xml:space="preserve"> </w:t>
      </w:r>
      <w:r w:rsidRPr="00DB405C">
        <w:rPr>
          <w:rFonts w:ascii="Times New Roman" w:hAnsi="Times New Roman" w:cs="Times New Roman"/>
          <w:color w:val="0D0D0D" w:themeColor="text1" w:themeTint="F2"/>
          <w:sz w:val="22"/>
          <w:szCs w:val="22"/>
        </w:rPr>
        <w:t>o se interrumpa la transmisión durante el acto asambleario</w:t>
      </w:r>
      <w:r>
        <w:rPr>
          <w:rFonts w:ascii="Times New Roman" w:hAnsi="Times New Roman" w:cs="Times New Roman"/>
          <w:color w:val="0D0D0D" w:themeColor="text1" w:themeTint="F2"/>
          <w:sz w:val="22"/>
          <w:szCs w:val="22"/>
        </w:rPr>
        <w:t>,</w:t>
      </w:r>
      <w:r w:rsidRPr="00DB405C">
        <w:rPr>
          <w:rFonts w:ascii="Times New Roman" w:hAnsi="Times New Roman" w:cs="Times New Roman"/>
          <w:color w:val="0D0D0D" w:themeColor="text1" w:themeTint="F2"/>
          <w:sz w:val="22"/>
          <w:szCs w:val="22"/>
        </w:rPr>
        <w:t xml:space="preserve"> se procederá a realizar una nueva convocatoria y se informará dicha circunstancia a través de la publicación de un hecho relevante en la AIF. </w:t>
      </w:r>
    </w:p>
    <w:p w14:paraId="27C60834" w14:textId="1DD15800" w:rsidR="005F5187" w:rsidRPr="00DB405C" w:rsidRDefault="005F5187" w:rsidP="00DB405C">
      <w:pPr>
        <w:rPr>
          <w:rFonts w:ascii="Times New Roman" w:hAnsi="Times New Roman"/>
          <w:b/>
          <w:color w:val="0D0D0D" w:themeColor="text1" w:themeTint="F2"/>
          <w:sz w:val="22"/>
          <w:szCs w:val="22"/>
        </w:rPr>
      </w:pPr>
      <w:r w:rsidRPr="00DB405C">
        <w:rPr>
          <w:rFonts w:ascii="Times New Roman" w:hAnsi="Times New Roman" w:cs="Times New Roman"/>
          <w:color w:val="0D0D0D" w:themeColor="text1" w:themeTint="F2"/>
          <w:sz w:val="22"/>
          <w:szCs w:val="22"/>
        </w:rPr>
        <w:t xml:space="preserve">(h)El Fiduciario conservará una copia en soporte digital de la reunión por el término de cinco años, la que estará a disposición de la CNV, de los mercados en que estén listados los </w:t>
      </w:r>
      <w:r w:rsidR="00E05EDF">
        <w:rPr>
          <w:rFonts w:ascii="Times New Roman" w:hAnsi="Times New Roman"/>
          <w:color w:val="0D0D0D" w:themeColor="text1" w:themeTint="F2"/>
          <w:sz w:val="22"/>
          <w:lang w:val="es-AR"/>
        </w:rPr>
        <w:t>Valores de Deuda Fiduciaria</w:t>
      </w:r>
      <w:r w:rsidRPr="00DB405C">
        <w:rPr>
          <w:rFonts w:ascii="Times New Roman" w:hAnsi="Times New Roman" w:cs="Times New Roman"/>
          <w:color w:val="0D0D0D" w:themeColor="text1" w:themeTint="F2"/>
          <w:sz w:val="22"/>
          <w:szCs w:val="22"/>
        </w:rPr>
        <w:t>, y de cualquier Beneficiario que la solicite.</w:t>
      </w:r>
    </w:p>
    <w:p w14:paraId="48C1D721" w14:textId="46EB7E03" w:rsidR="005F5187" w:rsidRPr="00DD0C47" w:rsidRDefault="005F5187" w:rsidP="00DB405C">
      <w:pPr>
        <w:rPr>
          <w:rFonts w:ascii="Times New Roman" w:eastAsiaTheme="minorHAnsi" w:hAnsi="Times New Roman" w:cs="Times New Roman"/>
          <w:color w:val="0D0D0D" w:themeColor="text1" w:themeTint="F2"/>
          <w:sz w:val="22"/>
          <w:szCs w:val="22"/>
          <w:lang w:val="es-AR" w:eastAsia="en-US"/>
        </w:rPr>
      </w:pPr>
      <w:r w:rsidRPr="00DB405C">
        <w:rPr>
          <w:rFonts w:ascii="Times New Roman" w:hAnsi="Times New Roman" w:cs="Times New Roman"/>
          <w:color w:val="0D0D0D" w:themeColor="text1" w:themeTint="F2"/>
          <w:sz w:val="22"/>
          <w:szCs w:val="22"/>
        </w:rPr>
        <w:t>Las decisiones adoptadas por los beneficiarios de</w:t>
      </w:r>
      <w:r>
        <w:rPr>
          <w:rFonts w:ascii="Times New Roman" w:hAnsi="Times New Roman" w:cs="Times New Roman"/>
          <w:color w:val="0D0D0D" w:themeColor="text1" w:themeTint="F2"/>
          <w:sz w:val="22"/>
          <w:szCs w:val="22"/>
        </w:rPr>
        <w:t>berán ser publicadas en la AIF.</w:t>
      </w:r>
      <w:r w:rsidRPr="00DB405C">
        <w:rPr>
          <w:rFonts w:ascii="Times New Roman" w:hAnsi="Times New Roman" w:cs="Times New Roman"/>
          <w:color w:val="0D0D0D" w:themeColor="text1" w:themeTint="F2"/>
          <w:sz w:val="22"/>
          <w:szCs w:val="22"/>
        </w:rPr>
        <w:t xml:space="preserve"> </w:t>
      </w:r>
    </w:p>
    <w:p w14:paraId="7BE26663" w14:textId="77777777" w:rsidR="0050339C" w:rsidRPr="00506990" w:rsidRDefault="0050339C" w:rsidP="00DD0C47">
      <w:pPr>
        <w:autoSpaceDE w:val="0"/>
        <w:autoSpaceDN w:val="0"/>
        <w:adjustRightInd w:val="0"/>
        <w:rPr>
          <w:rFonts w:ascii="Times New Roman" w:hAnsi="Times New Roman"/>
          <w:b/>
          <w:color w:val="0D0D0D" w:themeColor="text1" w:themeTint="F2"/>
          <w:sz w:val="22"/>
          <w:szCs w:val="22"/>
        </w:rPr>
      </w:pPr>
    </w:p>
    <w:p w14:paraId="377EDAE0" w14:textId="76B72A0D" w:rsidR="0050339C" w:rsidRPr="00506990" w:rsidRDefault="0050339C" w:rsidP="0050339C">
      <w:pPr>
        <w:pStyle w:val="Encabezado"/>
        <w:widowControl w:val="0"/>
        <w:suppressAutoHyphens/>
        <w:rPr>
          <w:rFonts w:ascii="Times New Roman" w:hAnsi="Times New Roman"/>
          <w:color w:val="0D0D0D" w:themeColor="text1" w:themeTint="F2"/>
          <w:sz w:val="22"/>
          <w:szCs w:val="22"/>
        </w:rPr>
      </w:pPr>
      <w:r w:rsidRPr="00506990">
        <w:rPr>
          <w:rFonts w:ascii="Times New Roman" w:hAnsi="Times New Roman"/>
          <w:b/>
          <w:color w:val="0D0D0D" w:themeColor="text1" w:themeTint="F2"/>
          <w:sz w:val="22"/>
          <w:szCs w:val="22"/>
        </w:rPr>
        <w:t>Artículo 4.</w:t>
      </w:r>
      <w:r w:rsidR="005F5187">
        <w:rPr>
          <w:rFonts w:ascii="Times New Roman" w:hAnsi="Times New Roman"/>
          <w:b/>
          <w:color w:val="0D0D0D" w:themeColor="text1" w:themeTint="F2"/>
          <w:sz w:val="22"/>
          <w:szCs w:val="22"/>
        </w:rPr>
        <w:t>9</w:t>
      </w:r>
      <w:r w:rsidRPr="00506990">
        <w:rPr>
          <w:rFonts w:ascii="Times New Roman" w:hAnsi="Times New Roman"/>
          <w:b/>
          <w:color w:val="0D0D0D" w:themeColor="text1" w:themeTint="F2"/>
          <w:sz w:val="22"/>
          <w:szCs w:val="22"/>
        </w:rPr>
        <w:t>. Aplicabilidad del Contrato Marco</w:t>
      </w:r>
      <w:r w:rsidRPr="00506990">
        <w:rPr>
          <w:rFonts w:ascii="Times New Roman" w:hAnsi="Times New Roman"/>
          <w:color w:val="0D0D0D" w:themeColor="text1" w:themeTint="F2"/>
          <w:sz w:val="22"/>
          <w:szCs w:val="22"/>
        </w:rPr>
        <w:t xml:space="preserve">. </w:t>
      </w:r>
      <w:r w:rsidRPr="00506990">
        <w:rPr>
          <w:rFonts w:ascii="Times New Roman" w:hAnsi="Times New Roman"/>
          <w:b/>
          <w:bCs/>
          <w:color w:val="0D0D0D" w:themeColor="text1" w:themeTint="F2"/>
          <w:sz w:val="22"/>
          <w:szCs w:val="22"/>
        </w:rPr>
        <w:t xml:space="preserve">Términos no definidos. </w:t>
      </w:r>
      <w:r w:rsidRPr="00506990">
        <w:rPr>
          <w:rFonts w:ascii="Times New Roman" w:hAnsi="Times New Roman"/>
          <w:color w:val="0D0D0D" w:themeColor="text1" w:themeTint="F2"/>
          <w:sz w:val="22"/>
          <w:szCs w:val="22"/>
        </w:rPr>
        <w:t>Todos los aspectos no contemplados en el presente Contrato Suplementario están regidos por las disposiciones del Contrato Marco. Todos los términos en mayúscula no definidos en el presente se encuentran definidos en el Contrato Marco del Programa.</w:t>
      </w:r>
    </w:p>
    <w:p w14:paraId="189FA768" w14:textId="77777777" w:rsidR="0050339C" w:rsidRPr="00506990" w:rsidRDefault="0050339C" w:rsidP="0050339C">
      <w:pPr>
        <w:pStyle w:val="Encabezado"/>
        <w:widowControl w:val="0"/>
        <w:suppressAutoHyphens/>
        <w:rPr>
          <w:rFonts w:ascii="Times New Roman" w:hAnsi="Times New Roman"/>
          <w:color w:val="0D0D0D" w:themeColor="text1" w:themeTint="F2"/>
          <w:sz w:val="22"/>
          <w:szCs w:val="22"/>
        </w:rPr>
      </w:pPr>
    </w:p>
    <w:p w14:paraId="3FE60710" w14:textId="6BD5208B"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Artículo 4.</w:t>
      </w:r>
      <w:r w:rsidR="005F5187">
        <w:rPr>
          <w:rFonts w:ascii="Times New Roman" w:hAnsi="Times New Roman" w:cs="Times New Roman"/>
          <w:b/>
          <w:color w:val="0D0D0D" w:themeColor="text1" w:themeTint="F2"/>
          <w:sz w:val="22"/>
          <w:szCs w:val="22"/>
        </w:rPr>
        <w:t>10</w:t>
      </w:r>
      <w:r w:rsidRPr="00506990">
        <w:rPr>
          <w:rFonts w:ascii="Times New Roman" w:hAnsi="Times New Roman" w:cs="Times New Roman"/>
          <w:b/>
          <w:color w:val="0D0D0D" w:themeColor="text1" w:themeTint="F2"/>
          <w:sz w:val="22"/>
          <w:szCs w:val="22"/>
        </w:rPr>
        <w:t xml:space="preserve">. Solución de Controversias. </w:t>
      </w:r>
      <w:r w:rsidRPr="00506990">
        <w:rPr>
          <w:rFonts w:ascii="Times New Roman" w:hAnsi="Times New Roman" w:cs="Times New Roman"/>
          <w:color w:val="0D0D0D" w:themeColor="text1" w:themeTint="F2"/>
          <w:sz w:val="22"/>
          <w:szCs w:val="22"/>
        </w:rPr>
        <w:t xml:space="preserve">Salvo especificación en contrario en un Contrato Suplementario de Fideicomiso, toda controversia que se suscite entre el Fiduciario, Fiduciantes y/o los Beneficiarios con relación al Contrato Marco o al respectivo Contrato Suplementario de Fideicomiso, su existencia, validez, calificación, interpretación, alcance, cumplimiento o recepción, será dirimida mediante juicio arbitral conforme al arbitraje de derecho, a cuyo fin se someten a la jurisdicción de la Sala con competencia en Mercado de Capitales y Sociedades del Tribunal de Arbitraje General de la Bolsa de Comercio de Rosario (el “Tribunal Arbitral”) y de sus reglamento cuyas disposiciones declaran conocer. </w:t>
      </w:r>
    </w:p>
    <w:p w14:paraId="76A9D92F"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ordinarios de la ciudad de Rosario, renunciando al fuero federal si fuera procedente. </w:t>
      </w:r>
    </w:p>
    <w:p w14:paraId="6CFDE140" w14:textId="732DDBC3"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Sin perjuicio de ello, por su parte los Beneficiarios podrán someter sus controversias en relación a los </w:t>
      </w:r>
      <w:r w:rsidR="00E05EDF">
        <w:rPr>
          <w:rFonts w:ascii="Times New Roman" w:hAnsi="Times New Roman"/>
          <w:color w:val="0D0D0D" w:themeColor="text1" w:themeTint="F2"/>
          <w:sz w:val="22"/>
          <w:lang w:val="es-AR"/>
        </w:rPr>
        <w:t>Valores de Deuda Fiduciaria</w:t>
      </w:r>
      <w:r w:rsidR="00042325" w:rsidRPr="00E52538" w:rsidDel="00042325">
        <w:rPr>
          <w:rFonts w:ascii="Times New Roman" w:hAnsi="Times New Roman"/>
          <w:color w:val="0D0D0D" w:themeColor="text1" w:themeTint="F2"/>
          <w:sz w:val="22"/>
          <w:lang w:val="es-AR"/>
        </w:rPr>
        <w:t xml:space="preserve"> </w:t>
      </w:r>
      <w:r w:rsidRPr="00506990">
        <w:rPr>
          <w:rFonts w:ascii="Times New Roman" w:hAnsi="Times New Roman" w:cs="Times New Roman"/>
          <w:color w:val="0D0D0D" w:themeColor="text1" w:themeTint="F2"/>
          <w:sz w:val="22"/>
          <w:szCs w:val="22"/>
        </w:rPr>
        <w:t>a jurisdicción no exclusiva del Tribunal Arbitral, o bien a la de los tribunales ordinarios de la ciudad de Rosario, a opción exclusiva del tenedor en cuestión. A su vez, en los casos en que las normas vigentes establezcan la acumulación de acciones entabladas con idéntica finalidad ante un solo tribunal, la acumulación se efectuará ante el tribunal judicial.</w:t>
      </w:r>
    </w:p>
    <w:p w14:paraId="62B733C8"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rPr>
      </w:pPr>
    </w:p>
    <w:p w14:paraId="294A7046" w14:textId="6A4E5D05" w:rsidR="0050339C" w:rsidRPr="00506990" w:rsidRDefault="0050339C" w:rsidP="0050339C">
      <w:pPr>
        <w:widowControl w:val="0"/>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Artículo 4.1</w:t>
      </w:r>
      <w:r w:rsidR="005F5187">
        <w:rPr>
          <w:rFonts w:ascii="Times New Roman" w:hAnsi="Times New Roman" w:cs="Times New Roman"/>
          <w:b/>
          <w:color w:val="0D0D0D" w:themeColor="text1" w:themeTint="F2"/>
          <w:sz w:val="22"/>
          <w:szCs w:val="22"/>
        </w:rPr>
        <w:t>1</w:t>
      </w:r>
      <w:r w:rsidRPr="00506990">
        <w:rPr>
          <w:rFonts w:ascii="Times New Roman" w:hAnsi="Times New Roman" w:cs="Times New Roman"/>
          <w:b/>
          <w:color w:val="0D0D0D" w:themeColor="text1" w:themeTint="F2"/>
          <w:sz w:val="22"/>
          <w:szCs w:val="22"/>
        </w:rPr>
        <w:t xml:space="preserve">. Declaraciones y garantías del Fiduciario. </w:t>
      </w:r>
      <w:r w:rsidRPr="00506990">
        <w:rPr>
          <w:rFonts w:ascii="Times New Roman" w:hAnsi="Times New Roman" w:cs="Times New Roman"/>
          <w:color w:val="0D0D0D" w:themeColor="text1" w:themeTint="F2"/>
          <w:sz w:val="22"/>
          <w:szCs w:val="22"/>
        </w:rPr>
        <w:t>El Fiduciario declara y garantiza lo siguiente:</w:t>
      </w:r>
    </w:p>
    <w:p w14:paraId="27C2077F"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es una entidad existente y debidamente registrada de conformidad con las disposiciones aplicables a su constitución.</w:t>
      </w:r>
    </w:p>
    <w:p w14:paraId="59A65359"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Programa se encuentra vigente y la autorización oportunamente conferida al mismo por la CNV, permanece plenamente válida y en todos sus efectos. </w:t>
      </w:r>
    </w:p>
    <w:p w14:paraId="5CD870B8"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goza de todas las facultades necesarias para suscribir este Contrato Suplementario y asumir y cumplir válidamente sus obligaciones previstas en este Contrato Suplementario.</w:t>
      </w:r>
    </w:p>
    <w:p w14:paraId="7669388E"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ha adoptado todas las resoluciones necesarias a efectos de celebrar válidamente este Contrato Suplementario.</w:t>
      </w:r>
    </w:p>
    <w:p w14:paraId="3DAB8723"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este Contrato Suplementario contiene disposiciones válidas y vinculantes para el Fiduciario, exigibles a éste de conformidad con las disposiciones de este Contrato Suplementario.</w:t>
      </w:r>
    </w:p>
    <w:p w14:paraId="786C24C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la celebración y cumplimiento de este Contrato Suplementario no viola las disposiciones de ninguna ley, decreto, reglamentación o resolución aplicable a la capacidad del Fiduciario para cumplir sus obligaciones bajo el Programa, ni bajo este Contrato Suplementario, ni ningún acuerdo, contrato o convenio que el Fiduciario haya celebrado.</w:t>
      </w:r>
    </w:p>
    <w:p w14:paraId="67CACE3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Fiduciario es una entidad autorizada a operar como tal por la Comisión Nacional de Valores. </w:t>
      </w:r>
    </w:p>
    <w:p w14:paraId="6A54EBC4"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a juicio del Fiduciario no existen hechos relevantes que puedan afectar la estructura fiduciaria.</w:t>
      </w:r>
    </w:p>
    <w:p w14:paraId="56E5A05C" w14:textId="77777777" w:rsidR="0050339C" w:rsidRPr="00506990" w:rsidRDefault="0050339C" w:rsidP="0050339C">
      <w:pPr>
        <w:widowControl w:val="0"/>
        <w:suppressAutoHyphens/>
        <w:rPr>
          <w:rFonts w:ascii="Times New Roman" w:hAnsi="Times New Roman" w:cs="Times New Roman"/>
          <w:b/>
          <w:color w:val="0D0D0D" w:themeColor="text1" w:themeTint="F2"/>
          <w:sz w:val="22"/>
          <w:szCs w:val="22"/>
          <w:lang w:val="es-AR"/>
        </w:rPr>
      </w:pPr>
    </w:p>
    <w:p w14:paraId="4245C150" w14:textId="5B5371A4"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Artículo 4.1</w:t>
      </w:r>
      <w:r w:rsidR="005F5187">
        <w:rPr>
          <w:rFonts w:ascii="Times New Roman" w:hAnsi="Times New Roman" w:cs="Times New Roman"/>
          <w:b/>
          <w:color w:val="0D0D0D" w:themeColor="text1" w:themeTint="F2"/>
          <w:sz w:val="22"/>
          <w:szCs w:val="22"/>
          <w:lang w:val="es-AR"/>
        </w:rPr>
        <w:t>2</w:t>
      </w:r>
      <w:r w:rsidRPr="00506990">
        <w:rPr>
          <w:rFonts w:ascii="Times New Roman" w:hAnsi="Times New Roman" w:cs="Times New Roman"/>
          <w:b/>
          <w:color w:val="0D0D0D" w:themeColor="text1" w:themeTint="F2"/>
          <w:sz w:val="22"/>
          <w:szCs w:val="22"/>
          <w:lang w:val="es-AR"/>
        </w:rPr>
        <w:t xml:space="preserve">. Rendición de Cuentas. </w:t>
      </w:r>
      <w:r w:rsidRPr="00506990">
        <w:rPr>
          <w:rFonts w:ascii="Times New Roman" w:hAnsi="Times New Roman" w:cs="Times New Roman"/>
          <w:color w:val="0D0D0D" w:themeColor="text1" w:themeTint="F2"/>
          <w:sz w:val="22"/>
          <w:szCs w:val="22"/>
          <w:lang w:val="es-AR"/>
        </w:rPr>
        <w:t>El Fiduciario rendirá cuentas de su gestión a los beneficiarios en los términos de los artículos 37 y 38 del Capítulo IV Título V de la Normas de la CNV, la Cláusula Trigésimo Sexta, Sección Séptima del Contrato Marco y el artículo 1.675 del Código Civil y Comercial de la Nación. Por aplicación de lo dispuesto en el artículo 862 del Código Civil y Comercial de la Nación, transcurridos treinta (30) días desde la publicación de la información indicada en los artículos anteriores sin que existiera impugnación por medio fehaciente (dirigida esta última al Fiduciario) por parte de un Beneficiario, se considerará que las cuentas rendidas son correctas, salvo errores de cálculo que pueden ser observados dentro del plazo de caducidad de un año.</w:t>
      </w:r>
    </w:p>
    <w:p w14:paraId="0915F661"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p>
    <w:p w14:paraId="2A999253" w14:textId="67656806"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En la Ciudad de Rosario</w:t>
      </w:r>
      <w:r w:rsidRPr="00506990">
        <w:rPr>
          <w:rFonts w:ascii="Times New Roman" w:hAnsi="Times New Roman"/>
          <w:color w:val="0D0D0D" w:themeColor="text1" w:themeTint="F2"/>
          <w:sz w:val="22"/>
          <w:szCs w:val="22"/>
        </w:rPr>
        <w:t xml:space="preserve">, a los </w:t>
      </w:r>
      <w:r w:rsidRPr="00506990">
        <w:rPr>
          <w:rFonts w:ascii="Times New Roman" w:hAnsi="Times New Roman"/>
          <w:color w:val="0D0D0D" w:themeColor="text1" w:themeTint="F2"/>
          <w:sz w:val="22"/>
          <w:szCs w:val="22"/>
          <w:highlight w:val="yellow"/>
        </w:rPr>
        <w:t>[__]</w:t>
      </w:r>
      <w:r w:rsidRPr="00506990">
        <w:rPr>
          <w:rFonts w:ascii="Times New Roman" w:hAnsi="Times New Roman"/>
          <w:color w:val="0D0D0D" w:themeColor="text1" w:themeTint="F2"/>
          <w:sz w:val="22"/>
          <w:szCs w:val="22"/>
        </w:rPr>
        <w:t xml:space="preserve"> días del mes de </w:t>
      </w:r>
      <w:r w:rsidRPr="00506990">
        <w:rPr>
          <w:rFonts w:ascii="Times New Roman" w:hAnsi="Times New Roman"/>
          <w:color w:val="0D0D0D" w:themeColor="text1" w:themeTint="F2"/>
          <w:sz w:val="22"/>
          <w:szCs w:val="22"/>
          <w:highlight w:val="yellow"/>
        </w:rPr>
        <w:t>[_]</w:t>
      </w:r>
      <w:r w:rsidRPr="00506990">
        <w:rPr>
          <w:rFonts w:ascii="Times New Roman" w:hAnsi="Times New Roman"/>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de </w:t>
      </w:r>
      <w:r w:rsidR="00124F95" w:rsidRPr="00506990">
        <w:rPr>
          <w:rFonts w:ascii="Times New Roman" w:hAnsi="Times New Roman"/>
          <w:iCs/>
          <w:color w:val="0D0D0D" w:themeColor="text1" w:themeTint="F2"/>
          <w:sz w:val="22"/>
          <w:szCs w:val="22"/>
        </w:rPr>
        <w:t>20</w:t>
      </w:r>
      <w:r w:rsidR="00124F95">
        <w:rPr>
          <w:rFonts w:ascii="Times New Roman" w:hAnsi="Times New Roman"/>
          <w:iCs/>
          <w:color w:val="0D0D0D" w:themeColor="text1" w:themeTint="F2"/>
          <w:sz w:val="22"/>
          <w:szCs w:val="22"/>
        </w:rPr>
        <w:t>23</w:t>
      </w:r>
      <w:r w:rsidR="00124F95" w:rsidRPr="00506990">
        <w:rPr>
          <w:rFonts w:ascii="Times New Roman" w:hAnsi="Times New Roman"/>
          <w:iCs/>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se suscriben </w:t>
      </w:r>
      <w:r w:rsidR="000E52B7">
        <w:rPr>
          <w:rFonts w:ascii="Times New Roman" w:hAnsi="Times New Roman"/>
          <w:iCs/>
          <w:color w:val="0D0D0D" w:themeColor="text1" w:themeTint="F2"/>
          <w:sz w:val="22"/>
          <w:szCs w:val="22"/>
        </w:rPr>
        <w:t>cuatro</w:t>
      </w:r>
      <w:r w:rsidR="000E52B7" w:rsidRPr="00506990">
        <w:rPr>
          <w:rFonts w:ascii="Times New Roman" w:hAnsi="Times New Roman"/>
          <w:iCs/>
          <w:color w:val="0D0D0D" w:themeColor="text1" w:themeTint="F2"/>
          <w:sz w:val="22"/>
          <w:szCs w:val="22"/>
        </w:rPr>
        <w:t xml:space="preserve"> </w:t>
      </w:r>
      <w:r w:rsidRPr="00506990">
        <w:rPr>
          <w:rFonts w:ascii="Times New Roman" w:hAnsi="Times New Roman"/>
          <w:iCs/>
          <w:color w:val="0D0D0D" w:themeColor="text1" w:themeTint="F2"/>
          <w:sz w:val="22"/>
          <w:szCs w:val="22"/>
        </w:rPr>
        <w:t>ejemplares de un mismo tenor y a un sólo efecto</w:t>
      </w:r>
      <w:r w:rsidR="000E52B7">
        <w:rPr>
          <w:rFonts w:ascii="Times New Roman" w:hAnsi="Times New Roman"/>
          <w:iCs/>
          <w:color w:val="0D0D0D" w:themeColor="text1" w:themeTint="F2"/>
          <w:sz w:val="22"/>
          <w:szCs w:val="22"/>
        </w:rPr>
        <w:t>, uno para cada una de las Partes y uno para ser presentado ante la Comisión Nacional de Valores</w:t>
      </w:r>
      <w:r w:rsidRPr="00506990">
        <w:rPr>
          <w:rFonts w:ascii="Times New Roman" w:hAnsi="Times New Roman"/>
          <w:iCs/>
          <w:color w:val="0D0D0D" w:themeColor="text1" w:themeTint="F2"/>
          <w:sz w:val="22"/>
          <w:szCs w:val="22"/>
        </w:rPr>
        <w:t>.</w:t>
      </w:r>
    </w:p>
    <w:p w14:paraId="608F3EA3"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7262CDCD" w14:textId="77777777" w:rsidR="0050339C" w:rsidRPr="00506990" w:rsidRDefault="0050339C" w:rsidP="0050339C">
      <w:pPr>
        <w:rPr>
          <w:rFonts w:ascii="Times New Roman" w:hAnsi="Times New Roman" w:cs="Times New Roman"/>
          <w:color w:val="0D0D0D"/>
          <w:sz w:val="20"/>
          <w:lang w:val="es-ES"/>
        </w:rPr>
      </w:pPr>
      <w:r w:rsidRPr="00506990">
        <w:rPr>
          <w:rFonts w:ascii="Times New Roman" w:hAnsi="Times New Roman" w:cs="Times New Roman"/>
          <w:color w:val="0D0D0D"/>
          <w:sz w:val="20"/>
          <w:lang w:val="es-ES"/>
        </w:rPr>
        <w:t xml:space="preserve">Por </w:t>
      </w:r>
      <w:r w:rsidRPr="00506990">
        <w:rPr>
          <w:rFonts w:ascii="Times New Roman" w:hAnsi="Times New Roman" w:cs="Times New Roman"/>
          <w:b/>
          <w:color w:val="0D0D0D"/>
          <w:sz w:val="20"/>
          <w:lang w:val="es-ES"/>
        </w:rPr>
        <w:t>Rosario Administradora Sociedad Fiduciaria S.A.</w:t>
      </w:r>
      <w:r w:rsidRPr="00506990">
        <w:rPr>
          <w:rFonts w:ascii="Times New Roman" w:hAnsi="Times New Roman" w:cs="Times New Roman"/>
          <w:b/>
          <w:bCs/>
          <w:color w:val="0D0D0D"/>
          <w:sz w:val="20"/>
          <w:szCs w:val="20"/>
          <w:lang w:val="es-ES"/>
        </w:rPr>
        <w:t xml:space="preserve"> </w:t>
      </w:r>
    </w:p>
    <w:p w14:paraId="537E2277" w14:textId="77777777" w:rsidR="0050339C" w:rsidRPr="00506990" w:rsidRDefault="0050339C" w:rsidP="0050339C">
      <w:pPr>
        <w:widowControl w:val="0"/>
        <w:suppressAutoHyphens/>
        <w:rPr>
          <w:rFonts w:ascii="Times New Roman" w:hAnsi="Times New Roman" w:cs="Times New Roman"/>
          <w:color w:val="0D0D0D"/>
          <w:sz w:val="20"/>
          <w:szCs w:val="20"/>
          <w:lang w:val="es-AR"/>
        </w:rPr>
      </w:pPr>
      <w:r w:rsidRPr="00506990">
        <w:rPr>
          <w:rFonts w:ascii="Times New Roman" w:hAnsi="Times New Roman" w:cs="Times New Roman"/>
          <w:color w:val="0D0D0D"/>
          <w:sz w:val="20"/>
          <w:szCs w:val="20"/>
          <w:lang w:val="es-AR"/>
        </w:rPr>
        <w:t>como Fiduciario</w:t>
      </w:r>
    </w:p>
    <w:tbl>
      <w:tblPr>
        <w:tblW w:w="0" w:type="auto"/>
        <w:tblLayout w:type="fixed"/>
        <w:tblCellMar>
          <w:left w:w="70" w:type="dxa"/>
          <w:right w:w="70" w:type="dxa"/>
        </w:tblCellMar>
        <w:tblLook w:val="04A0" w:firstRow="1" w:lastRow="0" w:firstColumn="1" w:lastColumn="0" w:noHBand="0" w:noVBand="1"/>
      </w:tblPr>
      <w:tblGrid>
        <w:gridCol w:w="4531"/>
        <w:gridCol w:w="4113"/>
      </w:tblGrid>
      <w:tr w:rsidR="0050339C" w:rsidRPr="00506990" w14:paraId="598A8624" w14:textId="77777777" w:rsidTr="0098446E">
        <w:trPr>
          <w:trHeight w:val="1381"/>
        </w:trPr>
        <w:tc>
          <w:tcPr>
            <w:tcW w:w="4531" w:type="dxa"/>
          </w:tcPr>
          <w:p w14:paraId="28FD05C6"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0DD34EE8"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7E86C2D0"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12ECB008"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1D29F029"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6CEF12C8" w14:textId="77777777" w:rsidR="00DD0C47" w:rsidRPr="00506990" w:rsidRDefault="00DD0C47" w:rsidP="00DD0C47">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2AB08435" w14:textId="77777777" w:rsidR="0050339C" w:rsidRPr="00506990" w:rsidRDefault="00DD0C47" w:rsidP="0098446E">
            <w:pPr>
              <w:pStyle w:val="Piedepgina"/>
              <w:spacing w:line="360" w:lineRule="auto"/>
              <w:jc w:val="left"/>
              <w:rPr>
                <w:rFonts w:ascii="Times New Roman" w:eastAsia="Times New Roman" w:hAnsi="Times New Roman"/>
                <w:color w:val="0D0D0D"/>
                <w:lang w:val="es-AR" w:eastAsia="en-US"/>
              </w:rPr>
            </w:pPr>
            <w:r w:rsidRPr="00506990">
              <w:rPr>
                <w:rFonts w:ascii="Times New Roman" w:hAnsi="Times New Roman"/>
                <w:color w:val="0D0D0D"/>
                <w:lang w:eastAsia="en-US"/>
              </w:rPr>
              <w:t>Cargo:</w:t>
            </w:r>
            <w:r>
              <w:rPr>
                <w:rFonts w:ascii="Times New Roman" w:hAnsi="Times New Roman"/>
                <w:color w:val="0D0D0D"/>
                <w:lang w:eastAsia="en-US"/>
              </w:rPr>
              <w:t xml:space="preserve"> </w:t>
            </w:r>
            <w:r w:rsidRPr="00506990">
              <w:rPr>
                <w:rFonts w:ascii="Times New Roman" w:hAnsi="Times New Roman"/>
                <w:color w:val="0D0D0D"/>
                <w:lang w:eastAsia="en-US"/>
              </w:rPr>
              <w:t>Apoderado</w:t>
            </w:r>
            <w:r w:rsidRPr="00506990" w:rsidDel="00DD0C47">
              <w:rPr>
                <w:rFonts w:ascii="Times New Roman" w:hAnsi="Times New Roman"/>
                <w:color w:val="0D0D0D"/>
                <w:lang w:eastAsia="en-US"/>
              </w:rPr>
              <w:t xml:space="preserve"> </w:t>
            </w:r>
            <w:r w:rsidR="0050339C" w:rsidRPr="00506990">
              <w:rPr>
                <w:rFonts w:ascii="Times New Roman" w:hAnsi="Times New Roman"/>
                <w:color w:val="0D0D0D"/>
                <w:lang w:eastAsia="en-US"/>
              </w:rPr>
              <w:tab/>
            </w:r>
            <w:r w:rsidR="0050339C" w:rsidRPr="00506990">
              <w:rPr>
                <w:rFonts w:ascii="Times New Roman" w:hAnsi="Times New Roman"/>
                <w:color w:val="0D0D0D"/>
                <w:lang w:eastAsia="en-US"/>
              </w:rPr>
              <w:tab/>
            </w:r>
          </w:p>
        </w:tc>
        <w:tc>
          <w:tcPr>
            <w:tcW w:w="4113" w:type="dxa"/>
          </w:tcPr>
          <w:p w14:paraId="50CCC157"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A220982"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6D3B76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3311D26"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6E38365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7D8A556A"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3EFBB639"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Cargo: Apoderado</w:t>
            </w:r>
          </w:p>
        </w:tc>
      </w:tr>
    </w:tbl>
    <w:p w14:paraId="32490053" w14:textId="77777777" w:rsidR="00DD0C47" w:rsidRDefault="00DD0C47" w:rsidP="0050339C">
      <w:pPr>
        <w:rPr>
          <w:rFonts w:ascii="Times New Roman" w:hAnsi="Times New Roman" w:cs="Times New Roman"/>
          <w:color w:val="0D0D0D"/>
          <w:sz w:val="20"/>
          <w:szCs w:val="20"/>
        </w:rPr>
      </w:pPr>
    </w:p>
    <w:p w14:paraId="359E438C"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Bazar Avenida</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13923212"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50339C" w:rsidRPr="00506990" w14:paraId="1C7A76E3" w14:textId="77777777" w:rsidTr="0098446E">
        <w:tc>
          <w:tcPr>
            <w:tcW w:w="4322" w:type="dxa"/>
          </w:tcPr>
          <w:p w14:paraId="6A9798B4"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4CA2C1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B0B8F54"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35868333"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046414C5"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0E7D89D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011E6A8F"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 xml:space="preserve">Cargo: </w:t>
            </w:r>
          </w:p>
        </w:tc>
        <w:tc>
          <w:tcPr>
            <w:tcW w:w="4322" w:type="dxa"/>
          </w:tcPr>
          <w:p w14:paraId="06EA94D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p>
          <w:p w14:paraId="705BD77D"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0E66B948"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15DEB96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12FA23B" w14:textId="77777777" w:rsidR="0050339C" w:rsidRDefault="0050339C" w:rsidP="0050339C">
      <w:pPr>
        <w:pStyle w:val="Encabezado"/>
        <w:suppressLineNumbers/>
        <w:suppressAutoHyphens/>
        <w:rPr>
          <w:rFonts w:ascii="Times New Roman" w:hAnsi="Times New Roman"/>
          <w:iCs/>
          <w:color w:val="0D0D0D" w:themeColor="text1" w:themeTint="F2"/>
          <w:sz w:val="22"/>
          <w:szCs w:val="22"/>
        </w:rPr>
      </w:pPr>
    </w:p>
    <w:p w14:paraId="3B6F7B04"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Consumo</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3ECF0A2A"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2A2B1C" w:rsidRPr="00506990" w14:paraId="02663AE1" w14:textId="77777777" w:rsidTr="0098446E">
        <w:tc>
          <w:tcPr>
            <w:tcW w:w="4322" w:type="dxa"/>
          </w:tcPr>
          <w:p w14:paraId="27C5D290" w14:textId="77777777" w:rsidR="002A2B1C" w:rsidRDefault="002A2B1C" w:rsidP="00E05B63">
            <w:pPr>
              <w:spacing w:line="360" w:lineRule="auto"/>
              <w:rPr>
                <w:rFonts w:ascii="Times New Roman" w:hAnsi="Times New Roman" w:cs="Times New Roman"/>
                <w:color w:val="0D0D0D"/>
                <w:sz w:val="20"/>
                <w:szCs w:val="20"/>
                <w:lang w:val="es-AR" w:eastAsia="en-US"/>
              </w:rPr>
            </w:pPr>
          </w:p>
          <w:p w14:paraId="6B2BA7F7" w14:textId="77777777" w:rsidR="00DD0C47" w:rsidRDefault="00DD0C47" w:rsidP="00E05B63">
            <w:pPr>
              <w:spacing w:line="360" w:lineRule="auto"/>
              <w:rPr>
                <w:rFonts w:ascii="Times New Roman" w:hAnsi="Times New Roman" w:cs="Times New Roman"/>
                <w:color w:val="0D0D0D"/>
                <w:sz w:val="20"/>
                <w:szCs w:val="20"/>
                <w:lang w:val="es-AR" w:eastAsia="en-US"/>
              </w:rPr>
            </w:pPr>
          </w:p>
          <w:p w14:paraId="04D79DC7" w14:textId="77777777" w:rsidR="00DD0C47" w:rsidRPr="00506990" w:rsidRDefault="00DD0C47" w:rsidP="00E05B63">
            <w:pPr>
              <w:spacing w:line="360" w:lineRule="auto"/>
              <w:rPr>
                <w:rFonts w:ascii="Times New Roman" w:hAnsi="Times New Roman" w:cs="Times New Roman"/>
                <w:color w:val="0D0D0D"/>
                <w:sz w:val="20"/>
                <w:szCs w:val="20"/>
                <w:lang w:val="es-AR" w:eastAsia="en-US"/>
              </w:rPr>
            </w:pPr>
          </w:p>
          <w:p w14:paraId="5ECC9643"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69AD604E"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3B54739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 xml:space="preserve">Cargo: </w:t>
            </w:r>
          </w:p>
        </w:tc>
        <w:tc>
          <w:tcPr>
            <w:tcW w:w="4322" w:type="dxa"/>
          </w:tcPr>
          <w:p w14:paraId="31E441BA"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p>
          <w:p w14:paraId="1CBA416F"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306CF007"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5E4118E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6ED8A1B" w14:textId="77777777" w:rsidR="002A2B1C" w:rsidRPr="00506990" w:rsidRDefault="002A2B1C" w:rsidP="0050339C">
      <w:pPr>
        <w:pStyle w:val="Encabezado"/>
        <w:suppressLineNumbers/>
        <w:suppressAutoHyphens/>
        <w:rPr>
          <w:rFonts w:ascii="Times New Roman" w:hAnsi="Times New Roman"/>
          <w:iCs/>
          <w:color w:val="0D0D0D" w:themeColor="text1" w:themeTint="F2"/>
          <w:sz w:val="22"/>
          <w:szCs w:val="22"/>
        </w:rPr>
      </w:pPr>
    </w:p>
    <w:p w14:paraId="01D7E26A"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5215B441"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w:t>
      </w:r>
    </w:p>
    <w:p w14:paraId="25B100DA"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Diario de Cobranzas</w:t>
      </w:r>
    </w:p>
    <w:p w14:paraId="127A7082" w14:textId="77777777" w:rsidR="0050339C" w:rsidRPr="00506990" w:rsidRDefault="0050339C" w:rsidP="0050339C">
      <w:pPr>
        <w:pStyle w:val="Encabezado"/>
        <w:suppressLineNumbers/>
        <w:suppressAutoHyphens/>
        <w:jc w:val="center"/>
        <w:rPr>
          <w:rFonts w:ascii="Times New Roman" w:hAnsi="Times New Roman"/>
          <w:iCs/>
          <w:color w:val="0D0D0D" w:themeColor="text1" w:themeTint="F2"/>
          <w:sz w:val="22"/>
          <w:szCs w:val="22"/>
          <w:lang w:val="es-AR"/>
        </w:rPr>
      </w:pPr>
      <w:r w:rsidRPr="00506990">
        <w:rPr>
          <w:rFonts w:ascii="Times New Roman" w:hAnsi="Times New Roman"/>
          <w:b/>
          <w:iCs/>
          <w:color w:val="0D0D0D" w:themeColor="text1" w:themeTint="F2"/>
          <w:sz w:val="22"/>
          <w:szCs w:val="22"/>
          <w:lang w:val="es-AR"/>
        </w:rPr>
        <w:t>Cuentas Elegidas / Determinadas</w:t>
      </w:r>
    </w:p>
    <w:p w14:paraId="7E3ADF6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33984FE6"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753E054A"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675DE6CF"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186C880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16AABBC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2EF1745E"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0009F5CC"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192736B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106A5596"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lang w:val="es-AR"/>
        </w:rPr>
      </w:pPr>
    </w:p>
    <w:p w14:paraId="5A62137B"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3.5.1</w:t>
      </w:r>
    </w:p>
    <w:p w14:paraId="7F9241F8"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Mensual de Cobranza</w:t>
      </w:r>
    </w:p>
    <w:p w14:paraId="28F9D17D" w14:textId="77777777" w:rsidR="0050339C" w:rsidRPr="00506990" w:rsidRDefault="0050339C" w:rsidP="0050339C">
      <w:pPr>
        <w:pStyle w:val="Encabezado"/>
        <w:suppressLineNumbers/>
        <w:rPr>
          <w:rFonts w:ascii="Times New Roman" w:hAnsi="Times New Roman"/>
          <w:b/>
          <w:i/>
          <w:iCs/>
          <w:color w:val="0D0D0D" w:themeColor="text1" w:themeTint="F2"/>
          <w:sz w:val="22"/>
          <w:szCs w:val="22"/>
          <w:lang w:val="es-AR"/>
        </w:rPr>
      </w:pPr>
    </w:p>
    <w:p w14:paraId="12E66EC5"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2D34448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4936858D"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4BAE522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7991A90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640D969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7856987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2D24BC6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755C1F2B"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 xml:space="preserve">Calle </w:t>
      </w:r>
      <w:r w:rsidR="009B5242" w:rsidRPr="009B5242">
        <w:rPr>
          <w:rFonts w:ascii="Times New Roman" w:hAnsi="Times New Roman" w:cs="Times New Roman"/>
          <w:color w:val="0D0D0D" w:themeColor="text1" w:themeTint="F2"/>
          <w:sz w:val="22"/>
          <w:szCs w:val="22"/>
          <w:lang w:val="pt-BR" w:eastAsia="en-US"/>
        </w:rPr>
        <w:t>Cayetano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Cayetano Santi</w:t>
      </w:r>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Daniel H. Zubillaga</w:t>
      </w:r>
      <w:r w:rsidR="005034D2">
        <w:rPr>
          <w:rFonts w:ascii="Times New Roman" w:hAnsi="Times New Roman" w:cs="Times New Roman"/>
          <w:b/>
          <w:color w:val="0D0D0D" w:themeColor="text1" w:themeTint="F2"/>
          <w:sz w:val="22"/>
          <w:szCs w:val="22"/>
        </w:rPr>
        <w:t>, Victor Lamberti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r w:rsidRPr="006A1313">
              <w:rPr>
                <w:rFonts w:ascii="Times New Roman" w:hAnsi="Times New Roman"/>
                <w:b/>
                <w:color w:val="0D0D0D" w:themeColor="text1" w:themeTint="F2"/>
                <w:sz w:val="22"/>
                <w:szCs w:val="22"/>
                <w:lang w:val="es-AR"/>
              </w:rPr>
              <w:t xml:space="preserve">StoneX Securities S.A. </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80"/>
      <w:footerReference w:type="default" r:id="rId8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C792" w14:textId="77777777" w:rsidR="00EA0675" w:rsidRDefault="00EA0675">
      <w:r>
        <w:separator/>
      </w:r>
    </w:p>
  </w:endnote>
  <w:endnote w:type="continuationSeparator" w:id="0">
    <w:p w14:paraId="6367E22B" w14:textId="77777777" w:rsidR="00EA0675" w:rsidRDefault="00EA0675">
      <w:r>
        <w:continuationSeparator/>
      </w:r>
    </w:p>
  </w:endnote>
  <w:endnote w:type="continuationNotice" w:id="1">
    <w:p w14:paraId="2D2B54D5" w14:textId="77777777" w:rsidR="00EA0675" w:rsidRDefault="00EA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A899" w14:textId="77777777" w:rsidR="00521F47" w:rsidRDefault="00521F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B9661" w14:textId="77777777" w:rsidR="00EA0675" w:rsidRDefault="00EA0675">
      <w:r>
        <w:separator/>
      </w:r>
    </w:p>
  </w:footnote>
  <w:footnote w:type="continuationSeparator" w:id="0">
    <w:p w14:paraId="098B0102" w14:textId="77777777" w:rsidR="00EA0675" w:rsidRDefault="00EA0675">
      <w:r>
        <w:continuationSeparator/>
      </w:r>
    </w:p>
  </w:footnote>
  <w:footnote w:type="continuationNotice" w:id="1">
    <w:p w14:paraId="3B1E5502" w14:textId="77777777" w:rsidR="00EA0675" w:rsidRDefault="00EA0675"/>
  </w:footnote>
  <w:footnote w:id="2">
    <w:p w14:paraId="09C8E16F" w14:textId="77777777" w:rsidR="00521F47" w:rsidRPr="004B7932" w:rsidRDefault="00521F47" w:rsidP="00A62AAE">
      <w:pPr>
        <w:pStyle w:val="Textonotapie"/>
        <w:rPr>
          <w:rFonts w:ascii="Times New Roman" w:hAnsi="Times New Roman"/>
          <w:sz w:val="16"/>
          <w:szCs w:val="16"/>
          <w:lang w:val="es-AR"/>
        </w:rPr>
      </w:pPr>
      <w:r w:rsidRPr="004B7932">
        <w:rPr>
          <w:rStyle w:val="Refdenotaalpie"/>
          <w:rFonts w:ascii="Times New Roman" w:hAnsi="Times New Roman"/>
        </w:rPr>
        <w:footnoteRef/>
      </w:r>
      <w:r w:rsidRPr="004B7932">
        <w:rPr>
          <w:rFonts w:ascii="Times New Roman" w:hAnsi="Times New Roman"/>
        </w:rPr>
        <w:t xml:space="preserve"> </w:t>
      </w:r>
      <w:r w:rsidRPr="004B7932">
        <w:rPr>
          <w:rFonts w:ascii="Times New Roman" w:hAnsi="Times New Roman"/>
          <w:sz w:val="16"/>
          <w:szCs w:val="16"/>
          <w:lang w:val="es-AR"/>
        </w:rPr>
        <w:t xml:space="preserve">Actual Art. 73 producto del T.O. 2019  </w:t>
      </w:r>
    </w:p>
  </w:footnote>
  <w:footnote w:id="3">
    <w:p w14:paraId="7A7D14E5" w14:textId="77777777" w:rsidR="00521F47" w:rsidRPr="004B7932" w:rsidRDefault="00521F47">
      <w:pPr>
        <w:pStyle w:val="Textonotapie"/>
        <w:rPr>
          <w:lang w:val="es-AR"/>
        </w:rPr>
      </w:pPr>
      <w:r w:rsidRPr="004B7932">
        <w:rPr>
          <w:rStyle w:val="Refdenotaalpie"/>
          <w:rFonts w:ascii="Times New Roman" w:hAnsi="Times New Roman"/>
        </w:rPr>
        <w:footnoteRef/>
      </w:r>
      <w:r w:rsidRPr="004B7932">
        <w:rPr>
          <w:rFonts w:ascii="Times New Roman" w:hAnsi="Times New Roman"/>
        </w:rPr>
        <w:t xml:space="preserve"> </w:t>
      </w:r>
      <w:r w:rsidRPr="004B7932">
        <w:rPr>
          <w:rFonts w:ascii="Times New Roman" w:hAnsi="Times New Roman"/>
          <w:sz w:val="16"/>
          <w:szCs w:val="16"/>
          <w:lang w:val="es-AR"/>
        </w:rPr>
        <w:t>Artículo 205 del Título XII (Impulso a la apertura de capital y al desarrollo de proyectos inmobiliarios y de infraestructura). La negrita nos pertenece.</w:t>
      </w:r>
    </w:p>
  </w:footnote>
  <w:footnote w:id="4">
    <w:p w14:paraId="2B979086" w14:textId="77777777" w:rsidR="00521F47" w:rsidRPr="00427F9F" w:rsidRDefault="00521F47">
      <w:pPr>
        <w:pStyle w:val="Textonotapie"/>
        <w:rPr>
          <w:rFonts w:ascii="Times New Roman" w:hAnsi="Times New Roman"/>
          <w:lang w:val="es-AR"/>
        </w:rPr>
      </w:pPr>
      <w:r w:rsidRPr="004B7932">
        <w:rPr>
          <w:rStyle w:val="Refdenotaalpie"/>
          <w:rFonts w:ascii="Times New Roman" w:hAnsi="Times New Roman"/>
        </w:rPr>
        <w:footnoteRef/>
      </w:r>
      <w:r w:rsidRPr="004B7932">
        <w:rPr>
          <w:rFonts w:ascii="Times New Roman" w:hAnsi="Times New Roman"/>
        </w:rPr>
        <w:t xml:space="preserve"> </w:t>
      </w:r>
      <w:r w:rsidRPr="004B7932">
        <w:rPr>
          <w:rFonts w:ascii="Times New Roman" w:hAnsi="Times New Roman"/>
          <w:sz w:val="16"/>
          <w:szCs w:val="16"/>
          <w:lang w:val="es-AR"/>
        </w:rPr>
        <w:t>Conforme Decreto N° 382/2019 (B.O. 29/05/2019), artículo 2.</w:t>
      </w:r>
    </w:p>
  </w:footnote>
  <w:footnote w:id="5">
    <w:p w14:paraId="70903DEB" w14:textId="77777777" w:rsidR="00521F47" w:rsidRPr="00A2024E" w:rsidRDefault="00521F47" w:rsidP="00135CC9">
      <w:pPr>
        <w:pStyle w:val="Textonotapie"/>
        <w:rPr>
          <w:rFonts w:ascii="Times New Roman" w:hAnsi="Times New Roman"/>
          <w:lang w:val="es-AR"/>
        </w:rPr>
      </w:pPr>
      <w:r w:rsidRPr="00A2024E">
        <w:rPr>
          <w:rStyle w:val="Refdenotaalpie"/>
          <w:rFonts w:ascii="Times New Roman" w:hAnsi="Times New Roman"/>
        </w:rPr>
        <w:footnoteRef/>
      </w:r>
      <w:r w:rsidRPr="00A2024E">
        <w:rPr>
          <w:rFonts w:ascii="Times New Roman" w:hAnsi="Times New Roman"/>
        </w:rPr>
        <w:t xml:space="preserve"> </w:t>
      </w:r>
      <w:r w:rsidRPr="00A90903">
        <w:rPr>
          <w:rFonts w:ascii="Times New Roman" w:hAnsi="Times New Roman"/>
          <w:sz w:val="16"/>
          <w:szCs w:val="16"/>
          <w:lang w:val="es-AR"/>
        </w:rPr>
        <w:t>Artículo 7 de Ley del Tributo, texto modificado por Ley N° 27.430.</w:t>
      </w:r>
    </w:p>
  </w:footnote>
  <w:footnote w:id="6">
    <w:p w14:paraId="68A44705" w14:textId="77777777" w:rsidR="00521F47" w:rsidRPr="00882F14" w:rsidRDefault="00521F47" w:rsidP="00135CC9">
      <w:pPr>
        <w:pStyle w:val="Textonotapie"/>
        <w:rPr>
          <w:rFonts w:ascii="Times New Roman" w:hAnsi="Times New Roman"/>
          <w:lang w:val="es-AR"/>
        </w:rPr>
      </w:pPr>
      <w:r w:rsidRPr="00A2024E">
        <w:rPr>
          <w:rStyle w:val="Refdenotaalpie"/>
          <w:rFonts w:ascii="Times New Roman" w:hAnsi="Times New Roman"/>
        </w:rPr>
        <w:footnoteRef/>
      </w:r>
      <w:r w:rsidRPr="00A2024E">
        <w:rPr>
          <w:rFonts w:ascii="Times New Roman" w:hAnsi="Times New Roman"/>
        </w:rPr>
        <w:t xml:space="preserve"> </w:t>
      </w:r>
      <w:r w:rsidRPr="00A90903">
        <w:rPr>
          <w:rFonts w:ascii="Times New Roman" w:hAnsi="Times New Roman"/>
          <w:sz w:val="16"/>
          <w:szCs w:val="16"/>
          <w:lang w:val="es-AR"/>
        </w:rPr>
        <w:t>Artículo 32 de la ley Solidaridad Social y Reactivación Productiva N° 27.541.</w:t>
      </w:r>
    </w:p>
  </w:footnote>
  <w:footnote w:id="7">
    <w:p w14:paraId="01458554" w14:textId="77777777" w:rsidR="00521F47" w:rsidRPr="00825B17" w:rsidRDefault="00521F47" w:rsidP="00135CC9">
      <w:pPr>
        <w:pStyle w:val="Textonotapie"/>
        <w:rPr>
          <w:rFonts w:ascii="Times New Roman" w:hAnsi="Times New Roman"/>
          <w:lang w:val="es-AR"/>
        </w:rPr>
      </w:pPr>
      <w:r w:rsidRPr="00825B17">
        <w:rPr>
          <w:rStyle w:val="Refdenotaalpie"/>
          <w:rFonts w:ascii="Times New Roman" w:hAnsi="Times New Roman"/>
        </w:rPr>
        <w:footnoteRef/>
      </w:r>
      <w:r w:rsidRPr="00753465">
        <w:rPr>
          <w:rFonts w:ascii="Times New Roman" w:hAnsi="Times New Roman"/>
        </w:rPr>
        <w:t xml:space="preserve"> </w:t>
      </w:r>
      <w:r w:rsidRPr="00A90903">
        <w:rPr>
          <w:rFonts w:ascii="Times New Roman" w:hAnsi="Times New Roman"/>
          <w:sz w:val="16"/>
          <w:szCs w:val="16"/>
          <w:lang w:val="es-AR"/>
        </w:rPr>
        <w:t>Inciso w) del artículo 26 de la Ley del Tributo modificado por Ley N° 27.430. En dicho inciso se faculta a la Comisión Nacional de Valores a reglamentar y fiscalizar en el ámbito de su competencia, las condiciones mencionadas precedentemente.</w:t>
      </w:r>
    </w:p>
  </w:footnote>
  <w:footnote w:id="8">
    <w:p w14:paraId="63189A51" w14:textId="77777777" w:rsidR="00521F47" w:rsidRPr="00A2024E" w:rsidRDefault="00521F47" w:rsidP="00135CC9">
      <w:pPr>
        <w:pStyle w:val="Textonotapie"/>
      </w:pPr>
      <w:r w:rsidRPr="00A90903">
        <w:rPr>
          <w:rStyle w:val="Refdenotaalpie"/>
          <w:rFonts w:ascii="Times New Roman" w:hAnsi="Times New Roman"/>
        </w:rPr>
        <w:footnoteRef/>
      </w:r>
      <w:r w:rsidRPr="00A90903">
        <w:rPr>
          <w:rFonts w:ascii="Times New Roman" w:hAnsi="Times New Roman"/>
        </w:rPr>
        <w:t xml:space="preserve"> </w:t>
      </w:r>
      <w:r w:rsidRPr="00A90903">
        <w:rPr>
          <w:rFonts w:ascii="Times New Roman" w:hAnsi="Times New Roman"/>
          <w:sz w:val="15"/>
          <w:szCs w:val="15"/>
        </w:rPr>
        <w:t>Art.34 de la ley Solidaridad Social y Reactivación Productiva N° 27.541.</w:t>
      </w:r>
    </w:p>
  </w:footnote>
  <w:footnote w:id="9">
    <w:p w14:paraId="41E4F51C" w14:textId="77777777" w:rsidR="00521F47" w:rsidRPr="00A2024E" w:rsidRDefault="00521F47" w:rsidP="00135CC9">
      <w:pPr>
        <w:pStyle w:val="Textonotapie"/>
        <w:rPr>
          <w:rFonts w:ascii="Times New Roman" w:hAnsi="Times New Roman"/>
          <w:sz w:val="16"/>
          <w:szCs w:val="16"/>
          <w:lang w:val="es-AR"/>
        </w:rPr>
      </w:pPr>
      <w:r w:rsidRPr="00A2024E">
        <w:rPr>
          <w:rStyle w:val="Refdenotaalpie"/>
          <w:rFonts w:ascii="Times New Roman" w:hAnsi="Times New Roman"/>
        </w:rPr>
        <w:footnoteRef/>
      </w:r>
      <w:r w:rsidRPr="00A2024E">
        <w:rPr>
          <w:rFonts w:ascii="Times New Roman" w:hAnsi="Times New Roman"/>
          <w:sz w:val="16"/>
          <w:szCs w:val="16"/>
        </w:rPr>
        <w:t xml:space="preserve"> </w:t>
      </w:r>
      <w:r w:rsidRPr="00A90903">
        <w:rPr>
          <w:rFonts w:ascii="Times New Roman" w:hAnsi="Times New Roman"/>
          <w:sz w:val="16"/>
          <w:szCs w:val="16"/>
          <w:lang w:val="es-AR"/>
        </w:rPr>
        <w:t>Inciso w) del artículo 26 de la Ley del Tributo (T.O. 2019) modificado por Ley N° 27.430. En dicho inciso se faculta a la Comisión Nacional de Valores a reglamentar y fiscalizar en el ámbito de su competencia, las condiciones mencionadas precedentemente.</w:t>
      </w:r>
    </w:p>
  </w:footnote>
  <w:footnote w:id="10">
    <w:p w14:paraId="079C16C1" w14:textId="77777777" w:rsidR="00521F47" w:rsidRPr="00A2024E" w:rsidRDefault="00521F47" w:rsidP="00135CC9">
      <w:pPr>
        <w:pStyle w:val="Textonotapie"/>
        <w:rPr>
          <w:rFonts w:ascii="Times New Roman" w:hAnsi="Times New Roman"/>
          <w:sz w:val="16"/>
          <w:szCs w:val="16"/>
          <w:lang w:val="es-AR"/>
        </w:rPr>
      </w:pPr>
      <w:r w:rsidRPr="00A90903">
        <w:rPr>
          <w:rFonts w:ascii="Times New Roman" w:hAnsi="Times New Roman"/>
          <w:sz w:val="16"/>
          <w:szCs w:val="16"/>
        </w:rPr>
        <w:footnoteRef/>
      </w:r>
      <w:r w:rsidRPr="00A90903">
        <w:rPr>
          <w:rFonts w:ascii="Times New Roman" w:hAnsi="Times New Roman"/>
          <w:sz w:val="16"/>
          <w:szCs w:val="16"/>
        </w:rPr>
        <w:t xml:space="preserve"> Conforme Decreto N° 382/2019 (B.O. 29/05/2019), artículo 2.</w:t>
      </w:r>
    </w:p>
  </w:footnote>
  <w:footnote w:id="11">
    <w:p w14:paraId="0A21ACF4" w14:textId="77777777" w:rsidR="00521F47" w:rsidRPr="00A2024E" w:rsidRDefault="00521F47" w:rsidP="00135CC9">
      <w:pPr>
        <w:pStyle w:val="Textonotapie"/>
        <w:rPr>
          <w:rFonts w:ascii="Times New Roman" w:hAnsi="Times New Roman"/>
          <w:sz w:val="16"/>
          <w:szCs w:val="16"/>
        </w:rPr>
      </w:pPr>
      <w:r w:rsidRPr="00A2024E">
        <w:rPr>
          <w:rStyle w:val="Refdenotaalpie"/>
          <w:rFonts w:ascii="Times New Roman" w:hAnsi="Times New Roman"/>
        </w:rPr>
        <w:footnoteRef/>
      </w:r>
      <w:r w:rsidRPr="00A2024E">
        <w:rPr>
          <w:rFonts w:ascii="Times New Roman" w:hAnsi="Times New Roman"/>
          <w:sz w:val="16"/>
          <w:szCs w:val="16"/>
        </w:rPr>
        <w:t xml:space="preserve"> </w:t>
      </w:r>
      <w:r w:rsidRPr="00A90903">
        <w:rPr>
          <w:rFonts w:ascii="Times New Roman" w:hAnsi="Times New Roman"/>
          <w:sz w:val="16"/>
          <w:szCs w:val="16"/>
          <w:lang w:val="es-ES"/>
        </w:rPr>
        <w:t>Art.32 de la ley Solidaridad Social y Reactivación Productiva N° 27.541.</w:t>
      </w:r>
      <w:r w:rsidRPr="00A2024E">
        <w:rPr>
          <w:rFonts w:ascii="Times New Roman" w:hAnsi="Times New Roman"/>
          <w:sz w:val="16"/>
          <w:szCs w:val="16"/>
        </w:rPr>
        <w:t xml:space="preserve">  </w:t>
      </w:r>
    </w:p>
  </w:footnote>
  <w:footnote w:id="12">
    <w:p w14:paraId="48F4C104" w14:textId="77777777" w:rsidR="00521F47" w:rsidRPr="001C0D47" w:rsidRDefault="00521F47" w:rsidP="00135CC9">
      <w:pPr>
        <w:pStyle w:val="Textonotapie"/>
        <w:rPr>
          <w:rFonts w:ascii="Times New Roman" w:hAnsi="Times New Roman"/>
          <w:lang w:val="es-AR"/>
        </w:rPr>
      </w:pPr>
      <w:r w:rsidRPr="004B7932">
        <w:rPr>
          <w:rStyle w:val="Refdenotaalpie"/>
          <w:rFonts w:ascii="Times New Roman" w:hAnsi="Times New Roman"/>
        </w:rPr>
        <w:footnoteRef/>
      </w:r>
      <w:r w:rsidRPr="004B7932">
        <w:rPr>
          <w:rFonts w:ascii="Times New Roman" w:hAnsi="Times New Roman"/>
        </w:rPr>
        <w:t xml:space="preserve"> </w:t>
      </w:r>
      <w:r w:rsidRPr="004B7932">
        <w:rPr>
          <w:rFonts w:ascii="Times New Roman" w:hAnsi="Times New Roman"/>
          <w:sz w:val="15"/>
          <w:szCs w:val="15"/>
        </w:rPr>
        <w:t xml:space="preserve">Conforme al Art. </w:t>
      </w:r>
      <w:r>
        <w:rPr>
          <w:rFonts w:ascii="Times New Roman" w:hAnsi="Times New Roman"/>
          <w:sz w:val="15"/>
          <w:szCs w:val="15"/>
        </w:rPr>
        <w:t>3</w:t>
      </w:r>
      <w:r w:rsidRPr="004B7932">
        <w:rPr>
          <w:rFonts w:ascii="Times New Roman" w:hAnsi="Times New Roman"/>
          <w:sz w:val="15"/>
          <w:szCs w:val="15"/>
        </w:rPr>
        <w:t xml:space="preserve"> de la Ley N° 27.</w:t>
      </w:r>
      <w:r>
        <w:rPr>
          <w:rFonts w:ascii="Times New Roman" w:hAnsi="Times New Roman"/>
          <w:sz w:val="15"/>
          <w:szCs w:val="15"/>
        </w:rPr>
        <w:t>667</w:t>
      </w:r>
      <w:r w:rsidRPr="004B7932">
        <w:rPr>
          <w:rFonts w:ascii="Times New Roman" w:hAnsi="Times New Roman"/>
          <w:sz w:val="15"/>
          <w:szCs w:val="15"/>
        </w:rPr>
        <w:t xml:space="preserve"> </w:t>
      </w:r>
      <w:r>
        <w:rPr>
          <w:rFonts w:ascii="Times New Roman" w:hAnsi="Times New Roman"/>
          <w:sz w:val="15"/>
          <w:szCs w:val="15"/>
        </w:rPr>
        <w:t>modificatoria de la Ley de Bienes Personales</w:t>
      </w:r>
      <w:r w:rsidRPr="004B7932">
        <w:rPr>
          <w:rFonts w:ascii="Times New Roman" w:hAnsi="Times New Roman"/>
          <w:sz w:val="15"/>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5CE4" w14:textId="37592ADD" w:rsidR="00521F47" w:rsidRPr="008F4E11" w:rsidRDefault="00521F47">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7471E4">
      <w:rPr>
        <w:rStyle w:val="Nmerodepgina"/>
        <w:rFonts w:ascii="Times New Roman" w:hAnsi="Times New Roman"/>
        <w:noProof/>
      </w:rPr>
      <w:t>1</w:t>
    </w:r>
    <w:r w:rsidRPr="008F4E11">
      <w:rPr>
        <w:rStyle w:val="Nmerodepgina"/>
        <w:rFonts w:ascii="Times New Roman" w:hAnsi="Times New Roman"/>
      </w:rPr>
      <w:fldChar w:fldCharType="end"/>
    </w:r>
  </w:p>
  <w:p w14:paraId="785960DB" w14:textId="77777777" w:rsidR="00521F47" w:rsidRDefault="00521F4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9"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4"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5"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6"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6"/>
  </w:num>
  <w:num w:numId="3">
    <w:abstractNumId w:val="12"/>
  </w:num>
  <w:num w:numId="4">
    <w:abstractNumId w:val="45"/>
  </w:num>
  <w:num w:numId="5">
    <w:abstractNumId w:val="38"/>
  </w:num>
  <w:num w:numId="6">
    <w:abstractNumId w:val="13"/>
  </w:num>
  <w:num w:numId="7">
    <w:abstractNumId w:val="46"/>
  </w:num>
  <w:num w:numId="8">
    <w:abstractNumId w:val="31"/>
  </w:num>
  <w:num w:numId="9">
    <w:abstractNumId w:val="34"/>
  </w:num>
  <w:num w:numId="10">
    <w:abstractNumId w:val="4"/>
  </w:num>
  <w:num w:numId="11">
    <w:abstractNumId w:val="35"/>
  </w:num>
  <w:num w:numId="12">
    <w:abstractNumId w:val="28"/>
  </w:num>
  <w:num w:numId="13">
    <w:abstractNumId w:val="30"/>
  </w:num>
  <w:num w:numId="14">
    <w:abstractNumId w:val="33"/>
  </w:num>
  <w:num w:numId="15">
    <w:abstractNumId w:val="8"/>
  </w:num>
  <w:num w:numId="16">
    <w:abstractNumId w:val="17"/>
  </w:num>
  <w:num w:numId="17">
    <w:abstractNumId w:val="20"/>
  </w:num>
  <w:num w:numId="18">
    <w:abstractNumId w:val="44"/>
  </w:num>
  <w:num w:numId="19">
    <w:abstractNumId w:val="16"/>
  </w:num>
  <w:num w:numId="20">
    <w:abstractNumId w:val="37"/>
  </w:num>
  <w:num w:numId="21">
    <w:abstractNumId w:val="23"/>
  </w:num>
  <w:num w:numId="22">
    <w:abstractNumId w:val="24"/>
  </w:num>
  <w:num w:numId="23">
    <w:abstractNumId w:val="0"/>
  </w:num>
  <w:num w:numId="24">
    <w:abstractNumId w:val="2"/>
  </w:num>
  <w:num w:numId="25">
    <w:abstractNumId w:val="19"/>
  </w:num>
  <w:num w:numId="26">
    <w:abstractNumId w:val="18"/>
  </w:num>
  <w:num w:numId="27">
    <w:abstractNumId w:val="9"/>
  </w:num>
  <w:num w:numId="28">
    <w:abstractNumId w:val="43"/>
  </w:num>
  <w:num w:numId="29">
    <w:abstractNumId w:val="6"/>
  </w:num>
  <w:num w:numId="30">
    <w:abstractNumId w:val="50"/>
  </w:num>
  <w:num w:numId="31">
    <w:abstractNumId w:val="21"/>
  </w:num>
  <w:num w:numId="32">
    <w:abstractNumId w:val="1"/>
  </w:num>
  <w:num w:numId="33">
    <w:abstractNumId w:val="15"/>
  </w:num>
  <w:num w:numId="34">
    <w:abstractNumId w:val="41"/>
  </w:num>
  <w:num w:numId="35">
    <w:abstractNumId w:val="10"/>
  </w:num>
  <w:num w:numId="36">
    <w:abstractNumId w:val="32"/>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8"/>
  </w:num>
  <w:num w:numId="51">
    <w:abstractNumId w:val="49"/>
  </w:num>
  <w:num w:numId="52">
    <w:abstractNumId w:val="29"/>
  </w:num>
  <w:num w:numId="53">
    <w:abstractNumId w:val="27"/>
  </w:num>
  <w:num w:numId="54">
    <w:abstractNumId w:val="11"/>
  </w:num>
  <w:num w:numId="55">
    <w:abstractNumId w:val="5"/>
  </w:num>
  <w:num w:numId="56">
    <w:abstractNumId w:val="39"/>
  </w:num>
  <w:num w:numId="5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40"/>
  </w:num>
  <w:num w:numId="60">
    <w:abstractNumId w:val="3"/>
  </w:num>
  <w:num w:numId="61">
    <w:abstractNumId w:val="22"/>
  </w:num>
  <w:num w:numId="62">
    <w:abstractNumId w:val="7"/>
  </w:num>
  <w:num w:numId="63">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DC0"/>
    <w:rsid w:val="00005F07"/>
    <w:rsid w:val="0000652B"/>
    <w:rsid w:val="00006899"/>
    <w:rsid w:val="00006D45"/>
    <w:rsid w:val="00006EC1"/>
    <w:rsid w:val="00010151"/>
    <w:rsid w:val="0001033D"/>
    <w:rsid w:val="000103F1"/>
    <w:rsid w:val="00010B79"/>
    <w:rsid w:val="00010EC4"/>
    <w:rsid w:val="0001148D"/>
    <w:rsid w:val="00011806"/>
    <w:rsid w:val="00011896"/>
    <w:rsid w:val="000119E8"/>
    <w:rsid w:val="00012497"/>
    <w:rsid w:val="00012EB7"/>
    <w:rsid w:val="00013391"/>
    <w:rsid w:val="00013B1D"/>
    <w:rsid w:val="000142C3"/>
    <w:rsid w:val="00015068"/>
    <w:rsid w:val="0001552E"/>
    <w:rsid w:val="000157B5"/>
    <w:rsid w:val="00015892"/>
    <w:rsid w:val="000163B4"/>
    <w:rsid w:val="00016A68"/>
    <w:rsid w:val="00016A81"/>
    <w:rsid w:val="00016ADD"/>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72B"/>
    <w:rsid w:val="00040AD1"/>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5F3"/>
    <w:rsid w:val="00046BE1"/>
    <w:rsid w:val="00046FF2"/>
    <w:rsid w:val="00047273"/>
    <w:rsid w:val="00047454"/>
    <w:rsid w:val="0004748E"/>
    <w:rsid w:val="000476BC"/>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5B6"/>
    <w:rsid w:val="00067901"/>
    <w:rsid w:val="00067988"/>
    <w:rsid w:val="000679DF"/>
    <w:rsid w:val="0007064A"/>
    <w:rsid w:val="000706A7"/>
    <w:rsid w:val="00070BB4"/>
    <w:rsid w:val="0007144A"/>
    <w:rsid w:val="000715AC"/>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183E"/>
    <w:rsid w:val="00081CB8"/>
    <w:rsid w:val="00081E28"/>
    <w:rsid w:val="00081EC9"/>
    <w:rsid w:val="000824A0"/>
    <w:rsid w:val="000825CB"/>
    <w:rsid w:val="00082660"/>
    <w:rsid w:val="00082BFC"/>
    <w:rsid w:val="000830F7"/>
    <w:rsid w:val="000833AF"/>
    <w:rsid w:val="000836AE"/>
    <w:rsid w:val="00083BB2"/>
    <w:rsid w:val="00083DFF"/>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532E"/>
    <w:rsid w:val="000958BD"/>
    <w:rsid w:val="000959E8"/>
    <w:rsid w:val="00095E3B"/>
    <w:rsid w:val="00095E94"/>
    <w:rsid w:val="00096730"/>
    <w:rsid w:val="00096A29"/>
    <w:rsid w:val="0009729D"/>
    <w:rsid w:val="00097866"/>
    <w:rsid w:val="00097D2D"/>
    <w:rsid w:val="000A0087"/>
    <w:rsid w:val="000A029A"/>
    <w:rsid w:val="000A02EC"/>
    <w:rsid w:val="000A0538"/>
    <w:rsid w:val="000A0735"/>
    <w:rsid w:val="000A0945"/>
    <w:rsid w:val="000A10C3"/>
    <w:rsid w:val="000A127F"/>
    <w:rsid w:val="000A15DA"/>
    <w:rsid w:val="000A1C84"/>
    <w:rsid w:val="000A22C2"/>
    <w:rsid w:val="000A2A1C"/>
    <w:rsid w:val="000A2AB0"/>
    <w:rsid w:val="000A2ECA"/>
    <w:rsid w:val="000A3405"/>
    <w:rsid w:val="000A34CB"/>
    <w:rsid w:val="000A4694"/>
    <w:rsid w:val="000A4C2E"/>
    <w:rsid w:val="000A4FF4"/>
    <w:rsid w:val="000A535A"/>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42C5"/>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2B7"/>
    <w:rsid w:val="000C3BAA"/>
    <w:rsid w:val="000C42CD"/>
    <w:rsid w:val="000C48D2"/>
    <w:rsid w:val="000C4B58"/>
    <w:rsid w:val="000C4C26"/>
    <w:rsid w:val="000C4CE5"/>
    <w:rsid w:val="000C5767"/>
    <w:rsid w:val="000C5E13"/>
    <w:rsid w:val="000C5E51"/>
    <w:rsid w:val="000C5F90"/>
    <w:rsid w:val="000C5FB1"/>
    <w:rsid w:val="000C6412"/>
    <w:rsid w:val="000C6AD9"/>
    <w:rsid w:val="000C705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0C5"/>
    <w:rsid w:val="000D4160"/>
    <w:rsid w:val="000D46CC"/>
    <w:rsid w:val="000D4CBB"/>
    <w:rsid w:val="000D4EDE"/>
    <w:rsid w:val="000D5F56"/>
    <w:rsid w:val="000D647D"/>
    <w:rsid w:val="000D6D73"/>
    <w:rsid w:val="000D6FBA"/>
    <w:rsid w:val="000D7047"/>
    <w:rsid w:val="000D72BF"/>
    <w:rsid w:val="000D75AA"/>
    <w:rsid w:val="000D7613"/>
    <w:rsid w:val="000D7A1F"/>
    <w:rsid w:val="000D7B9F"/>
    <w:rsid w:val="000D7BF8"/>
    <w:rsid w:val="000E0629"/>
    <w:rsid w:val="000E07A6"/>
    <w:rsid w:val="000E0E09"/>
    <w:rsid w:val="000E1209"/>
    <w:rsid w:val="000E12B5"/>
    <w:rsid w:val="000E1354"/>
    <w:rsid w:val="000E1587"/>
    <w:rsid w:val="000E18CA"/>
    <w:rsid w:val="000E1BDF"/>
    <w:rsid w:val="000E1CE1"/>
    <w:rsid w:val="000E2211"/>
    <w:rsid w:val="000E22CC"/>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100390"/>
    <w:rsid w:val="001003ED"/>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D15"/>
    <w:rsid w:val="00132FBE"/>
    <w:rsid w:val="00133037"/>
    <w:rsid w:val="001331E2"/>
    <w:rsid w:val="0013387B"/>
    <w:rsid w:val="00133EC4"/>
    <w:rsid w:val="00133FAB"/>
    <w:rsid w:val="00134595"/>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4F9"/>
    <w:rsid w:val="001429C7"/>
    <w:rsid w:val="00142BA1"/>
    <w:rsid w:val="00142C68"/>
    <w:rsid w:val="001434A0"/>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33D"/>
    <w:rsid w:val="001653DC"/>
    <w:rsid w:val="001657C6"/>
    <w:rsid w:val="00165AF5"/>
    <w:rsid w:val="001661F6"/>
    <w:rsid w:val="001665E0"/>
    <w:rsid w:val="00166C2F"/>
    <w:rsid w:val="00166F81"/>
    <w:rsid w:val="001671D4"/>
    <w:rsid w:val="0017020F"/>
    <w:rsid w:val="00170A49"/>
    <w:rsid w:val="00171062"/>
    <w:rsid w:val="00171995"/>
    <w:rsid w:val="0017205B"/>
    <w:rsid w:val="001734ED"/>
    <w:rsid w:val="00173D28"/>
    <w:rsid w:val="001742A0"/>
    <w:rsid w:val="00174494"/>
    <w:rsid w:val="00174A68"/>
    <w:rsid w:val="00174F3E"/>
    <w:rsid w:val="00175B3B"/>
    <w:rsid w:val="00175B7F"/>
    <w:rsid w:val="001764A6"/>
    <w:rsid w:val="00176B0E"/>
    <w:rsid w:val="00180B54"/>
    <w:rsid w:val="00180CCC"/>
    <w:rsid w:val="00180F7A"/>
    <w:rsid w:val="00180FCC"/>
    <w:rsid w:val="001814DE"/>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531E"/>
    <w:rsid w:val="00195416"/>
    <w:rsid w:val="00195E36"/>
    <w:rsid w:val="00196099"/>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770"/>
    <w:rsid w:val="001A37E8"/>
    <w:rsid w:val="001A38C5"/>
    <w:rsid w:val="001A3D1F"/>
    <w:rsid w:val="001A41B1"/>
    <w:rsid w:val="001A4A4A"/>
    <w:rsid w:val="001A4A51"/>
    <w:rsid w:val="001A5564"/>
    <w:rsid w:val="001A5E2B"/>
    <w:rsid w:val="001A6098"/>
    <w:rsid w:val="001A67DF"/>
    <w:rsid w:val="001A6CF1"/>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90E"/>
    <w:rsid w:val="001C4A7F"/>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BB0"/>
    <w:rsid w:val="001E7CA1"/>
    <w:rsid w:val="001E7F6B"/>
    <w:rsid w:val="001F0A11"/>
    <w:rsid w:val="001F0CA8"/>
    <w:rsid w:val="001F10E9"/>
    <w:rsid w:val="001F1673"/>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4BAF"/>
    <w:rsid w:val="00225858"/>
    <w:rsid w:val="002259BC"/>
    <w:rsid w:val="00225A35"/>
    <w:rsid w:val="00225AAF"/>
    <w:rsid w:val="00226199"/>
    <w:rsid w:val="0022662F"/>
    <w:rsid w:val="0022666A"/>
    <w:rsid w:val="00226B1E"/>
    <w:rsid w:val="00227348"/>
    <w:rsid w:val="002276F7"/>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603"/>
    <w:rsid w:val="00261F52"/>
    <w:rsid w:val="00262DB5"/>
    <w:rsid w:val="002637E7"/>
    <w:rsid w:val="00263C31"/>
    <w:rsid w:val="00263F74"/>
    <w:rsid w:val="00264736"/>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EAF"/>
    <w:rsid w:val="00275F22"/>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67C"/>
    <w:rsid w:val="00292B5A"/>
    <w:rsid w:val="00292D7D"/>
    <w:rsid w:val="00293199"/>
    <w:rsid w:val="00293227"/>
    <w:rsid w:val="00293749"/>
    <w:rsid w:val="00293A8F"/>
    <w:rsid w:val="00294168"/>
    <w:rsid w:val="00294301"/>
    <w:rsid w:val="00294878"/>
    <w:rsid w:val="00295635"/>
    <w:rsid w:val="00295F24"/>
    <w:rsid w:val="002965C9"/>
    <w:rsid w:val="00296CFC"/>
    <w:rsid w:val="00297242"/>
    <w:rsid w:val="00297A25"/>
    <w:rsid w:val="00297BD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12B1"/>
    <w:rsid w:val="002B20D8"/>
    <w:rsid w:val="002B2714"/>
    <w:rsid w:val="002B2916"/>
    <w:rsid w:val="002B2C77"/>
    <w:rsid w:val="002B31AB"/>
    <w:rsid w:val="002B31EF"/>
    <w:rsid w:val="002B35D6"/>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BD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355E"/>
    <w:rsid w:val="002D3BD6"/>
    <w:rsid w:val="002D40CE"/>
    <w:rsid w:val="002D4237"/>
    <w:rsid w:val="002D4FEB"/>
    <w:rsid w:val="002D508F"/>
    <w:rsid w:val="002D57D8"/>
    <w:rsid w:val="002D5BB3"/>
    <w:rsid w:val="002D5C50"/>
    <w:rsid w:val="002D6E13"/>
    <w:rsid w:val="002D74B8"/>
    <w:rsid w:val="002D7508"/>
    <w:rsid w:val="002D7E7E"/>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07C38"/>
    <w:rsid w:val="00310C61"/>
    <w:rsid w:val="00310D77"/>
    <w:rsid w:val="00310DD1"/>
    <w:rsid w:val="00310E52"/>
    <w:rsid w:val="00311C98"/>
    <w:rsid w:val="00311D19"/>
    <w:rsid w:val="00311E62"/>
    <w:rsid w:val="00311EAF"/>
    <w:rsid w:val="00312934"/>
    <w:rsid w:val="00312F1F"/>
    <w:rsid w:val="00313338"/>
    <w:rsid w:val="00313828"/>
    <w:rsid w:val="0031425C"/>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9AF"/>
    <w:rsid w:val="00323B66"/>
    <w:rsid w:val="00323BFE"/>
    <w:rsid w:val="00323FFA"/>
    <w:rsid w:val="00324266"/>
    <w:rsid w:val="003242EA"/>
    <w:rsid w:val="00324DD8"/>
    <w:rsid w:val="003266B6"/>
    <w:rsid w:val="00326B6F"/>
    <w:rsid w:val="0032703B"/>
    <w:rsid w:val="00327A11"/>
    <w:rsid w:val="00327C66"/>
    <w:rsid w:val="0033074D"/>
    <w:rsid w:val="00330758"/>
    <w:rsid w:val="0033098F"/>
    <w:rsid w:val="0033127E"/>
    <w:rsid w:val="00331A34"/>
    <w:rsid w:val="003322FF"/>
    <w:rsid w:val="003325B8"/>
    <w:rsid w:val="00332863"/>
    <w:rsid w:val="00332925"/>
    <w:rsid w:val="00332D6A"/>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4AC"/>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CC7"/>
    <w:rsid w:val="00345F37"/>
    <w:rsid w:val="00346278"/>
    <w:rsid w:val="003467D1"/>
    <w:rsid w:val="0034696E"/>
    <w:rsid w:val="00346AAC"/>
    <w:rsid w:val="00346AB6"/>
    <w:rsid w:val="00346C67"/>
    <w:rsid w:val="003476D2"/>
    <w:rsid w:val="00351128"/>
    <w:rsid w:val="00351A88"/>
    <w:rsid w:val="00351CCC"/>
    <w:rsid w:val="00351EF3"/>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E7D"/>
    <w:rsid w:val="00380E95"/>
    <w:rsid w:val="003810E0"/>
    <w:rsid w:val="00381141"/>
    <w:rsid w:val="0038160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97465"/>
    <w:rsid w:val="003A006D"/>
    <w:rsid w:val="003A01E7"/>
    <w:rsid w:val="003A0721"/>
    <w:rsid w:val="003A0A40"/>
    <w:rsid w:val="003A21EB"/>
    <w:rsid w:val="003A22B7"/>
    <w:rsid w:val="003A26C7"/>
    <w:rsid w:val="003A3958"/>
    <w:rsid w:val="003A3FE8"/>
    <w:rsid w:val="003A41BF"/>
    <w:rsid w:val="003A4598"/>
    <w:rsid w:val="003A4719"/>
    <w:rsid w:val="003A4CD0"/>
    <w:rsid w:val="003A60D0"/>
    <w:rsid w:val="003A60F5"/>
    <w:rsid w:val="003A68A4"/>
    <w:rsid w:val="003A6ADC"/>
    <w:rsid w:val="003A7495"/>
    <w:rsid w:val="003A7613"/>
    <w:rsid w:val="003B0626"/>
    <w:rsid w:val="003B0F49"/>
    <w:rsid w:val="003B12B2"/>
    <w:rsid w:val="003B1688"/>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4C9"/>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459B"/>
    <w:rsid w:val="003E4AD9"/>
    <w:rsid w:val="003E4F5D"/>
    <w:rsid w:val="003E5149"/>
    <w:rsid w:val="003E55DB"/>
    <w:rsid w:val="003E57D5"/>
    <w:rsid w:val="003E5C7F"/>
    <w:rsid w:val="003E61B6"/>
    <w:rsid w:val="003E6338"/>
    <w:rsid w:val="003E6669"/>
    <w:rsid w:val="003E677D"/>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BC0"/>
    <w:rsid w:val="0040704E"/>
    <w:rsid w:val="004070D2"/>
    <w:rsid w:val="004076D4"/>
    <w:rsid w:val="00407BD2"/>
    <w:rsid w:val="00407FAC"/>
    <w:rsid w:val="004100CA"/>
    <w:rsid w:val="004103A3"/>
    <w:rsid w:val="004103D3"/>
    <w:rsid w:val="00410DAD"/>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2FFD"/>
    <w:rsid w:val="00433695"/>
    <w:rsid w:val="00433CD4"/>
    <w:rsid w:val="00433E2F"/>
    <w:rsid w:val="004348B0"/>
    <w:rsid w:val="00434BC7"/>
    <w:rsid w:val="00434BFA"/>
    <w:rsid w:val="00435082"/>
    <w:rsid w:val="004351E4"/>
    <w:rsid w:val="004353C9"/>
    <w:rsid w:val="004358DF"/>
    <w:rsid w:val="004363B3"/>
    <w:rsid w:val="00436960"/>
    <w:rsid w:val="004375DD"/>
    <w:rsid w:val="00440C85"/>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EF8"/>
    <w:rsid w:val="00460010"/>
    <w:rsid w:val="00460589"/>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6E40"/>
    <w:rsid w:val="00477030"/>
    <w:rsid w:val="00477E99"/>
    <w:rsid w:val="0048029A"/>
    <w:rsid w:val="0048034C"/>
    <w:rsid w:val="00480922"/>
    <w:rsid w:val="004809B2"/>
    <w:rsid w:val="00481254"/>
    <w:rsid w:val="0048146C"/>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7309"/>
    <w:rsid w:val="00490127"/>
    <w:rsid w:val="0049099A"/>
    <w:rsid w:val="00491099"/>
    <w:rsid w:val="00491797"/>
    <w:rsid w:val="00491C6D"/>
    <w:rsid w:val="0049289E"/>
    <w:rsid w:val="00492D0A"/>
    <w:rsid w:val="00492FD1"/>
    <w:rsid w:val="004930EC"/>
    <w:rsid w:val="00493BF7"/>
    <w:rsid w:val="004955CA"/>
    <w:rsid w:val="00495A01"/>
    <w:rsid w:val="00495FA9"/>
    <w:rsid w:val="0049654E"/>
    <w:rsid w:val="00496C8F"/>
    <w:rsid w:val="004978B5"/>
    <w:rsid w:val="004978BA"/>
    <w:rsid w:val="00497A71"/>
    <w:rsid w:val="004A08BA"/>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ED7"/>
    <w:rsid w:val="004A62E5"/>
    <w:rsid w:val="004A686B"/>
    <w:rsid w:val="004A6F41"/>
    <w:rsid w:val="004A7B1C"/>
    <w:rsid w:val="004A7D3D"/>
    <w:rsid w:val="004B0519"/>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1480"/>
    <w:rsid w:val="004D1857"/>
    <w:rsid w:val="004D290A"/>
    <w:rsid w:val="004D2C60"/>
    <w:rsid w:val="004D2D86"/>
    <w:rsid w:val="004D2DAB"/>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B55"/>
    <w:rsid w:val="004E2E37"/>
    <w:rsid w:val="004E3394"/>
    <w:rsid w:val="004E3807"/>
    <w:rsid w:val="004E39EA"/>
    <w:rsid w:val="004E4909"/>
    <w:rsid w:val="004E4AC6"/>
    <w:rsid w:val="004E4D90"/>
    <w:rsid w:val="004E54F6"/>
    <w:rsid w:val="004E55D1"/>
    <w:rsid w:val="004E584F"/>
    <w:rsid w:val="004E59C1"/>
    <w:rsid w:val="004E5F40"/>
    <w:rsid w:val="004E6C22"/>
    <w:rsid w:val="004E6D7F"/>
    <w:rsid w:val="004E75B1"/>
    <w:rsid w:val="004E7B10"/>
    <w:rsid w:val="004E7B6D"/>
    <w:rsid w:val="004E7DFD"/>
    <w:rsid w:val="004F0A54"/>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8F0"/>
    <w:rsid w:val="00527979"/>
    <w:rsid w:val="00530DBE"/>
    <w:rsid w:val="00530F10"/>
    <w:rsid w:val="0053136C"/>
    <w:rsid w:val="005313E8"/>
    <w:rsid w:val="005314EC"/>
    <w:rsid w:val="00531737"/>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22D4"/>
    <w:rsid w:val="005529CA"/>
    <w:rsid w:val="0055318E"/>
    <w:rsid w:val="005534B0"/>
    <w:rsid w:val="005535DB"/>
    <w:rsid w:val="00553A05"/>
    <w:rsid w:val="00553E19"/>
    <w:rsid w:val="00554C32"/>
    <w:rsid w:val="00556466"/>
    <w:rsid w:val="005566AA"/>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9A5"/>
    <w:rsid w:val="00572AE2"/>
    <w:rsid w:val="00572E50"/>
    <w:rsid w:val="00572F3E"/>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58F"/>
    <w:rsid w:val="005876E7"/>
    <w:rsid w:val="00587967"/>
    <w:rsid w:val="00587AB9"/>
    <w:rsid w:val="00587F9D"/>
    <w:rsid w:val="00590838"/>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AD"/>
    <w:rsid w:val="005B0724"/>
    <w:rsid w:val="005B0B85"/>
    <w:rsid w:val="005B0B96"/>
    <w:rsid w:val="005B0BA3"/>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50CE"/>
    <w:rsid w:val="005B5205"/>
    <w:rsid w:val="005B5562"/>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386"/>
    <w:rsid w:val="005C6538"/>
    <w:rsid w:val="005C6574"/>
    <w:rsid w:val="005C66EC"/>
    <w:rsid w:val="005C683C"/>
    <w:rsid w:val="005C6C4C"/>
    <w:rsid w:val="005C7413"/>
    <w:rsid w:val="005C7B9D"/>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E7F0D"/>
    <w:rsid w:val="005F11A0"/>
    <w:rsid w:val="005F12BC"/>
    <w:rsid w:val="005F2197"/>
    <w:rsid w:val="005F21C2"/>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600CCB"/>
    <w:rsid w:val="00600CE0"/>
    <w:rsid w:val="006016A5"/>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F22"/>
    <w:rsid w:val="00606016"/>
    <w:rsid w:val="006068D4"/>
    <w:rsid w:val="006069B8"/>
    <w:rsid w:val="006073E3"/>
    <w:rsid w:val="006077B7"/>
    <w:rsid w:val="006079F1"/>
    <w:rsid w:val="00607C40"/>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6C27"/>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7BE"/>
    <w:rsid w:val="00652B25"/>
    <w:rsid w:val="0065329F"/>
    <w:rsid w:val="006534F7"/>
    <w:rsid w:val="006535BA"/>
    <w:rsid w:val="00653CFF"/>
    <w:rsid w:val="0065404B"/>
    <w:rsid w:val="00654C2F"/>
    <w:rsid w:val="00654FFC"/>
    <w:rsid w:val="00655806"/>
    <w:rsid w:val="00655BC9"/>
    <w:rsid w:val="00655DB5"/>
    <w:rsid w:val="00656019"/>
    <w:rsid w:val="00656079"/>
    <w:rsid w:val="0065696F"/>
    <w:rsid w:val="00656C52"/>
    <w:rsid w:val="00660558"/>
    <w:rsid w:val="0066145D"/>
    <w:rsid w:val="00661C9A"/>
    <w:rsid w:val="006625DB"/>
    <w:rsid w:val="0066288E"/>
    <w:rsid w:val="00662ADA"/>
    <w:rsid w:val="00662BB2"/>
    <w:rsid w:val="0066328F"/>
    <w:rsid w:val="00664126"/>
    <w:rsid w:val="00664145"/>
    <w:rsid w:val="00664287"/>
    <w:rsid w:val="00664B9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607"/>
    <w:rsid w:val="00681C38"/>
    <w:rsid w:val="00681DFA"/>
    <w:rsid w:val="00682ECE"/>
    <w:rsid w:val="00683370"/>
    <w:rsid w:val="00683509"/>
    <w:rsid w:val="0068384B"/>
    <w:rsid w:val="00683E1D"/>
    <w:rsid w:val="00683EC1"/>
    <w:rsid w:val="0068431A"/>
    <w:rsid w:val="00684500"/>
    <w:rsid w:val="00684686"/>
    <w:rsid w:val="00685066"/>
    <w:rsid w:val="006850FE"/>
    <w:rsid w:val="0068548A"/>
    <w:rsid w:val="0068574C"/>
    <w:rsid w:val="00685F07"/>
    <w:rsid w:val="0068692D"/>
    <w:rsid w:val="00686BAE"/>
    <w:rsid w:val="006870D4"/>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575"/>
    <w:rsid w:val="006A48F3"/>
    <w:rsid w:val="006A4A6B"/>
    <w:rsid w:val="006A5294"/>
    <w:rsid w:val="006A5339"/>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032"/>
    <w:rsid w:val="006C6BA2"/>
    <w:rsid w:val="006C7FDA"/>
    <w:rsid w:val="006D04C5"/>
    <w:rsid w:val="006D088D"/>
    <w:rsid w:val="006D123D"/>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7369"/>
    <w:rsid w:val="006F7382"/>
    <w:rsid w:val="006F7533"/>
    <w:rsid w:val="006F7934"/>
    <w:rsid w:val="007006F9"/>
    <w:rsid w:val="00701348"/>
    <w:rsid w:val="00701EC1"/>
    <w:rsid w:val="007025EA"/>
    <w:rsid w:val="00702BA5"/>
    <w:rsid w:val="00702D13"/>
    <w:rsid w:val="007031FC"/>
    <w:rsid w:val="007038AC"/>
    <w:rsid w:val="00703D82"/>
    <w:rsid w:val="00704BA8"/>
    <w:rsid w:val="00704E44"/>
    <w:rsid w:val="00705996"/>
    <w:rsid w:val="007059AD"/>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3462"/>
    <w:rsid w:val="00723522"/>
    <w:rsid w:val="007239FA"/>
    <w:rsid w:val="00723B1A"/>
    <w:rsid w:val="00723E2F"/>
    <w:rsid w:val="00724677"/>
    <w:rsid w:val="00724F5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881"/>
    <w:rsid w:val="007419D6"/>
    <w:rsid w:val="00741BC6"/>
    <w:rsid w:val="00742552"/>
    <w:rsid w:val="00742739"/>
    <w:rsid w:val="007427F9"/>
    <w:rsid w:val="00742C6D"/>
    <w:rsid w:val="00742CE4"/>
    <w:rsid w:val="00743C9F"/>
    <w:rsid w:val="0074407B"/>
    <w:rsid w:val="007446EA"/>
    <w:rsid w:val="007447E0"/>
    <w:rsid w:val="0074518A"/>
    <w:rsid w:val="007453D2"/>
    <w:rsid w:val="00745722"/>
    <w:rsid w:val="0074623D"/>
    <w:rsid w:val="00746253"/>
    <w:rsid w:val="00746878"/>
    <w:rsid w:val="0074691A"/>
    <w:rsid w:val="007471E4"/>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465"/>
    <w:rsid w:val="00753F3D"/>
    <w:rsid w:val="0075425C"/>
    <w:rsid w:val="00754718"/>
    <w:rsid w:val="0075497D"/>
    <w:rsid w:val="00754B3D"/>
    <w:rsid w:val="00754C1D"/>
    <w:rsid w:val="00755183"/>
    <w:rsid w:val="00755B83"/>
    <w:rsid w:val="00755E6B"/>
    <w:rsid w:val="00756158"/>
    <w:rsid w:val="0075625A"/>
    <w:rsid w:val="00756ED4"/>
    <w:rsid w:val="00756F6B"/>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6A9"/>
    <w:rsid w:val="00776A08"/>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52A"/>
    <w:rsid w:val="00790BEA"/>
    <w:rsid w:val="007916B1"/>
    <w:rsid w:val="00791DF6"/>
    <w:rsid w:val="0079273D"/>
    <w:rsid w:val="007932E6"/>
    <w:rsid w:val="00793477"/>
    <w:rsid w:val="00793CAE"/>
    <w:rsid w:val="00794FC1"/>
    <w:rsid w:val="007965F9"/>
    <w:rsid w:val="00796C23"/>
    <w:rsid w:val="007974A1"/>
    <w:rsid w:val="007977E1"/>
    <w:rsid w:val="00797D75"/>
    <w:rsid w:val="00797DB4"/>
    <w:rsid w:val="007A0E60"/>
    <w:rsid w:val="007A1E9E"/>
    <w:rsid w:val="007A21B9"/>
    <w:rsid w:val="007A2747"/>
    <w:rsid w:val="007A28D1"/>
    <w:rsid w:val="007A2C93"/>
    <w:rsid w:val="007A2DB8"/>
    <w:rsid w:val="007A3CC0"/>
    <w:rsid w:val="007A4C90"/>
    <w:rsid w:val="007A4E9F"/>
    <w:rsid w:val="007A50F7"/>
    <w:rsid w:val="007A59E9"/>
    <w:rsid w:val="007A5D96"/>
    <w:rsid w:val="007A617F"/>
    <w:rsid w:val="007A6589"/>
    <w:rsid w:val="007A76C1"/>
    <w:rsid w:val="007A7A08"/>
    <w:rsid w:val="007A7E85"/>
    <w:rsid w:val="007B0B45"/>
    <w:rsid w:val="007B2A2B"/>
    <w:rsid w:val="007B2B08"/>
    <w:rsid w:val="007B2DC4"/>
    <w:rsid w:val="007B30B6"/>
    <w:rsid w:val="007B346D"/>
    <w:rsid w:val="007B34E6"/>
    <w:rsid w:val="007B47E1"/>
    <w:rsid w:val="007B4D46"/>
    <w:rsid w:val="007B61EC"/>
    <w:rsid w:val="007B6307"/>
    <w:rsid w:val="007B6576"/>
    <w:rsid w:val="007B7227"/>
    <w:rsid w:val="007B79FA"/>
    <w:rsid w:val="007B7B7E"/>
    <w:rsid w:val="007B7D18"/>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5E4"/>
    <w:rsid w:val="007C5585"/>
    <w:rsid w:val="007C66DC"/>
    <w:rsid w:val="007C6FA9"/>
    <w:rsid w:val="007C7710"/>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55F4"/>
    <w:rsid w:val="007D5FAA"/>
    <w:rsid w:val="007D7203"/>
    <w:rsid w:val="007D7A89"/>
    <w:rsid w:val="007D7B82"/>
    <w:rsid w:val="007D7DE5"/>
    <w:rsid w:val="007E05DA"/>
    <w:rsid w:val="007E0D7E"/>
    <w:rsid w:val="007E1955"/>
    <w:rsid w:val="007E2011"/>
    <w:rsid w:val="007E205F"/>
    <w:rsid w:val="007E2237"/>
    <w:rsid w:val="007E291F"/>
    <w:rsid w:val="007E2D8D"/>
    <w:rsid w:val="007E3563"/>
    <w:rsid w:val="007E4261"/>
    <w:rsid w:val="007E4C9A"/>
    <w:rsid w:val="007E4E33"/>
    <w:rsid w:val="007E51F7"/>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1F1C"/>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30020"/>
    <w:rsid w:val="0083008B"/>
    <w:rsid w:val="0083084D"/>
    <w:rsid w:val="00831DFD"/>
    <w:rsid w:val="00832AB7"/>
    <w:rsid w:val="0083347A"/>
    <w:rsid w:val="0083366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6776"/>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6023"/>
    <w:rsid w:val="00896243"/>
    <w:rsid w:val="0089639F"/>
    <w:rsid w:val="00896560"/>
    <w:rsid w:val="00896625"/>
    <w:rsid w:val="008966DB"/>
    <w:rsid w:val="00896868"/>
    <w:rsid w:val="00897963"/>
    <w:rsid w:val="008979A0"/>
    <w:rsid w:val="00897C78"/>
    <w:rsid w:val="008A0685"/>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55A"/>
    <w:rsid w:val="008C292B"/>
    <w:rsid w:val="008C3644"/>
    <w:rsid w:val="008C3929"/>
    <w:rsid w:val="008C3F89"/>
    <w:rsid w:val="008C4F05"/>
    <w:rsid w:val="008C586D"/>
    <w:rsid w:val="008C5CA0"/>
    <w:rsid w:val="008C605D"/>
    <w:rsid w:val="008C620F"/>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31"/>
    <w:rsid w:val="008E1A86"/>
    <w:rsid w:val="008E2418"/>
    <w:rsid w:val="008E2582"/>
    <w:rsid w:val="008E2757"/>
    <w:rsid w:val="008E2CB1"/>
    <w:rsid w:val="008E2FDE"/>
    <w:rsid w:val="008E30A7"/>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942"/>
    <w:rsid w:val="008F4E11"/>
    <w:rsid w:val="008F5566"/>
    <w:rsid w:val="008F60B8"/>
    <w:rsid w:val="008F618B"/>
    <w:rsid w:val="008F627C"/>
    <w:rsid w:val="008F64FF"/>
    <w:rsid w:val="008F68BA"/>
    <w:rsid w:val="008F6A53"/>
    <w:rsid w:val="008F6AE1"/>
    <w:rsid w:val="008F6B0B"/>
    <w:rsid w:val="008F79D2"/>
    <w:rsid w:val="008F7B9B"/>
    <w:rsid w:val="008F7DC1"/>
    <w:rsid w:val="00900619"/>
    <w:rsid w:val="009006A5"/>
    <w:rsid w:val="00900883"/>
    <w:rsid w:val="00900C58"/>
    <w:rsid w:val="009010E1"/>
    <w:rsid w:val="009015DD"/>
    <w:rsid w:val="009016FB"/>
    <w:rsid w:val="00901B41"/>
    <w:rsid w:val="00902320"/>
    <w:rsid w:val="00902490"/>
    <w:rsid w:val="00902987"/>
    <w:rsid w:val="00902C55"/>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375"/>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CF"/>
    <w:rsid w:val="00934144"/>
    <w:rsid w:val="009341AC"/>
    <w:rsid w:val="0093457F"/>
    <w:rsid w:val="00934630"/>
    <w:rsid w:val="009346D3"/>
    <w:rsid w:val="00935215"/>
    <w:rsid w:val="00935B86"/>
    <w:rsid w:val="00935F1D"/>
    <w:rsid w:val="0093641E"/>
    <w:rsid w:val="009364D2"/>
    <w:rsid w:val="009375B8"/>
    <w:rsid w:val="00937727"/>
    <w:rsid w:val="009401BF"/>
    <w:rsid w:val="009405F8"/>
    <w:rsid w:val="00940BB9"/>
    <w:rsid w:val="00940C2B"/>
    <w:rsid w:val="00940F6E"/>
    <w:rsid w:val="00941BF7"/>
    <w:rsid w:val="00941F33"/>
    <w:rsid w:val="00942068"/>
    <w:rsid w:val="00942C14"/>
    <w:rsid w:val="00943109"/>
    <w:rsid w:val="0094323B"/>
    <w:rsid w:val="00943801"/>
    <w:rsid w:val="00944387"/>
    <w:rsid w:val="009445DC"/>
    <w:rsid w:val="00944ECE"/>
    <w:rsid w:val="00945316"/>
    <w:rsid w:val="00945558"/>
    <w:rsid w:val="00945626"/>
    <w:rsid w:val="00945AE3"/>
    <w:rsid w:val="00945EBA"/>
    <w:rsid w:val="00946239"/>
    <w:rsid w:val="009462B4"/>
    <w:rsid w:val="00946CCB"/>
    <w:rsid w:val="009476AE"/>
    <w:rsid w:val="00947EEE"/>
    <w:rsid w:val="0095015B"/>
    <w:rsid w:val="00950209"/>
    <w:rsid w:val="0095048A"/>
    <w:rsid w:val="009506AB"/>
    <w:rsid w:val="00951494"/>
    <w:rsid w:val="009515F4"/>
    <w:rsid w:val="0095168E"/>
    <w:rsid w:val="009518D3"/>
    <w:rsid w:val="0095225B"/>
    <w:rsid w:val="009522A7"/>
    <w:rsid w:val="009525E0"/>
    <w:rsid w:val="00952764"/>
    <w:rsid w:val="00952C5B"/>
    <w:rsid w:val="00953537"/>
    <w:rsid w:val="009539F1"/>
    <w:rsid w:val="00953FA3"/>
    <w:rsid w:val="00954004"/>
    <w:rsid w:val="00954187"/>
    <w:rsid w:val="009545F2"/>
    <w:rsid w:val="0095462E"/>
    <w:rsid w:val="00954968"/>
    <w:rsid w:val="009554E5"/>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947"/>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D48"/>
    <w:rsid w:val="009A0DAA"/>
    <w:rsid w:val="009A10E4"/>
    <w:rsid w:val="009A160C"/>
    <w:rsid w:val="009A1EC9"/>
    <w:rsid w:val="009A26D1"/>
    <w:rsid w:val="009A27C8"/>
    <w:rsid w:val="009A2C6C"/>
    <w:rsid w:val="009A2D29"/>
    <w:rsid w:val="009A367E"/>
    <w:rsid w:val="009A3751"/>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427"/>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4163"/>
    <w:rsid w:val="009C65E2"/>
    <w:rsid w:val="009C69E8"/>
    <w:rsid w:val="009C6E86"/>
    <w:rsid w:val="009C7598"/>
    <w:rsid w:val="009C7682"/>
    <w:rsid w:val="009C78A0"/>
    <w:rsid w:val="009C7ABE"/>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A7E"/>
    <w:rsid w:val="009E4ECD"/>
    <w:rsid w:val="009E557A"/>
    <w:rsid w:val="009E5F6E"/>
    <w:rsid w:val="009E6DD8"/>
    <w:rsid w:val="009E7067"/>
    <w:rsid w:val="009F0156"/>
    <w:rsid w:val="009F024B"/>
    <w:rsid w:val="009F05CF"/>
    <w:rsid w:val="009F193D"/>
    <w:rsid w:val="009F1F8B"/>
    <w:rsid w:val="009F248D"/>
    <w:rsid w:val="009F2827"/>
    <w:rsid w:val="009F2881"/>
    <w:rsid w:val="009F2890"/>
    <w:rsid w:val="009F2909"/>
    <w:rsid w:val="009F2BC9"/>
    <w:rsid w:val="009F2F3C"/>
    <w:rsid w:val="009F319B"/>
    <w:rsid w:val="009F31E8"/>
    <w:rsid w:val="009F3635"/>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A72"/>
    <w:rsid w:val="00A04E36"/>
    <w:rsid w:val="00A058AD"/>
    <w:rsid w:val="00A05BE2"/>
    <w:rsid w:val="00A0620C"/>
    <w:rsid w:val="00A06A0A"/>
    <w:rsid w:val="00A06DFF"/>
    <w:rsid w:val="00A10308"/>
    <w:rsid w:val="00A103B1"/>
    <w:rsid w:val="00A106C4"/>
    <w:rsid w:val="00A11126"/>
    <w:rsid w:val="00A1142F"/>
    <w:rsid w:val="00A11AD7"/>
    <w:rsid w:val="00A1210B"/>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7160"/>
    <w:rsid w:val="00A27434"/>
    <w:rsid w:val="00A27AE4"/>
    <w:rsid w:val="00A30D18"/>
    <w:rsid w:val="00A316B0"/>
    <w:rsid w:val="00A31711"/>
    <w:rsid w:val="00A31B9A"/>
    <w:rsid w:val="00A31DD2"/>
    <w:rsid w:val="00A32126"/>
    <w:rsid w:val="00A3217E"/>
    <w:rsid w:val="00A323BC"/>
    <w:rsid w:val="00A32D03"/>
    <w:rsid w:val="00A33349"/>
    <w:rsid w:val="00A336FF"/>
    <w:rsid w:val="00A3383D"/>
    <w:rsid w:val="00A3395E"/>
    <w:rsid w:val="00A33E85"/>
    <w:rsid w:val="00A34B1F"/>
    <w:rsid w:val="00A34FEF"/>
    <w:rsid w:val="00A35477"/>
    <w:rsid w:val="00A3585D"/>
    <w:rsid w:val="00A35953"/>
    <w:rsid w:val="00A35C8E"/>
    <w:rsid w:val="00A35E6D"/>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E71"/>
    <w:rsid w:val="00A5102D"/>
    <w:rsid w:val="00A512B0"/>
    <w:rsid w:val="00A51745"/>
    <w:rsid w:val="00A51A05"/>
    <w:rsid w:val="00A51EE1"/>
    <w:rsid w:val="00A520A8"/>
    <w:rsid w:val="00A52702"/>
    <w:rsid w:val="00A52B9F"/>
    <w:rsid w:val="00A532ED"/>
    <w:rsid w:val="00A53309"/>
    <w:rsid w:val="00A53BA1"/>
    <w:rsid w:val="00A540D1"/>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BB"/>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6A4"/>
    <w:rsid w:val="00A81A04"/>
    <w:rsid w:val="00A824B8"/>
    <w:rsid w:val="00A824FA"/>
    <w:rsid w:val="00A82BB0"/>
    <w:rsid w:val="00A835D9"/>
    <w:rsid w:val="00A83798"/>
    <w:rsid w:val="00A83834"/>
    <w:rsid w:val="00A83C21"/>
    <w:rsid w:val="00A85A3F"/>
    <w:rsid w:val="00A85B30"/>
    <w:rsid w:val="00A85ECA"/>
    <w:rsid w:val="00A867F6"/>
    <w:rsid w:val="00A87882"/>
    <w:rsid w:val="00A87F72"/>
    <w:rsid w:val="00A9046E"/>
    <w:rsid w:val="00A9081E"/>
    <w:rsid w:val="00A90903"/>
    <w:rsid w:val="00A910E8"/>
    <w:rsid w:val="00A9132E"/>
    <w:rsid w:val="00A919E2"/>
    <w:rsid w:val="00A92357"/>
    <w:rsid w:val="00A924E0"/>
    <w:rsid w:val="00A92989"/>
    <w:rsid w:val="00A92A7A"/>
    <w:rsid w:val="00A933A9"/>
    <w:rsid w:val="00A938E9"/>
    <w:rsid w:val="00A9439C"/>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42B"/>
    <w:rsid w:val="00AB4D9E"/>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975"/>
    <w:rsid w:val="00AD6844"/>
    <w:rsid w:val="00AD6C4C"/>
    <w:rsid w:val="00AD6CBB"/>
    <w:rsid w:val="00AD7778"/>
    <w:rsid w:val="00AD7779"/>
    <w:rsid w:val="00AD7C24"/>
    <w:rsid w:val="00AE008B"/>
    <w:rsid w:val="00AE034E"/>
    <w:rsid w:val="00AE0373"/>
    <w:rsid w:val="00AE117B"/>
    <w:rsid w:val="00AE151B"/>
    <w:rsid w:val="00AE1791"/>
    <w:rsid w:val="00AE1EC5"/>
    <w:rsid w:val="00AE2401"/>
    <w:rsid w:val="00AE3003"/>
    <w:rsid w:val="00AE302D"/>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500A"/>
    <w:rsid w:val="00B05224"/>
    <w:rsid w:val="00B05424"/>
    <w:rsid w:val="00B05636"/>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81C"/>
    <w:rsid w:val="00B228F5"/>
    <w:rsid w:val="00B237AF"/>
    <w:rsid w:val="00B2429B"/>
    <w:rsid w:val="00B2444B"/>
    <w:rsid w:val="00B2447B"/>
    <w:rsid w:val="00B24F87"/>
    <w:rsid w:val="00B252AB"/>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FC0"/>
    <w:rsid w:val="00B424B6"/>
    <w:rsid w:val="00B42ED5"/>
    <w:rsid w:val="00B42FE3"/>
    <w:rsid w:val="00B43001"/>
    <w:rsid w:val="00B43F7C"/>
    <w:rsid w:val="00B44758"/>
    <w:rsid w:val="00B447AD"/>
    <w:rsid w:val="00B44E6C"/>
    <w:rsid w:val="00B469D2"/>
    <w:rsid w:val="00B47ADC"/>
    <w:rsid w:val="00B47B6B"/>
    <w:rsid w:val="00B47C83"/>
    <w:rsid w:val="00B47CD7"/>
    <w:rsid w:val="00B47CE6"/>
    <w:rsid w:val="00B50E8B"/>
    <w:rsid w:val="00B51050"/>
    <w:rsid w:val="00B51306"/>
    <w:rsid w:val="00B51B00"/>
    <w:rsid w:val="00B52484"/>
    <w:rsid w:val="00B52A2F"/>
    <w:rsid w:val="00B52CDF"/>
    <w:rsid w:val="00B52D11"/>
    <w:rsid w:val="00B53473"/>
    <w:rsid w:val="00B53BE0"/>
    <w:rsid w:val="00B53EE0"/>
    <w:rsid w:val="00B5416F"/>
    <w:rsid w:val="00B5479D"/>
    <w:rsid w:val="00B54B6D"/>
    <w:rsid w:val="00B54D90"/>
    <w:rsid w:val="00B54EC0"/>
    <w:rsid w:val="00B553D3"/>
    <w:rsid w:val="00B55794"/>
    <w:rsid w:val="00B5581E"/>
    <w:rsid w:val="00B5610C"/>
    <w:rsid w:val="00B56321"/>
    <w:rsid w:val="00B568F3"/>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1F1"/>
    <w:rsid w:val="00B95361"/>
    <w:rsid w:val="00B954D7"/>
    <w:rsid w:val="00B95E90"/>
    <w:rsid w:val="00B97234"/>
    <w:rsid w:val="00B9735A"/>
    <w:rsid w:val="00B978D9"/>
    <w:rsid w:val="00BA00CB"/>
    <w:rsid w:val="00BA0492"/>
    <w:rsid w:val="00BA0869"/>
    <w:rsid w:val="00BA0B0E"/>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4A"/>
    <w:rsid w:val="00BB538C"/>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D0108"/>
    <w:rsid w:val="00BD01EB"/>
    <w:rsid w:val="00BD01FD"/>
    <w:rsid w:val="00BD0271"/>
    <w:rsid w:val="00BD0AB7"/>
    <w:rsid w:val="00BD0EDA"/>
    <w:rsid w:val="00BD0F06"/>
    <w:rsid w:val="00BD1240"/>
    <w:rsid w:val="00BD12B5"/>
    <w:rsid w:val="00BD21B2"/>
    <w:rsid w:val="00BD2294"/>
    <w:rsid w:val="00BD30A9"/>
    <w:rsid w:val="00BD3486"/>
    <w:rsid w:val="00BD3A51"/>
    <w:rsid w:val="00BD4196"/>
    <w:rsid w:val="00BD4283"/>
    <w:rsid w:val="00BD4414"/>
    <w:rsid w:val="00BD5784"/>
    <w:rsid w:val="00BD5808"/>
    <w:rsid w:val="00BD6597"/>
    <w:rsid w:val="00BD66F0"/>
    <w:rsid w:val="00BD68AF"/>
    <w:rsid w:val="00BE0722"/>
    <w:rsid w:val="00BE1972"/>
    <w:rsid w:val="00BE1E4C"/>
    <w:rsid w:val="00BE26D0"/>
    <w:rsid w:val="00BE26DA"/>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C00447"/>
    <w:rsid w:val="00C00A3D"/>
    <w:rsid w:val="00C00C15"/>
    <w:rsid w:val="00C00D52"/>
    <w:rsid w:val="00C00FAB"/>
    <w:rsid w:val="00C01283"/>
    <w:rsid w:val="00C0131D"/>
    <w:rsid w:val="00C027A4"/>
    <w:rsid w:val="00C028AB"/>
    <w:rsid w:val="00C0302A"/>
    <w:rsid w:val="00C0389D"/>
    <w:rsid w:val="00C03B5C"/>
    <w:rsid w:val="00C04297"/>
    <w:rsid w:val="00C04433"/>
    <w:rsid w:val="00C04E97"/>
    <w:rsid w:val="00C05064"/>
    <w:rsid w:val="00C05C0F"/>
    <w:rsid w:val="00C05F1A"/>
    <w:rsid w:val="00C060C4"/>
    <w:rsid w:val="00C06BC2"/>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573"/>
    <w:rsid w:val="00C15E56"/>
    <w:rsid w:val="00C16212"/>
    <w:rsid w:val="00C16252"/>
    <w:rsid w:val="00C16FCF"/>
    <w:rsid w:val="00C172AE"/>
    <w:rsid w:val="00C173BF"/>
    <w:rsid w:val="00C17A49"/>
    <w:rsid w:val="00C17B3B"/>
    <w:rsid w:val="00C2072E"/>
    <w:rsid w:val="00C20D55"/>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C94"/>
    <w:rsid w:val="00C25EBE"/>
    <w:rsid w:val="00C26598"/>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9F"/>
    <w:rsid w:val="00C34ED3"/>
    <w:rsid w:val="00C35109"/>
    <w:rsid w:val="00C35175"/>
    <w:rsid w:val="00C35E37"/>
    <w:rsid w:val="00C36A89"/>
    <w:rsid w:val="00C36FE3"/>
    <w:rsid w:val="00C372D6"/>
    <w:rsid w:val="00C373F9"/>
    <w:rsid w:val="00C37D1F"/>
    <w:rsid w:val="00C403BE"/>
    <w:rsid w:val="00C40630"/>
    <w:rsid w:val="00C40755"/>
    <w:rsid w:val="00C40E81"/>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1E5"/>
    <w:rsid w:val="00C6532C"/>
    <w:rsid w:val="00C6545F"/>
    <w:rsid w:val="00C655B2"/>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C9"/>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626"/>
    <w:rsid w:val="00CA6C72"/>
    <w:rsid w:val="00CA6E74"/>
    <w:rsid w:val="00CA76AD"/>
    <w:rsid w:val="00CA777A"/>
    <w:rsid w:val="00CA7CE2"/>
    <w:rsid w:val="00CB0B16"/>
    <w:rsid w:val="00CB10EA"/>
    <w:rsid w:val="00CB110F"/>
    <w:rsid w:val="00CB136F"/>
    <w:rsid w:val="00CB14E1"/>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BB4"/>
    <w:rsid w:val="00CC2E4F"/>
    <w:rsid w:val="00CC35BA"/>
    <w:rsid w:val="00CC3B2A"/>
    <w:rsid w:val="00CC3EDE"/>
    <w:rsid w:val="00CC4402"/>
    <w:rsid w:val="00CC44DE"/>
    <w:rsid w:val="00CC479E"/>
    <w:rsid w:val="00CC47F5"/>
    <w:rsid w:val="00CC5035"/>
    <w:rsid w:val="00CC591B"/>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7298"/>
    <w:rsid w:val="00CD7341"/>
    <w:rsid w:val="00CD798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646A"/>
    <w:rsid w:val="00D06D8F"/>
    <w:rsid w:val="00D070C8"/>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17"/>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9D5"/>
    <w:rsid w:val="00D41F64"/>
    <w:rsid w:val="00D42129"/>
    <w:rsid w:val="00D42278"/>
    <w:rsid w:val="00D422E0"/>
    <w:rsid w:val="00D42742"/>
    <w:rsid w:val="00D43098"/>
    <w:rsid w:val="00D4319C"/>
    <w:rsid w:val="00D4462F"/>
    <w:rsid w:val="00D447FE"/>
    <w:rsid w:val="00D44CAF"/>
    <w:rsid w:val="00D45681"/>
    <w:rsid w:val="00D46020"/>
    <w:rsid w:val="00D460D3"/>
    <w:rsid w:val="00D4736E"/>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A62"/>
    <w:rsid w:val="00D55B2E"/>
    <w:rsid w:val="00D55DCC"/>
    <w:rsid w:val="00D564A7"/>
    <w:rsid w:val="00D5686F"/>
    <w:rsid w:val="00D56CE0"/>
    <w:rsid w:val="00D57107"/>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2F8"/>
    <w:rsid w:val="00D70BD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AE9"/>
    <w:rsid w:val="00D740E8"/>
    <w:rsid w:val="00D7428B"/>
    <w:rsid w:val="00D7449B"/>
    <w:rsid w:val="00D74C1C"/>
    <w:rsid w:val="00D74D61"/>
    <w:rsid w:val="00D74F3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76F"/>
    <w:rsid w:val="00D81C98"/>
    <w:rsid w:val="00D81F5A"/>
    <w:rsid w:val="00D822E5"/>
    <w:rsid w:val="00D8231B"/>
    <w:rsid w:val="00D829F9"/>
    <w:rsid w:val="00D83595"/>
    <w:rsid w:val="00D83621"/>
    <w:rsid w:val="00D83823"/>
    <w:rsid w:val="00D840E6"/>
    <w:rsid w:val="00D84528"/>
    <w:rsid w:val="00D84F31"/>
    <w:rsid w:val="00D851EE"/>
    <w:rsid w:val="00D856F9"/>
    <w:rsid w:val="00D86A85"/>
    <w:rsid w:val="00D86E1C"/>
    <w:rsid w:val="00D877C1"/>
    <w:rsid w:val="00D87AEC"/>
    <w:rsid w:val="00D87C50"/>
    <w:rsid w:val="00D903B3"/>
    <w:rsid w:val="00D90A45"/>
    <w:rsid w:val="00D90ADA"/>
    <w:rsid w:val="00D91400"/>
    <w:rsid w:val="00D91B26"/>
    <w:rsid w:val="00D91FB8"/>
    <w:rsid w:val="00D925A6"/>
    <w:rsid w:val="00D92B25"/>
    <w:rsid w:val="00D92C25"/>
    <w:rsid w:val="00D93206"/>
    <w:rsid w:val="00D93AD0"/>
    <w:rsid w:val="00D93DAC"/>
    <w:rsid w:val="00D941A6"/>
    <w:rsid w:val="00D9433A"/>
    <w:rsid w:val="00D94440"/>
    <w:rsid w:val="00D950DB"/>
    <w:rsid w:val="00D95F03"/>
    <w:rsid w:val="00D96364"/>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74F"/>
    <w:rsid w:val="00DB4808"/>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6CD"/>
    <w:rsid w:val="00DE1149"/>
    <w:rsid w:val="00DE116D"/>
    <w:rsid w:val="00DE15F1"/>
    <w:rsid w:val="00DE1691"/>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62A0"/>
    <w:rsid w:val="00DF6511"/>
    <w:rsid w:val="00DF6BB2"/>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74FF"/>
    <w:rsid w:val="00E17551"/>
    <w:rsid w:val="00E17C2C"/>
    <w:rsid w:val="00E2051A"/>
    <w:rsid w:val="00E2081B"/>
    <w:rsid w:val="00E2114F"/>
    <w:rsid w:val="00E21603"/>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8C9"/>
    <w:rsid w:val="00E25C71"/>
    <w:rsid w:val="00E25EFA"/>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51A9"/>
    <w:rsid w:val="00E4525A"/>
    <w:rsid w:val="00E45310"/>
    <w:rsid w:val="00E4547D"/>
    <w:rsid w:val="00E45A38"/>
    <w:rsid w:val="00E45BC2"/>
    <w:rsid w:val="00E45DE0"/>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336"/>
    <w:rsid w:val="00E853F3"/>
    <w:rsid w:val="00E85462"/>
    <w:rsid w:val="00E861E5"/>
    <w:rsid w:val="00E86B0D"/>
    <w:rsid w:val="00E86DF3"/>
    <w:rsid w:val="00E875F1"/>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AA1"/>
    <w:rsid w:val="00EA0675"/>
    <w:rsid w:val="00EA09A9"/>
    <w:rsid w:val="00EA1E53"/>
    <w:rsid w:val="00EA1FD6"/>
    <w:rsid w:val="00EA265C"/>
    <w:rsid w:val="00EA2CED"/>
    <w:rsid w:val="00EA2CF6"/>
    <w:rsid w:val="00EA2F69"/>
    <w:rsid w:val="00EA368F"/>
    <w:rsid w:val="00EA4123"/>
    <w:rsid w:val="00EA423E"/>
    <w:rsid w:val="00EA445A"/>
    <w:rsid w:val="00EA484B"/>
    <w:rsid w:val="00EA499F"/>
    <w:rsid w:val="00EA514A"/>
    <w:rsid w:val="00EA52BC"/>
    <w:rsid w:val="00EA5BA9"/>
    <w:rsid w:val="00EA5C6B"/>
    <w:rsid w:val="00EA5DC3"/>
    <w:rsid w:val="00EA6103"/>
    <w:rsid w:val="00EA636C"/>
    <w:rsid w:val="00EA74B3"/>
    <w:rsid w:val="00EA759C"/>
    <w:rsid w:val="00EA7955"/>
    <w:rsid w:val="00EA79A3"/>
    <w:rsid w:val="00EA7C0D"/>
    <w:rsid w:val="00EB0E6E"/>
    <w:rsid w:val="00EB15CB"/>
    <w:rsid w:val="00EB1AD9"/>
    <w:rsid w:val="00EB2D78"/>
    <w:rsid w:val="00EB2DAC"/>
    <w:rsid w:val="00EB2E2D"/>
    <w:rsid w:val="00EB40B0"/>
    <w:rsid w:val="00EB40C3"/>
    <w:rsid w:val="00EB4C13"/>
    <w:rsid w:val="00EB4F42"/>
    <w:rsid w:val="00EB50F3"/>
    <w:rsid w:val="00EB57C7"/>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58D1"/>
    <w:rsid w:val="00EE5CF2"/>
    <w:rsid w:val="00EE5EEB"/>
    <w:rsid w:val="00EE6B60"/>
    <w:rsid w:val="00EE6DB0"/>
    <w:rsid w:val="00EE78A9"/>
    <w:rsid w:val="00EE7E30"/>
    <w:rsid w:val="00EE7EB2"/>
    <w:rsid w:val="00EF0816"/>
    <w:rsid w:val="00EF1176"/>
    <w:rsid w:val="00EF1433"/>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24DF"/>
    <w:rsid w:val="00F031FB"/>
    <w:rsid w:val="00F039C5"/>
    <w:rsid w:val="00F03BC1"/>
    <w:rsid w:val="00F03E3A"/>
    <w:rsid w:val="00F03E4A"/>
    <w:rsid w:val="00F041D4"/>
    <w:rsid w:val="00F047C8"/>
    <w:rsid w:val="00F0492F"/>
    <w:rsid w:val="00F04D05"/>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546"/>
    <w:rsid w:val="00F23656"/>
    <w:rsid w:val="00F23776"/>
    <w:rsid w:val="00F238BE"/>
    <w:rsid w:val="00F23BA8"/>
    <w:rsid w:val="00F24170"/>
    <w:rsid w:val="00F245D1"/>
    <w:rsid w:val="00F24C1A"/>
    <w:rsid w:val="00F252AB"/>
    <w:rsid w:val="00F25B54"/>
    <w:rsid w:val="00F26B13"/>
    <w:rsid w:val="00F2721C"/>
    <w:rsid w:val="00F2747F"/>
    <w:rsid w:val="00F2757D"/>
    <w:rsid w:val="00F27936"/>
    <w:rsid w:val="00F279CC"/>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DF"/>
    <w:rsid w:val="00F34063"/>
    <w:rsid w:val="00F3417F"/>
    <w:rsid w:val="00F34251"/>
    <w:rsid w:val="00F342B6"/>
    <w:rsid w:val="00F34F0A"/>
    <w:rsid w:val="00F35024"/>
    <w:rsid w:val="00F351CB"/>
    <w:rsid w:val="00F35A7C"/>
    <w:rsid w:val="00F3611B"/>
    <w:rsid w:val="00F36A2D"/>
    <w:rsid w:val="00F3781D"/>
    <w:rsid w:val="00F401F3"/>
    <w:rsid w:val="00F40DBC"/>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13FA"/>
    <w:rsid w:val="00F62069"/>
    <w:rsid w:val="00F6294E"/>
    <w:rsid w:val="00F62BCB"/>
    <w:rsid w:val="00F634D4"/>
    <w:rsid w:val="00F6371B"/>
    <w:rsid w:val="00F63A1C"/>
    <w:rsid w:val="00F642BD"/>
    <w:rsid w:val="00F64696"/>
    <w:rsid w:val="00F646DB"/>
    <w:rsid w:val="00F64CC2"/>
    <w:rsid w:val="00F64E92"/>
    <w:rsid w:val="00F658A2"/>
    <w:rsid w:val="00F65DF5"/>
    <w:rsid w:val="00F6607D"/>
    <w:rsid w:val="00F66139"/>
    <w:rsid w:val="00F665D2"/>
    <w:rsid w:val="00F66B0D"/>
    <w:rsid w:val="00F66DA2"/>
    <w:rsid w:val="00F67DC9"/>
    <w:rsid w:val="00F70007"/>
    <w:rsid w:val="00F7120F"/>
    <w:rsid w:val="00F712CD"/>
    <w:rsid w:val="00F7144F"/>
    <w:rsid w:val="00F71847"/>
    <w:rsid w:val="00F71ABA"/>
    <w:rsid w:val="00F71D9A"/>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D5"/>
    <w:rsid w:val="00F865A2"/>
    <w:rsid w:val="00F86653"/>
    <w:rsid w:val="00F866E4"/>
    <w:rsid w:val="00F86FA9"/>
    <w:rsid w:val="00F8705D"/>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6A4"/>
    <w:rsid w:val="00FC0BF2"/>
    <w:rsid w:val="00FC0F71"/>
    <w:rsid w:val="00FC1176"/>
    <w:rsid w:val="00FC1DD8"/>
    <w:rsid w:val="00FC2159"/>
    <w:rsid w:val="00FC2390"/>
    <w:rsid w:val="00FC266E"/>
    <w:rsid w:val="00FC3187"/>
    <w:rsid w:val="00FC3905"/>
    <w:rsid w:val="00FC3E06"/>
    <w:rsid w:val="00FC40BB"/>
    <w:rsid w:val="00FC466A"/>
    <w:rsid w:val="00FC5BB8"/>
    <w:rsid w:val="00FC6111"/>
    <w:rsid w:val="00FC62C5"/>
    <w:rsid w:val="00FC6552"/>
    <w:rsid w:val="00FC7344"/>
    <w:rsid w:val="00FC7FB7"/>
    <w:rsid w:val="00FD0CEC"/>
    <w:rsid w:val="00FD0D4D"/>
    <w:rsid w:val="00FD1400"/>
    <w:rsid w:val="00FD1987"/>
    <w:rsid w:val="00FD1D01"/>
    <w:rsid w:val="00FD2561"/>
    <w:rsid w:val="00FD3036"/>
    <w:rsid w:val="00FD34CC"/>
    <w:rsid w:val="00FD37F2"/>
    <w:rsid w:val="00FD39FA"/>
    <w:rsid w:val="00FD3CD7"/>
    <w:rsid w:val="00FD3D7F"/>
    <w:rsid w:val="00FD4124"/>
    <w:rsid w:val="00FD44AD"/>
    <w:rsid w:val="00FD4AC5"/>
    <w:rsid w:val="00FD5710"/>
    <w:rsid w:val="00FD58C4"/>
    <w:rsid w:val="00FD5FF3"/>
    <w:rsid w:val="00FD6C34"/>
    <w:rsid w:val="00FD73D2"/>
    <w:rsid w:val="00FD73D5"/>
    <w:rsid w:val="00FD7A58"/>
    <w:rsid w:val="00FD7A7F"/>
    <w:rsid w:val="00FD7E32"/>
    <w:rsid w:val="00FE13AF"/>
    <w:rsid w:val="00FE1B14"/>
    <w:rsid w:val="00FE20F5"/>
    <w:rsid w:val="00FE24AF"/>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F3"/>
    <w:rsid w:val="00FF2C8E"/>
    <w:rsid w:val="00FF2CD9"/>
    <w:rsid w:val="00FF3C64"/>
    <w:rsid w:val="00FF40D3"/>
    <w:rsid w:val="00FF4E16"/>
    <w:rsid w:val="00FF5153"/>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A"/>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10742D"/>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osfid.com.ar" TargetMode="External"/><Relationship Id="rId21" Type="http://schemas.openxmlformats.org/officeDocument/2006/relationships/hyperlink" Target="https://www.argentina.gob.ar/cnv,%20en" TargetMode="External"/><Relationship Id="rId42" Type="http://schemas.openxmlformats.org/officeDocument/2006/relationships/image" Target="media/image21.emf"/><Relationship Id="rId47" Type="http://schemas.openxmlformats.org/officeDocument/2006/relationships/image" Target="media/image26.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customXml" Target="../customXml/item7.xml"/><Relationship Id="rId16" Type="http://schemas.openxmlformats.org/officeDocument/2006/relationships/image" Target="media/image4.jpeg"/><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7.emf"/><Relationship Id="rId53" Type="http://schemas.openxmlformats.org/officeDocument/2006/relationships/hyperlink" Target="mailto:calarcon@azarchivos.com.ar" TargetMode="External"/><Relationship Id="rId58" Type="http://schemas.openxmlformats.org/officeDocument/2006/relationships/image" Target="media/image33.emf"/><Relationship Id="rId74" Type="http://schemas.openxmlformats.org/officeDocument/2006/relationships/image" Target="media/image49.emf"/><Relationship Id="rId79" Type="http://schemas.openxmlformats.org/officeDocument/2006/relationships/hyperlink" Target="mailto:infofid@bamegatone.com" TargetMode="External"/><Relationship Id="rId5" Type="http://schemas.openxmlformats.org/officeDocument/2006/relationships/customXml" Target="../customXml/item5.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hyperlink" Target="mailto:infofid@bamegatone.com" TargetMode="External"/><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image" Target="media/image31.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hyperlink" Target="http://www.afip.gob.ar/jurisdiccionesCooperantes/" TargetMode="External"/><Relationship Id="rId8" Type="http://schemas.openxmlformats.org/officeDocument/2006/relationships/styles" Target="styles.xml"/><Relationship Id="rId51" Type="http://schemas.openxmlformats.org/officeDocument/2006/relationships/hyperlink" Target="mailto:info@cobroexpress.com.ar" TargetMode="External"/><Relationship Id="rId72" Type="http://schemas.openxmlformats.org/officeDocument/2006/relationships/image" Target="media/image47.emf"/><Relationship Id="rId80" Type="http://schemas.openxmlformats.org/officeDocument/2006/relationships/header" Target="header1.xml"/><Relationship Id="rId85"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rosfid.com.ar" TargetMode="External"/><Relationship Id="rId33" Type="http://schemas.openxmlformats.org/officeDocument/2006/relationships/image" Target="media/image13.emf"/><Relationship Id="rId38" Type="http://schemas.openxmlformats.org/officeDocument/2006/relationships/hyperlink" Target="https://www.megacash.com.ar/" TargetMode="External"/><Relationship Id="rId46" Type="http://schemas.openxmlformats.org/officeDocument/2006/relationships/image" Target="media/image25.emf"/><Relationship Id="rId59" Type="http://schemas.openxmlformats.org/officeDocument/2006/relationships/image" Target="media/image34.emf"/><Relationship Id="rId67" Type="http://schemas.openxmlformats.org/officeDocument/2006/relationships/image" Target="media/image42.emf"/><Relationship Id="rId20" Type="http://schemas.openxmlformats.org/officeDocument/2006/relationships/image" Target="media/image8.emf"/><Relationship Id="rId41" Type="http://schemas.openxmlformats.org/officeDocument/2006/relationships/image" Target="media/image20.emf"/><Relationship Id="rId54" Type="http://schemas.openxmlformats.org/officeDocument/2006/relationships/hyperlink" Target="mailto:info@zubillagayasoc.com" TargetMode="External"/><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50.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www.argentina.gob.ar" TargetMode="External"/><Relationship Id="rId28" Type="http://schemas.openxmlformats.org/officeDocument/2006/relationships/hyperlink" Target="http://www.megatone.net" TargetMode="External"/><Relationship Id="rId36" Type="http://schemas.openxmlformats.org/officeDocument/2006/relationships/image" Target="media/image16.emf"/><Relationship Id="rId49" Type="http://schemas.openxmlformats.org/officeDocument/2006/relationships/image" Target="media/image28.emf"/><Relationship Id="rId57" Type="http://schemas.openxmlformats.org/officeDocument/2006/relationships/image" Target="media/image32.emf"/><Relationship Id="rId10" Type="http://schemas.openxmlformats.org/officeDocument/2006/relationships/webSettings" Target="webSettings.xml"/><Relationship Id="rId31" Type="http://schemas.openxmlformats.org/officeDocument/2006/relationships/image" Target="media/image11.emf"/><Relationship Id="rId44" Type="http://schemas.openxmlformats.org/officeDocument/2006/relationships/image" Target="media/image23.emf"/><Relationship Id="rId52" Type="http://schemas.openxmlformats.org/officeDocument/2006/relationships/hyperlink" Target="http://www.cobroexpress.com.ar/" TargetMode="External"/><Relationship Id="rId60" Type="http://schemas.openxmlformats.org/officeDocument/2006/relationships/image" Target="media/image35.emf"/><Relationship Id="rId65" Type="http://schemas.openxmlformats.org/officeDocument/2006/relationships/image" Target="media/image40.emf"/><Relationship Id="rId73" Type="http://schemas.openxmlformats.org/officeDocument/2006/relationships/image" Target="media/image48.emf"/><Relationship Id="rId78" Type="http://schemas.openxmlformats.org/officeDocument/2006/relationships/hyperlink" Target="http://www.afip.gob.ar" TargetMode="External"/><Relationship Id="rId81" Type="http://schemas.openxmlformats.org/officeDocument/2006/relationships/footer" Target="footer1.xml"/><Relationship Id="rId86" Type="http://schemas.openxmlformats.org/officeDocument/2006/relationships/customXml" Target="../customXml/item9.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39" Type="http://schemas.openxmlformats.org/officeDocument/2006/relationships/image" Target="media/image18.emf"/><Relationship Id="rId34" Type="http://schemas.openxmlformats.org/officeDocument/2006/relationships/image" Target="media/image14.emf"/><Relationship Id="rId50" Type="http://schemas.openxmlformats.org/officeDocument/2006/relationships/image" Target="media/image29.emf"/><Relationship Id="rId55" Type="http://schemas.openxmlformats.org/officeDocument/2006/relationships/image" Target="media/image30.emf"/><Relationship Id="rId76" Type="http://schemas.openxmlformats.org/officeDocument/2006/relationships/hyperlink" Target="mailto:mercadodecapitales@stonex.com" TargetMode="External"/><Relationship Id="rId7" Type="http://schemas.openxmlformats.org/officeDocument/2006/relationships/numbering" Target="numbering.xml"/><Relationship Id="rId71" Type="http://schemas.openxmlformats.org/officeDocument/2006/relationships/image" Target="media/image46.emf"/><Relationship Id="rId2" Type="http://schemas.openxmlformats.org/officeDocument/2006/relationships/customXml" Target="../customXml/item2.xml"/><Relationship Id="rId29" Type="http://schemas.openxmlformats.org/officeDocument/2006/relationships/image" Target="media/image9.emf"/><Relationship Id="rId24" Type="http://schemas.openxmlformats.org/officeDocument/2006/relationships/hyperlink" Target="mailto:administracion@rosfid.com.ar" TargetMode="External"/><Relationship Id="rId40" Type="http://schemas.openxmlformats.org/officeDocument/2006/relationships/image" Target="media/image19.emf"/><Relationship Id="rId45" Type="http://schemas.openxmlformats.org/officeDocument/2006/relationships/image" Target="media/image24.emf"/><Relationship Id="rId66" Type="http://schemas.openxmlformats.org/officeDocument/2006/relationships/image" Target="media/image41.emf"/><Relationship Id="rId61" Type="http://schemas.openxmlformats.org/officeDocument/2006/relationships/image" Target="media/image36.emf"/><Relationship Id="rId8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5" ma:contentTypeDescription="Crear nuevo documento." ma:contentTypeScope="" ma:versionID="195a64f253820eca16bba39b8620f872">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d7d7ed32da8a6480e62b765a1763a1a"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BAD3C-DF54-446D-B9CC-0C9AA68388B6}">
  <ds:schemaRefs>
    <ds:schemaRef ds:uri="http://schemas.openxmlformats.org/officeDocument/2006/bibliography"/>
  </ds:schemaRefs>
</ds:datastoreItem>
</file>

<file path=customXml/itemProps2.xml><?xml version="1.0" encoding="utf-8"?>
<ds:datastoreItem xmlns:ds="http://schemas.openxmlformats.org/officeDocument/2006/customXml" ds:itemID="{10D16455-8068-486E-AE5A-03D10AC69AF9}">
  <ds:schemaRefs>
    <ds:schemaRef ds:uri="http://schemas.openxmlformats.org/officeDocument/2006/bibliography"/>
  </ds:schemaRefs>
</ds:datastoreItem>
</file>

<file path=customXml/itemProps3.xml><?xml version="1.0" encoding="utf-8"?>
<ds:datastoreItem xmlns:ds="http://schemas.openxmlformats.org/officeDocument/2006/customXml" ds:itemID="{C500826E-6229-499E-B997-523270773DA7}">
  <ds:schemaRefs>
    <ds:schemaRef ds:uri="http://schemas.openxmlformats.org/officeDocument/2006/bibliography"/>
  </ds:schemaRefs>
</ds:datastoreItem>
</file>

<file path=customXml/itemProps4.xml><?xml version="1.0" encoding="utf-8"?>
<ds:datastoreItem xmlns:ds="http://schemas.openxmlformats.org/officeDocument/2006/customXml" ds:itemID="{E622CF7A-BAE5-48D6-9339-A0D30E30D000}">
  <ds:schemaRefs>
    <ds:schemaRef ds:uri="http://schemas.openxmlformats.org/officeDocument/2006/bibliography"/>
  </ds:schemaRefs>
</ds:datastoreItem>
</file>

<file path=customXml/itemProps5.xml><?xml version="1.0" encoding="utf-8"?>
<ds:datastoreItem xmlns:ds="http://schemas.openxmlformats.org/officeDocument/2006/customXml" ds:itemID="{7DF104AC-C303-4F43-AF68-5B7320C3BAA8}">
  <ds:schemaRefs>
    <ds:schemaRef ds:uri="http://schemas.openxmlformats.org/officeDocument/2006/bibliography"/>
  </ds:schemaRefs>
</ds:datastoreItem>
</file>

<file path=customXml/itemProps6.xml><?xml version="1.0" encoding="utf-8"?>
<ds:datastoreItem xmlns:ds="http://schemas.openxmlformats.org/officeDocument/2006/customXml" ds:itemID="{D72241E6-9871-4A85-9735-BD89C1D2B4BF}">
  <ds:schemaRefs>
    <ds:schemaRef ds:uri="http://schemas.openxmlformats.org/officeDocument/2006/bibliography"/>
  </ds:schemaRefs>
</ds:datastoreItem>
</file>

<file path=customXml/itemProps7.xml><?xml version="1.0" encoding="utf-8"?>
<ds:datastoreItem xmlns:ds="http://schemas.openxmlformats.org/officeDocument/2006/customXml" ds:itemID="{CDAFE517-2CAB-47DE-8EAD-6F5D2F401A64}"/>
</file>

<file path=customXml/itemProps8.xml><?xml version="1.0" encoding="utf-8"?>
<ds:datastoreItem xmlns:ds="http://schemas.openxmlformats.org/officeDocument/2006/customXml" ds:itemID="{05CE5E5D-E23E-42B2-99BB-98F3F72383D1}"/>
</file>

<file path=customXml/itemProps9.xml><?xml version="1.0" encoding="utf-8"?>
<ds:datastoreItem xmlns:ds="http://schemas.openxmlformats.org/officeDocument/2006/customXml" ds:itemID="{45310FDC-205C-4D54-B7AC-5DE4B48D4AC5}"/>
</file>

<file path=docProps/app.xml><?xml version="1.0" encoding="utf-8"?>
<Properties xmlns="http://schemas.openxmlformats.org/officeDocument/2006/extended-properties" xmlns:vt="http://schemas.openxmlformats.org/officeDocument/2006/docPropsVTypes">
  <Template>Normal</Template>
  <TotalTime>0</TotalTime>
  <Pages>1</Pages>
  <Words>49088</Words>
  <Characters>269988</Characters>
  <Application>Microsoft Office Word</Application>
  <DocSecurity>0</DocSecurity>
  <Lines>2249</Lines>
  <Paragraphs>636</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318440</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Manuel Ventureira</cp:lastModifiedBy>
  <cp:revision>5</cp:revision>
  <cp:lastPrinted>2023-11-29T17:55:00Z</cp:lastPrinted>
  <dcterms:created xsi:type="dcterms:W3CDTF">2023-11-29T16:40:00Z</dcterms:created>
  <dcterms:modified xsi:type="dcterms:W3CDTF">2023-11-29T17:55:00Z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y fmtid="{D5CDD505-2E9C-101B-9397-08002B2CF9AE}" pid="6" name="ContentTypeId">
    <vt:lpwstr>0x010100D6CA5EAACE9DA04D9E421A617A76D009</vt:lpwstr>
  </property>
</Properties>
</file>