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B99DD" w14:textId="28AC42A8" w:rsidR="00651CE1" w:rsidRPr="00506990" w:rsidRDefault="00651CE1" w:rsidP="00EE6B60">
      <w:pPr>
        <w:pStyle w:val="Descripcin"/>
        <w:rPr>
          <w:rFonts w:ascii="Times New Roman" w:hAnsi="Times New Roman" w:cs="Times New Roman"/>
        </w:rPr>
      </w:pPr>
      <w:r w:rsidRPr="00506990">
        <w:rPr>
          <w:rFonts w:ascii="Times New Roman" w:hAnsi="Times New Roman" w:cs="Times New Roman"/>
        </w:rPr>
        <w:t xml:space="preserve">SUPLEMENTO DEL PROSPECTO </w:t>
      </w:r>
      <w:r w:rsidR="00BF6726">
        <w:rPr>
          <w:rFonts w:ascii="Times New Roman" w:hAnsi="Times New Roman" w:cs="Times New Roman"/>
        </w:rPr>
        <w:t xml:space="preserve">RESUMIDO </w:t>
      </w:r>
      <w:r w:rsidRPr="00506990">
        <w:rPr>
          <w:rFonts w:ascii="Times New Roman" w:hAnsi="Times New Roman" w:cs="Times New Roman"/>
        </w:rPr>
        <w:t>DE OFERTA PÚBLICA</w:t>
      </w:r>
    </w:p>
    <w:p w14:paraId="6498464B" w14:textId="1A27C429"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C55AB5" w:rsidRPr="00506990">
        <w:rPr>
          <w:rFonts w:ascii="Times New Roman" w:hAnsi="Times New Roman" w:cs="Times New Roman"/>
          <w:b/>
          <w:bCs/>
          <w:iCs/>
          <w:color w:val="0D0D0D" w:themeColor="text1" w:themeTint="F2"/>
          <w:sz w:val="22"/>
          <w:szCs w:val="22"/>
          <w:u w:val="single"/>
        </w:rPr>
        <w:t>I</w:t>
      </w:r>
      <w:r w:rsidR="00F73AF2">
        <w:rPr>
          <w:rFonts w:ascii="Times New Roman" w:hAnsi="Times New Roman" w:cs="Times New Roman"/>
          <w:b/>
          <w:bCs/>
          <w:iCs/>
          <w:color w:val="0D0D0D" w:themeColor="text1" w:themeTint="F2"/>
          <w:sz w:val="22"/>
          <w:szCs w:val="22"/>
          <w:u w:val="single"/>
        </w:rPr>
        <w:t>V</w:t>
      </w:r>
      <w:r w:rsidRPr="00506990">
        <w:rPr>
          <w:rFonts w:ascii="Times New Roman" w:hAnsi="Times New Roman" w:cs="Times New Roman"/>
          <w:b/>
          <w:bCs/>
          <w:iCs/>
          <w:color w:val="0D0D0D" w:themeColor="text1" w:themeTint="F2"/>
          <w:sz w:val="22"/>
          <w:szCs w:val="22"/>
          <w:u w:val="single"/>
        </w:rPr>
        <w:t>”</w:t>
      </w:r>
      <w:bookmarkEnd w:id="0"/>
      <w:bookmarkEnd w:id="1"/>
      <w:bookmarkEnd w:id="2"/>
    </w:p>
    <w:p w14:paraId="3C39AACB" w14:textId="2ACD16BF"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4C1A58E6" w14:textId="50FC1D62" w:rsidR="00651CE1" w:rsidRPr="00506990" w:rsidRDefault="006C6BA2"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En el marco del </w:t>
      </w:r>
      <w:r w:rsidR="00651CE1" w:rsidRPr="00506990">
        <w:rPr>
          <w:rFonts w:ascii="Times New Roman" w:hAnsi="Times New Roman" w:cs="Times New Roman"/>
          <w:b/>
          <w:color w:val="0D0D0D" w:themeColor="text1" w:themeTint="F2"/>
          <w:sz w:val="22"/>
          <w:szCs w:val="22"/>
        </w:rPr>
        <w:t>Programa Global de Valores Fiduciarios “CONFIBONO”</w:t>
      </w:r>
    </w:p>
    <w:p w14:paraId="60FF7AC4" w14:textId="3DF91152" w:rsidR="0048224C" w:rsidRPr="00506990" w:rsidRDefault="0048224C" w:rsidP="0048224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Hasta V/N </w:t>
      </w:r>
      <w:r w:rsidR="00656019" w:rsidRPr="00506990">
        <w:rPr>
          <w:rFonts w:ascii="Times New Roman" w:hAnsi="Times New Roman" w:cs="Times New Roman"/>
          <w:b/>
          <w:color w:val="0D0D0D" w:themeColor="text1" w:themeTint="F2"/>
          <w:sz w:val="22"/>
          <w:szCs w:val="22"/>
        </w:rPr>
        <w:t>U</w:t>
      </w:r>
      <w:r w:rsidRPr="00506990">
        <w:rPr>
          <w:rFonts w:ascii="Times New Roman" w:hAnsi="Times New Roman" w:cs="Times New Roman"/>
          <w:b/>
          <w:color w:val="0D0D0D" w:themeColor="text1" w:themeTint="F2"/>
          <w:sz w:val="22"/>
          <w:szCs w:val="22"/>
        </w:rPr>
        <w:t>$</w:t>
      </w:r>
      <w:r w:rsidR="00656019" w:rsidRPr="00506990">
        <w:rPr>
          <w:rFonts w:ascii="Times New Roman" w:hAnsi="Times New Roman" w:cs="Times New Roman"/>
          <w:b/>
          <w:color w:val="0D0D0D" w:themeColor="text1" w:themeTint="F2"/>
          <w:sz w:val="22"/>
          <w:szCs w:val="22"/>
        </w:rPr>
        <w:t>S</w:t>
      </w:r>
      <w:r w:rsidRPr="00506990">
        <w:rPr>
          <w:rFonts w:ascii="Times New Roman" w:hAnsi="Times New Roman" w:cs="Times New Roman"/>
          <w:b/>
          <w:color w:val="0D0D0D" w:themeColor="text1" w:themeTint="F2"/>
          <w:sz w:val="22"/>
          <w:szCs w:val="22"/>
        </w:rPr>
        <w:t xml:space="preserve"> </w:t>
      </w:r>
      <w:r w:rsidR="00656019" w:rsidRPr="00506990">
        <w:rPr>
          <w:rFonts w:ascii="Times New Roman" w:hAnsi="Times New Roman" w:cs="Times New Roman"/>
          <w:b/>
          <w:color w:val="0D0D0D" w:themeColor="text1" w:themeTint="F2"/>
          <w:sz w:val="22"/>
          <w:szCs w:val="22"/>
        </w:rPr>
        <w:t>80</w:t>
      </w:r>
      <w:r w:rsidRPr="00506990">
        <w:rPr>
          <w:rFonts w:ascii="Times New Roman" w:hAnsi="Times New Roman" w:cs="Times New Roman"/>
          <w:b/>
          <w:color w:val="0D0D0D" w:themeColor="text1" w:themeTint="F2"/>
          <w:sz w:val="22"/>
          <w:szCs w:val="22"/>
        </w:rPr>
        <w:t>.000.000.- (</w:t>
      </w:r>
      <w:r w:rsidR="00AA3319" w:rsidRPr="00506990">
        <w:rPr>
          <w:rFonts w:ascii="Times New Roman" w:hAnsi="Times New Roman" w:cs="Times New Roman"/>
          <w:b/>
          <w:color w:val="0D0D0D" w:themeColor="text1" w:themeTint="F2"/>
          <w:sz w:val="22"/>
          <w:szCs w:val="22"/>
        </w:rPr>
        <w:t>d</w:t>
      </w:r>
      <w:r w:rsidR="00656019" w:rsidRPr="00506990">
        <w:rPr>
          <w:rFonts w:ascii="Times New Roman" w:hAnsi="Times New Roman" w:cs="Times New Roman"/>
          <w:b/>
          <w:color w:val="0D0D0D" w:themeColor="text1" w:themeTint="F2"/>
          <w:sz w:val="22"/>
          <w:szCs w:val="22"/>
        </w:rPr>
        <w:t xml:space="preserve">ólares </w:t>
      </w:r>
      <w:r w:rsidR="00AA3319" w:rsidRPr="00506990">
        <w:rPr>
          <w:rFonts w:ascii="Times New Roman" w:hAnsi="Times New Roman" w:cs="Times New Roman"/>
          <w:b/>
          <w:color w:val="0D0D0D" w:themeColor="text1" w:themeTint="F2"/>
          <w:sz w:val="22"/>
          <w:szCs w:val="22"/>
        </w:rPr>
        <w:t xml:space="preserve">estadounidenses </w:t>
      </w:r>
      <w:r w:rsidR="00656019" w:rsidRPr="00506990">
        <w:rPr>
          <w:rFonts w:ascii="Times New Roman" w:hAnsi="Times New Roman" w:cs="Times New Roman"/>
          <w:b/>
          <w:color w:val="0D0D0D" w:themeColor="text1" w:themeTint="F2"/>
          <w:sz w:val="22"/>
          <w:szCs w:val="22"/>
        </w:rPr>
        <w:t xml:space="preserve">ochenta </w:t>
      </w:r>
      <w:r w:rsidRPr="00506990">
        <w:rPr>
          <w:rFonts w:ascii="Times New Roman" w:hAnsi="Times New Roman" w:cs="Times New Roman"/>
          <w:b/>
          <w:color w:val="0D0D0D" w:themeColor="text1" w:themeTint="F2"/>
          <w:sz w:val="22"/>
          <w:szCs w:val="22"/>
        </w:rPr>
        <w:t>millones)</w:t>
      </w:r>
    </w:p>
    <w:p w14:paraId="65C8159C" w14:textId="4415AC9C" w:rsidR="0048224C" w:rsidRPr="00506990" w:rsidRDefault="0048224C" w:rsidP="0048224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 su equivalente en otras monedas)</w:t>
      </w:r>
    </w:p>
    <w:p w14:paraId="2A9D5B14" w14:textId="77777777" w:rsidR="0048224C" w:rsidRPr="00506990" w:rsidRDefault="0048224C" w:rsidP="0048224C">
      <w:pPr>
        <w:suppressLineNumbers/>
        <w:jc w:val="center"/>
        <w:rPr>
          <w:rFonts w:ascii="Times New Roman" w:hAnsi="Times New Roman" w:cs="Times New Roman"/>
          <w:b/>
          <w:color w:val="0D0D0D" w:themeColor="text1" w:themeTint="F2"/>
          <w:sz w:val="22"/>
          <w:szCs w:val="22"/>
        </w:rPr>
      </w:pPr>
    </w:p>
    <w:p w14:paraId="4EBCE125" w14:textId="1E216BD9"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 w:name="_Toc506982457"/>
      <w:bookmarkStart w:id="4" w:name="_Toc521424841"/>
      <w:bookmarkStart w:id="5" w:name="_Toc20409055"/>
      <w:r w:rsidRPr="00506990">
        <w:rPr>
          <w:rFonts w:ascii="Times New Roman" w:hAnsi="Times New Roman" w:cs="Times New Roman"/>
          <w:noProof/>
          <w:color w:val="0D0D0D" w:themeColor="text1" w:themeTint="F2"/>
          <w:sz w:val="22"/>
          <w:szCs w:val="22"/>
          <w:lang w:val="es-AR" w:eastAsia="es-AR"/>
        </w:rPr>
        <w:drawing>
          <wp:inline distT="0" distB="0" distL="0" distR="0" wp14:anchorId="06BD90E1" wp14:editId="478A1727">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3"/>
      <w:bookmarkEnd w:id="4"/>
      <w:bookmarkEnd w:id="5"/>
    </w:p>
    <w:p w14:paraId="271CB60D"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1CCC3760" w14:textId="3EDAAA0E"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14:paraId="0C4AD23A" w14:textId="45378F0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6" w:name="_Toc506982458"/>
      <w:bookmarkStart w:id="7" w:name="_Toc521424842"/>
      <w:bookmarkStart w:id="8" w:name="_Toc20409056"/>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6"/>
      <w:bookmarkEnd w:id="7"/>
      <w:bookmarkEnd w:id="8"/>
    </w:p>
    <w:p w14:paraId="71BBDA9D" w14:textId="6F1FB311"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700"/>
      </w:tblGrid>
      <w:tr w:rsidR="00813740" w:rsidRPr="00506990" w14:paraId="36293018" w14:textId="77777777" w:rsidTr="0098446E">
        <w:trPr>
          <w:trHeight w:val="1918"/>
        </w:trPr>
        <w:tc>
          <w:tcPr>
            <w:tcW w:w="3876" w:type="dxa"/>
          </w:tcPr>
          <w:p w14:paraId="4F3A6E7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14:shadow w14:blurRad="50800" w14:dist="38100" w14:dir="2700000" w14:sx="100000" w14:sy="100000" w14:kx="0" w14:ky="0" w14:algn="tl">
                  <w14:srgbClr w14:val="000000">
                    <w14:alpha w14:val="60000"/>
                  </w14:srgbClr>
                </w14:shadow>
              </w:rPr>
            </w:pPr>
          </w:p>
          <w:p w14:paraId="0FADD488" w14:textId="77777777" w:rsidR="00813740" w:rsidRPr="00506990" w:rsidRDefault="00813740" w:rsidP="00813740">
            <w:pPr>
              <w:suppressAutoHyphens/>
              <w:spacing w:line="240" w:lineRule="atLeast"/>
              <w:jc w:val="center"/>
              <w:outlineLvl w:val="0"/>
              <w:rPr>
                <w:rFonts w:ascii="Times New Roman" w:hAnsi="Times New Roman" w:cs="Times New Roman"/>
                <w:color w:val="0D0D0D" w:themeColor="text1" w:themeTint="F2"/>
                <w:sz w:val="22"/>
                <w:szCs w:val="22"/>
              </w:rPr>
            </w:pPr>
            <w:r w:rsidRPr="00506990">
              <w:rPr>
                <w:rFonts w:ascii="Times New Roman" w:hAnsi="Times New Roman" w:cs="Times New Roman"/>
                <w:b/>
                <w:bCs/>
                <w:iCs/>
                <w:noProof/>
                <w:color w:val="0D0D0D" w:themeColor="text1" w:themeTint="F2"/>
                <w:sz w:val="22"/>
                <w:szCs w:val="22"/>
                <w:lang w:val="es-AR" w:eastAsia="es-AR"/>
              </w:rPr>
              <w:drawing>
                <wp:inline distT="0" distB="0" distL="0" distR="0" wp14:anchorId="6526DBE3" wp14:editId="17A7128E">
                  <wp:extent cx="2322830" cy="414655"/>
                  <wp:effectExtent l="0" t="0" r="127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2830" cy="414655"/>
                          </a:xfrm>
                          <a:prstGeom prst="rect">
                            <a:avLst/>
                          </a:prstGeom>
                          <a:noFill/>
                        </pic:spPr>
                      </pic:pic>
                    </a:graphicData>
                  </a:graphic>
                </wp:inline>
              </w:drawing>
            </w:r>
            <w:r w:rsidRPr="00506990">
              <w:rPr>
                <w:rFonts w:ascii="Times New Roman" w:hAnsi="Times New Roman" w:cs="Times New Roman"/>
                <w:b/>
                <w:i/>
                <w:color w:val="0D0D0D" w:themeColor="text1" w:themeTint="F2"/>
                <w:sz w:val="22"/>
                <w:szCs w:val="22"/>
                <w14:shadow w14:blurRad="50800" w14:dist="38100" w14:dir="2700000" w14:sx="100000" w14:sy="100000" w14:kx="0" w14:ky="0" w14:algn="tl">
                  <w14:srgbClr w14:val="000000">
                    <w14:alpha w14:val="60000"/>
                  </w14:srgbClr>
                </w14:shadow>
              </w:rPr>
              <w:t xml:space="preserve">  </w:t>
            </w:r>
          </w:p>
          <w:p w14:paraId="1ABF2972"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Bazar Avenida S.A. </w:t>
            </w:r>
          </w:p>
          <w:p w14:paraId="32A5AB32"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 Administrador, Agente de Cobro y Fideicomisario</w:t>
            </w:r>
          </w:p>
          <w:p w14:paraId="18A55A29"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1A8084D4"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4C0BFF57" w14:textId="77777777"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s-AR" w:eastAsia="es-AR"/>
              </w:rPr>
              <w:drawing>
                <wp:inline distT="0" distB="0" distL="0" distR="0" wp14:anchorId="1FFEF165" wp14:editId="127F7036">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p>
          <w:p w14:paraId="09FC7BE2" w14:textId="034F9B21" w:rsidR="00813740"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y Fideicomisario</w:t>
            </w:r>
          </w:p>
        </w:tc>
      </w:tr>
    </w:tbl>
    <w:p w14:paraId="17D2C437"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BBE2F33" w14:textId="2453899F"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9" w:name="_Toc506982462"/>
      <w:bookmarkStart w:id="10" w:name="_Toc521424846"/>
      <w:bookmarkStart w:id="11" w:name="_Toc20409060"/>
      <w:r w:rsidRPr="00506990">
        <w:rPr>
          <w:rFonts w:ascii="Times New Roman" w:hAnsi="Times New Roman" w:cs="Times New Roman"/>
          <w:b/>
          <w:bCs/>
          <w:iCs/>
          <w:noProof/>
          <w:color w:val="0D0D0D" w:themeColor="text1" w:themeTint="F2"/>
          <w:sz w:val="22"/>
          <w:szCs w:val="22"/>
          <w:lang w:val="es-AR" w:eastAsia="es-AR"/>
        </w:rPr>
        <w:drawing>
          <wp:inline distT="0" distB="0" distL="0" distR="0" wp14:anchorId="138E2B03" wp14:editId="5B70D95A">
            <wp:extent cx="1076325" cy="353537"/>
            <wp:effectExtent l="0" t="0" r="0" b="889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553" cy="354926"/>
                    </a:xfrm>
                    <a:prstGeom prst="rect">
                      <a:avLst/>
                    </a:prstGeom>
                    <a:noFill/>
                  </pic:spPr>
                </pic:pic>
              </a:graphicData>
            </a:graphic>
          </wp:inline>
        </w:drawing>
      </w:r>
      <w:bookmarkEnd w:id="9"/>
      <w:bookmarkEnd w:id="10"/>
      <w:bookmarkEnd w:id="11"/>
    </w:p>
    <w:p w14:paraId="4245971E" w14:textId="13A5B73E"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2" w:name="_Toc506982463"/>
      <w:bookmarkStart w:id="13" w:name="_Toc521424847"/>
      <w:bookmarkStart w:id="14" w:name="_Toc20409061"/>
      <w:r w:rsidRPr="00506990">
        <w:rPr>
          <w:rFonts w:ascii="Times New Roman" w:hAnsi="Times New Roman" w:cs="Times New Roman"/>
          <w:b/>
          <w:bCs/>
          <w:iCs/>
          <w:color w:val="0D0D0D" w:themeColor="text1" w:themeTint="F2"/>
          <w:sz w:val="20"/>
          <w:szCs w:val="22"/>
          <w:lang w:val="en-US"/>
        </w:rPr>
        <w:t>First Corporate Finance Advisors S.A.</w:t>
      </w:r>
      <w:bookmarkEnd w:id="12"/>
      <w:bookmarkEnd w:id="13"/>
      <w:bookmarkEnd w:id="14"/>
    </w:p>
    <w:p w14:paraId="7E7F7B4D" w14:textId="00B7E80D"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15" w:name="_Toc506982464"/>
      <w:bookmarkStart w:id="16" w:name="_Toc521424848"/>
      <w:bookmarkStart w:id="17" w:name="_Toc20409062"/>
      <w:r w:rsidRPr="00506990">
        <w:rPr>
          <w:rFonts w:ascii="Times New Roman" w:hAnsi="Times New Roman" w:cs="Times New Roman"/>
          <w:b/>
          <w:bCs/>
          <w:iCs/>
          <w:color w:val="0D0D0D" w:themeColor="text1" w:themeTint="F2"/>
          <w:sz w:val="20"/>
          <w:szCs w:val="22"/>
          <w:lang w:val="es-AR"/>
        </w:rPr>
        <w:t>Organizador - Asesor Financiero</w:t>
      </w:r>
      <w:bookmarkEnd w:id="15"/>
      <w:bookmarkEnd w:id="16"/>
      <w:bookmarkEnd w:id="17"/>
      <w:r w:rsidRPr="00506990">
        <w:rPr>
          <w:rFonts w:ascii="Times New Roman" w:hAnsi="Times New Roman" w:cs="Times New Roman"/>
          <w:b/>
          <w:bCs/>
          <w:iCs/>
          <w:color w:val="0D0D0D" w:themeColor="text1" w:themeTint="F2"/>
          <w:sz w:val="20"/>
          <w:szCs w:val="22"/>
          <w:lang w:val="es-AR"/>
        </w:rPr>
        <w:t xml:space="preserve"> </w:t>
      </w:r>
    </w:p>
    <w:p w14:paraId="59225AF6" w14:textId="77777777" w:rsidR="00994A29" w:rsidRPr="00506990" w:rsidRDefault="00994A2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37E1780A"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8" w:name="_Toc506982465"/>
      <w:bookmarkStart w:id="19" w:name="_Toc521424849"/>
      <w:bookmarkStart w:id="20" w:name="_Toc20409063"/>
      <w:r w:rsidRPr="00506990">
        <w:rPr>
          <w:rFonts w:ascii="Times New Roman" w:hAnsi="Times New Roman" w:cs="Times New Roman"/>
          <w:b/>
          <w:bCs/>
          <w:iCs/>
          <w:color w:val="0D0D0D" w:themeColor="text1" w:themeTint="F2"/>
          <w:sz w:val="22"/>
          <w:szCs w:val="22"/>
          <w:lang w:val="es-AR"/>
        </w:rPr>
        <w:t>COLOCADORES</w:t>
      </w:r>
      <w:bookmarkEnd w:id="18"/>
      <w:bookmarkEnd w:id="19"/>
      <w:bookmarkEnd w:id="2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2464708E" w14:textId="359624E2" w:rsidTr="0098446E">
        <w:tc>
          <w:tcPr>
            <w:tcW w:w="8830" w:type="dxa"/>
            <w:gridSpan w:val="2"/>
          </w:tcPr>
          <w:p w14:paraId="5FC6E7A8" w14:textId="68F36112"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6CB1F191" w14:textId="3F1D35BC"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1" w:name="_Toc506982466"/>
            <w:bookmarkStart w:id="22" w:name="_Toc521424850"/>
            <w:bookmarkStart w:id="23" w:name="_Toc20409064"/>
            <w:r w:rsidRPr="00506990">
              <w:rPr>
                <w:rFonts w:ascii="Times New Roman" w:hAnsi="Times New Roman" w:cs="Times New Roman"/>
                <w:b/>
                <w:bCs/>
                <w:iCs/>
                <w:color w:val="0D0D0D" w:themeColor="text1" w:themeTint="F2"/>
                <w:sz w:val="22"/>
                <w:szCs w:val="22"/>
                <w:lang w:val="es-AR"/>
              </w:rPr>
              <w:t>Agentes miembros del Mercado Argentino de Valores S.A.</w:t>
            </w:r>
            <w:bookmarkEnd w:id="21"/>
            <w:bookmarkEnd w:id="22"/>
            <w:bookmarkEnd w:id="23"/>
          </w:p>
          <w:p w14:paraId="018D4A34" w14:textId="5BDFD909"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506990" w14:paraId="555C3E2E" w14:textId="267A2D24" w:rsidTr="0098446E">
        <w:tblPrEx>
          <w:jc w:val="center"/>
        </w:tblPrEx>
        <w:trPr>
          <w:jc w:val="center"/>
        </w:trPr>
        <w:tc>
          <w:tcPr>
            <w:tcW w:w="4531" w:type="dxa"/>
          </w:tcPr>
          <w:p w14:paraId="4B550090" w14:textId="77777777" w:rsidR="002B53EF" w:rsidRPr="00506990" w:rsidRDefault="002B53EF"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4" w:name="_Toc506982469"/>
            <w:bookmarkStart w:id="25" w:name="_Toc521424853"/>
            <w:bookmarkStart w:id="26" w:name="_Toc20409065"/>
            <w:r w:rsidRPr="0098446E">
              <w:rPr>
                <w:rFonts w:ascii="Times New Roman" w:hAnsi="Times New Roman" w:cs="Times New Roman"/>
                <w:b/>
                <w:bCs/>
                <w:noProof/>
                <w:sz w:val="22"/>
                <w:szCs w:val="22"/>
                <w:lang w:val="es-AR" w:eastAsia="es-AR"/>
              </w:rPr>
              <w:drawing>
                <wp:inline distT="0" distB="0" distL="0" distR="0" wp14:anchorId="4ECA4812" wp14:editId="134F3BB9">
                  <wp:extent cx="1708172" cy="741871"/>
                  <wp:effectExtent l="0" t="0" r="6350" b="1270"/>
                  <wp:docPr id="2" name="Imagen 2" descr="C:\Users\ljakimowicz\AppData\Local\Microsoft\Windows\Temporary Internet Files\Content.Outlook\QYRB97A2\Logo INTL Cibsa_NationalSecuriti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akimowicz\AppData\Local\Microsoft\Windows\Temporary Internet Files\Content.Outlook\QYRB97A2\Logo INTL Cibsa_NationalSecurities-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1179" cy="782264"/>
                          </a:xfrm>
                          <a:prstGeom prst="rect">
                            <a:avLst/>
                          </a:prstGeom>
                          <a:noFill/>
                          <a:ln>
                            <a:noFill/>
                          </a:ln>
                        </pic:spPr>
                      </pic:pic>
                    </a:graphicData>
                  </a:graphic>
                </wp:inline>
              </w:drawing>
            </w:r>
            <w:bookmarkEnd w:id="24"/>
            <w:bookmarkEnd w:id="25"/>
            <w:bookmarkEnd w:id="26"/>
          </w:p>
          <w:p w14:paraId="1703756C" w14:textId="77777777" w:rsidR="002B53EF" w:rsidRPr="00506990" w:rsidRDefault="002B53EF"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7" w:name="_Toc506982470"/>
            <w:bookmarkStart w:id="28" w:name="_Toc521424854"/>
            <w:bookmarkStart w:id="29" w:name="_Toc20409066"/>
            <w:r w:rsidRPr="00506990">
              <w:rPr>
                <w:rFonts w:ascii="Times New Roman" w:hAnsi="Times New Roman" w:cs="Times New Roman"/>
                <w:b/>
                <w:bCs/>
                <w:iCs/>
                <w:color w:val="0D0D0D" w:themeColor="text1" w:themeTint="F2"/>
                <w:sz w:val="22"/>
                <w:szCs w:val="22"/>
                <w:lang w:val="es-AR"/>
              </w:rPr>
              <w:t>INTL CIBSA S.A.</w:t>
            </w:r>
            <w:bookmarkEnd w:id="27"/>
            <w:bookmarkEnd w:id="28"/>
            <w:bookmarkEnd w:id="29"/>
          </w:p>
        </w:tc>
        <w:tc>
          <w:tcPr>
            <w:tcW w:w="4299" w:type="dxa"/>
          </w:tcPr>
          <w:p w14:paraId="252AA487" w14:textId="3077D92F" w:rsidR="00491797" w:rsidRDefault="00005F0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0" w:name="_Toc20409067"/>
            <w:bookmarkStart w:id="31" w:name="_Toc506982471"/>
            <w:bookmarkStart w:id="32" w:name="_Toc521424855"/>
            <w:r>
              <w:rPr>
                <w:rFonts w:ascii="Times New Roman" w:hAnsi="Times New Roman" w:cs="Times New Roman"/>
                <w:b/>
                <w:bCs/>
                <w:iCs/>
                <w:noProof/>
                <w:color w:val="0D0D0D" w:themeColor="text1" w:themeTint="F2"/>
                <w:sz w:val="22"/>
                <w:szCs w:val="22"/>
                <w:lang w:val="es-AR" w:eastAsia="es-AR"/>
              </w:rPr>
              <w:drawing>
                <wp:inline distT="0" distB="0" distL="0" distR="0" wp14:anchorId="300C71FC" wp14:editId="4FAA2520">
                  <wp:extent cx="1649016" cy="571500"/>
                  <wp:effectExtent l="0" t="0" r="889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9748" cy="575219"/>
                          </a:xfrm>
                          <a:prstGeom prst="rect">
                            <a:avLst/>
                          </a:prstGeom>
                          <a:noFill/>
                        </pic:spPr>
                      </pic:pic>
                    </a:graphicData>
                  </a:graphic>
                </wp:inline>
              </w:drawing>
            </w:r>
          </w:p>
          <w:bookmarkEnd w:id="30"/>
          <w:p w14:paraId="76E3198A" w14:textId="77777777" w:rsidR="002B53EF" w:rsidRPr="00506990" w:rsidRDefault="002B53EF" w:rsidP="00B62265">
            <w:pPr>
              <w:suppressAutoHyphens/>
              <w:spacing w:line="240" w:lineRule="atLeast"/>
              <w:outlineLvl w:val="0"/>
              <w:rPr>
                <w:rFonts w:ascii="Times New Roman" w:hAnsi="Times New Roman" w:cs="Times New Roman"/>
                <w:b/>
                <w:bCs/>
                <w:iCs/>
                <w:color w:val="0D0D0D" w:themeColor="text1" w:themeTint="F2"/>
                <w:sz w:val="22"/>
                <w:szCs w:val="22"/>
                <w:lang w:val="es-AR"/>
              </w:rPr>
            </w:pPr>
          </w:p>
          <w:p w14:paraId="4B839809" w14:textId="0DDB2DB7" w:rsidR="002B53EF" w:rsidRPr="0098446E" w:rsidRDefault="00005F07"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33" w:name="_Toc506982472"/>
            <w:bookmarkStart w:id="34" w:name="_Toc521424856"/>
            <w:bookmarkStart w:id="35" w:name="_Toc20409068"/>
            <w:bookmarkEnd w:id="31"/>
            <w:bookmarkEnd w:id="32"/>
            <w:r>
              <w:rPr>
                <w:rFonts w:ascii="Times New Roman" w:hAnsi="Times New Roman" w:cs="Times New Roman"/>
                <w:b/>
                <w:bCs/>
                <w:iCs/>
                <w:color w:val="0D0D0D" w:themeColor="text1" w:themeTint="F2"/>
                <w:sz w:val="22"/>
                <w:szCs w:val="22"/>
                <w:lang w:val="es-AR"/>
              </w:rPr>
              <w:t>OPTION SECURITIES</w:t>
            </w:r>
            <w:r w:rsidRPr="003F083B">
              <w:rPr>
                <w:rFonts w:ascii="Times New Roman" w:hAnsi="Times New Roman" w:cs="Times New Roman"/>
                <w:b/>
                <w:bCs/>
                <w:iCs/>
                <w:color w:val="0D0D0D" w:themeColor="text1" w:themeTint="F2"/>
                <w:sz w:val="22"/>
                <w:szCs w:val="22"/>
                <w:lang w:val="es-AR"/>
              </w:rPr>
              <w:t xml:space="preserve"> S.A.</w:t>
            </w:r>
            <w:bookmarkEnd w:id="33"/>
            <w:bookmarkEnd w:id="34"/>
            <w:bookmarkEnd w:id="35"/>
          </w:p>
        </w:tc>
      </w:tr>
    </w:tbl>
    <w:p w14:paraId="230394FE"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14598CC3" w14:textId="29E976AD" w:rsidR="00B62265" w:rsidRPr="00506990"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 NOMINAL $ </w:t>
      </w:r>
      <w:r w:rsidR="004B30E8">
        <w:rPr>
          <w:rFonts w:ascii="Times New Roman" w:hAnsi="Times New Roman" w:cs="Times New Roman"/>
          <w:b/>
          <w:bCs/>
          <w:iCs/>
          <w:color w:val="0D0D0D" w:themeColor="text1" w:themeTint="F2"/>
          <w:sz w:val="22"/>
          <w:szCs w:val="22"/>
        </w:rPr>
        <w:t>201</w:t>
      </w:r>
      <w:r w:rsidR="005769E3" w:rsidRPr="0067364E">
        <w:rPr>
          <w:rFonts w:ascii="Times New Roman" w:hAnsi="Times New Roman" w:cs="Times New Roman"/>
          <w:b/>
          <w:bCs/>
          <w:iCs/>
          <w:color w:val="0D0D0D" w:themeColor="text1" w:themeTint="F2"/>
          <w:sz w:val="22"/>
          <w:szCs w:val="22"/>
        </w:rPr>
        <w:t>.</w:t>
      </w:r>
      <w:r w:rsidR="004B30E8">
        <w:rPr>
          <w:rFonts w:ascii="Times New Roman" w:hAnsi="Times New Roman" w:cs="Times New Roman"/>
          <w:b/>
          <w:bCs/>
          <w:iCs/>
          <w:color w:val="0D0D0D" w:themeColor="text1" w:themeTint="F2"/>
          <w:sz w:val="22"/>
          <w:szCs w:val="22"/>
        </w:rPr>
        <w:t>744</w:t>
      </w:r>
      <w:r w:rsidR="005769E3" w:rsidRPr="0067364E">
        <w:rPr>
          <w:rFonts w:ascii="Times New Roman" w:hAnsi="Times New Roman" w:cs="Times New Roman"/>
          <w:b/>
          <w:bCs/>
          <w:iCs/>
          <w:color w:val="0D0D0D" w:themeColor="text1" w:themeTint="F2"/>
          <w:sz w:val="22"/>
          <w:szCs w:val="22"/>
        </w:rPr>
        <w:t>.</w:t>
      </w:r>
      <w:r w:rsidR="004B30E8">
        <w:rPr>
          <w:rFonts w:ascii="Times New Roman" w:hAnsi="Times New Roman" w:cs="Times New Roman"/>
          <w:b/>
          <w:bCs/>
          <w:iCs/>
          <w:color w:val="0D0D0D" w:themeColor="text1" w:themeTint="F2"/>
          <w:sz w:val="22"/>
          <w:szCs w:val="22"/>
        </w:rPr>
        <w:t>110</w:t>
      </w:r>
      <w:r w:rsidRPr="005A25DF">
        <w:rPr>
          <w:rFonts w:ascii="Times New Roman" w:hAnsi="Times New Roman" w:cs="Times New Roman"/>
          <w:b/>
          <w:color w:val="0D0D0D" w:themeColor="text1" w:themeTint="F2"/>
          <w:sz w:val="22"/>
          <w:szCs w:val="22"/>
        </w:rPr>
        <w:t>.</w:t>
      </w:r>
    </w:p>
    <w:tbl>
      <w:tblPr>
        <w:tblW w:w="8222" w:type="dxa"/>
        <w:tblLayout w:type="fixed"/>
        <w:tblLook w:val="0000" w:firstRow="0" w:lastRow="0" w:firstColumn="0" w:lastColumn="0" w:noHBand="0" w:noVBand="0"/>
      </w:tblPr>
      <w:tblGrid>
        <w:gridCol w:w="3970"/>
        <w:gridCol w:w="4252"/>
      </w:tblGrid>
      <w:tr w:rsidR="00B62265" w:rsidRPr="00506990" w14:paraId="4C2676C0" w14:textId="77777777" w:rsidTr="00502438">
        <w:trPr>
          <w:trHeight w:val="1011"/>
        </w:trPr>
        <w:tc>
          <w:tcPr>
            <w:tcW w:w="3970" w:type="dxa"/>
          </w:tcPr>
          <w:p w14:paraId="10A52F05" w14:textId="77777777" w:rsidR="00B62265" w:rsidRPr="00D31E68"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2C097B21" w14:textId="77777777" w:rsidR="00B62265" w:rsidRPr="00D31E68"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D31E68">
              <w:rPr>
                <w:rFonts w:ascii="Times New Roman" w:hAnsi="Times New Roman"/>
                <w:b/>
                <w:bCs/>
                <w:iCs/>
                <w:color w:val="0D0D0D" w:themeColor="text1" w:themeTint="F2"/>
                <w:sz w:val="22"/>
                <w:szCs w:val="22"/>
                <w:u w:val="none"/>
              </w:rPr>
              <w:t>Valores de Deuda Fiduciaria Clase A</w:t>
            </w:r>
          </w:p>
          <w:p w14:paraId="02C57BB1" w14:textId="05BCA041" w:rsidR="00B62265" w:rsidRPr="00D31E68" w:rsidRDefault="00B62265" w:rsidP="0067033B">
            <w:pPr>
              <w:pStyle w:val="Ttulo6"/>
              <w:suppressAutoHyphens/>
              <w:ind w:left="0"/>
              <w:jc w:val="center"/>
              <w:rPr>
                <w:rFonts w:ascii="Times New Roman" w:hAnsi="Times New Roman"/>
                <w:b/>
                <w:bCs/>
                <w:iCs/>
                <w:color w:val="0D0D0D" w:themeColor="text1" w:themeTint="F2"/>
                <w:sz w:val="22"/>
                <w:szCs w:val="22"/>
                <w:u w:val="none"/>
              </w:rPr>
            </w:pPr>
            <w:r w:rsidRPr="00D31E68">
              <w:rPr>
                <w:rFonts w:ascii="Times New Roman" w:hAnsi="Times New Roman"/>
                <w:b/>
                <w:bCs/>
                <w:iCs/>
                <w:color w:val="0D0D0D" w:themeColor="text1" w:themeTint="F2"/>
                <w:sz w:val="22"/>
                <w:szCs w:val="22"/>
                <w:u w:val="none"/>
              </w:rPr>
              <w:t xml:space="preserve"> V/N $ </w:t>
            </w:r>
            <w:r w:rsidR="005769E3">
              <w:rPr>
                <w:rFonts w:ascii="Times New Roman" w:hAnsi="Times New Roman"/>
                <w:b/>
                <w:bCs/>
                <w:iCs/>
                <w:color w:val="0D0D0D" w:themeColor="text1" w:themeTint="F2"/>
                <w:sz w:val="22"/>
                <w:szCs w:val="22"/>
                <w:u w:val="none"/>
              </w:rPr>
              <w:t>1</w:t>
            </w:r>
            <w:r w:rsidR="007733CA">
              <w:rPr>
                <w:rFonts w:ascii="Times New Roman" w:hAnsi="Times New Roman"/>
                <w:b/>
                <w:bCs/>
                <w:iCs/>
                <w:color w:val="0D0D0D" w:themeColor="text1" w:themeTint="F2"/>
                <w:sz w:val="22"/>
                <w:szCs w:val="22"/>
                <w:u w:val="none"/>
              </w:rPr>
              <w:t>77</w:t>
            </w:r>
            <w:r w:rsidR="005769E3">
              <w:rPr>
                <w:rFonts w:ascii="Times New Roman" w:hAnsi="Times New Roman"/>
                <w:b/>
                <w:bCs/>
                <w:iCs/>
                <w:color w:val="0D0D0D" w:themeColor="text1" w:themeTint="F2"/>
                <w:sz w:val="22"/>
                <w:szCs w:val="22"/>
                <w:u w:val="none"/>
              </w:rPr>
              <w:t>.</w:t>
            </w:r>
            <w:r w:rsidR="007733CA">
              <w:rPr>
                <w:rFonts w:ascii="Times New Roman" w:hAnsi="Times New Roman"/>
                <w:b/>
                <w:bCs/>
                <w:iCs/>
                <w:color w:val="0D0D0D" w:themeColor="text1" w:themeTint="F2"/>
                <w:sz w:val="22"/>
                <w:szCs w:val="22"/>
                <w:u w:val="none"/>
              </w:rPr>
              <w:t>6</w:t>
            </w:r>
            <w:r w:rsidR="005769E3">
              <w:rPr>
                <w:rFonts w:ascii="Times New Roman" w:hAnsi="Times New Roman"/>
                <w:b/>
                <w:bCs/>
                <w:iCs/>
                <w:color w:val="0D0D0D" w:themeColor="text1" w:themeTint="F2"/>
                <w:sz w:val="22"/>
                <w:szCs w:val="22"/>
                <w:u w:val="none"/>
              </w:rPr>
              <w:t>00.000</w:t>
            </w:r>
            <w:r w:rsidRPr="00D31E68">
              <w:rPr>
                <w:rFonts w:ascii="Times New Roman" w:hAnsi="Times New Roman"/>
                <w:b/>
                <w:bCs/>
                <w:iCs/>
                <w:color w:val="0D0D0D" w:themeColor="text1" w:themeTint="F2"/>
                <w:sz w:val="22"/>
                <w:szCs w:val="22"/>
                <w:u w:val="none"/>
              </w:rPr>
              <w:t>.-</w:t>
            </w:r>
          </w:p>
        </w:tc>
        <w:tc>
          <w:tcPr>
            <w:tcW w:w="4252" w:type="dxa"/>
          </w:tcPr>
          <w:p w14:paraId="6D26F733" w14:textId="77777777" w:rsidR="00B62265" w:rsidRPr="00D31E6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0AE64313" w14:textId="77777777" w:rsidR="00B62265" w:rsidRPr="00D31E6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31E68">
              <w:rPr>
                <w:rFonts w:ascii="Times New Roman" w:hAnsi="Times New Roman" w:cs="Times New Roman"/>
                <w:b/>
                <w:bCs/>
                <w:iCs/>
                <w:color w:val="0D0D0D" w:themeColor="text1" w:themeTint="F2"/>
                <w:sz w:val="22"/>
                <w:szCs w:val="22"/>
              </w:rPr>
              <w:t>Valores de Deuda Fiduciaria Clase B</w:t>
            </w:r>
          </w:p>
          <w:p w14:paraId="3EA7F31D" w14:textId="314A4460" w:rsidR="00B62265" w:rsidRPr="00D31E68" w:rsidRDefault="00B62265" w:rsidP="0067033B">
            <w:pPr>
              <w:suppressAutoHyphens/>
              <w:spacing w:line="240" w:lineRule="atLeast"/>
              <w:jc w:val="center"/>
              <w:rPr>
                <w:rFonts w:ascii="Times New Roman" w:hAnsi="Times New Roman" w:cs="Times New Roman"/>
                <w:b/>
                <w:bCs/>
                <w:iCs/>
                <w:color w:val="0D0D0D" w:themeColor="text1" w:themeTint="F2"/>
                <w:sz w:val="22"/>
                <w:szCs w:val="22"/>
              </w:rPr>
            </w:pPr>
            <w:r w:rsidRPr="00D31E68">
              <w:rPr>
                <w:rFonts w:ascii="Times New Roman" w:hAnsi="Times New Roman" w:cs="Times New Roman"/>
                <w:b/>
                <w:bCs/>
                <w:iCs/>
                <w:color w:val="0D0D0D" w:themeColor="text1" w:themeTint="F2"/>
                <w:sz w:val="22"/>
                <w:szCs w:val="22"/>
              </w:rPr>
              <w:t xml:space="preserve"> V/N $ </w:t>
            </w:r>
            <w:r w:rsidR="007733CA">
              <w:rPr>
                <w:rFonts w:ascii="Times New Roman" w:hAnsi="Times New Roman" w:cs="Times New Roman"/>
                <w:b/>
                <w:bCs/>
                <w:iCs/>
                <w:color w:val="0D0D0D" w:themeColor="text1" w:themeTint="F2"/>
                <w:sz w:val="22"/>
                <w:szCs w:val="22"/>
              </w:rPr>
              <w:t>24</w:t>
            </w:r>
            <w:r w:rsidR="005769E3">
              <w:rPr>
                <w:rFonts w:ascii="Times New Roman" w:hAnsi="Times New Roman" w:cs="Times New Roman"/>
                <w:b/>
                <w:bCs/>
                <w:iCs/>
                <w:color w:val="0D0D0D" w:themeColor="text1" w:themeTint="F2"/>
                <w:sz w:val="22"/>
                <w:szCs w:val="22"/>
              </w:rPr>
              <w:t>.</w:t>
            </w:r>
            <w:r w:rsidR="007733CA">
              <w:rPr>
                <w:rFonts w:ascii="Times New Roman" w:hAnsi="Times New Roman" w:cs="Times New Roman"/>
                <w:b/>
                <w:bCs/>
                <w:iCs/>
                <w:color w:val="0D0D0D" w:themeColor="text1" w:themeTint="F2"/>
                <w:sz w:val="22"/>
                <w:szCs w:val="22"/>
              </w:rPr>
              <w:t>1</w:t>
            </w:r>
            <w:r w:rsidR="004B30E8">
              <w:rPr>
                <w:rFonts w:ascii="Times New Roman" w:hAnsi="Times New Roman" w:cs="Times New Roman"/>
                <w:b/>
                <w:bCs/>
                <w:iCs/>
                <w:color w:val="0D0D0D" w:themeColor="text1" w:themeTint="F2"/>
                <w:sz w:val="22"/>
                <w:szCs w:val="22"/>
              </w:rPr>
              <w:t>44</w:t>
            </w:r>
            <w:r w:rsidR="005769E3">
              <w:rPr>
                <w:rFonts w:ascii="Times New Roman" w:hAnsi="Times New Roman" w:cs="Times New Roman"/>
                <w:b/>
                <w:bCs/>
                <w:iCs/>
                <w:color w:val="0D0D0D" w:themeColor="text1" w:themeTint="F2"/>
                <w:sz w:val="22"/>
                <w:szCs w:val="22"/>
              </w:rPr>
              <w:t>.</w:t>
            </w:r>
            <w:r w:rsidR="004B30E8">
              <w:rPr>
                <w:rFonts w:ascii="Times New Roman" w:hAnsi="Times New Roman" w:cs="Times New Roman"/>
                <w:b/>
                <w:bCs/>
                <w:iCs/>
                <w:color w:val="0D0D0D" w:themeColor="text1" w:themeTint="F2"/>
                <w:sz w:val="22"/>
                <w:szCs w:val="22"/>
              </w:rPr>
              <w:t>110</w:t>
            </w:r>
            <w:r w:rsidRPr="00D31E68">
              <w:rPr>
                <w:rFonts w:ascii="Times New Roman" w:hAnsi="Times New Roman" w:cs="Times New Roman"/>
                <w:b/>
                <w:color w:val="0D0D0D" w:themeColor="text1" w:themeTint="F2"/>
                <w:sz w:val="22"/>
                <w:szCs w:val="22"/>
              </w:rPr>
              <w:t>.-</w:t>
            </w:r>
          </w:p>
        </w:tc>
      </w:tr>
    </w:tbl>
    <w:p w14:paraId="6E3CE24F" w14:textId="49170034"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6B3F29B4" w14:textId="25A600F8" w:rsidR="007C062B" w:rsidRPr="00506990" w:rsidRDefault="007C062B"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506990">
        <w:rPr>
          <w:rFonts w:ascii="Times New Roman" w:hAnsi="Times New Roman"/>
          <w:i w:val="0"/>
          <w:color w:val="0D0D0D" w:themeColor="text1" w:themeTint="F2"/>
          <w:sz w:val="22"/>
          <w:szCs w:val="22"/>
        </w:rPr>
        <w:t>Oferta Pública del Programa autorizada por Resolución Nº RESFC-2017-19002-APN-DIR#CNV de fecha 02 de noviembre de 2017 y sus condicionamientos fueron levantados mediante dictamen de Gerencia de Fideicomisos Financieros en fecha 14 de</w:t>
      </w:r>
      <w:r w:rsidRPr="00506990">
        <w:rPr>
          <w:rFonts w:ascii="Times New Roman" w:hAnsi="Times New Roman"/>
          <w:b/>
          <w:bCs/>
          <w:iCs w:val="0"/>
          <w:color w:val="0D0D0D" w:themeColor="text1" w:themeTint="F2"/>
          <w:sz w:val="22"/>
          <w:szCs w:val="22"/>
        </w:rPr>
        <w:t xml:space="preserve"> </w:t>
      </w:r>
      <w:r w:rsidRPr="00506990">
        <w:rPr>
          <w:rFonts w:ascii="Times New Roman" w:hAnsi="Times New Roman"/>
          <w:i w:val="0"/>
          <w:color w:val="0D0D0D" w:themeColor="text1" w:themeTint="F2"/>
          <w:sz w:val="22"/>
          <w:szCs w:val="22"/>
        </w:rPr>
        <w:t>noviembre de 2017</w:t>
      </w:r>
      <w:r w:rsidR="00656019" w:rsidRPr="00506990">
        <w:rPr>
          <w:rFonts w:ascii="Times New Roman" w:hAnsi="Times New Roman"/>
          <w:i w:val="0"/>
          <w:color w:val="0D0D0D" w:themeColor="text1" w:themeTint="F2"/>
          <w:sz w:val="22"/>
          <w:szCs w:val="22"/>
        </w:rPr>
        <w:t xml:space="preserve">, aumento de monto y cambio de moneda </w:t>
      </w:r>
      <w:r w:rsidR="00C91ADB" w:rsidRPr="00506990">
        <w:rPr>
          <w:rFonts w:ascii="Times New Roman" w:hAnsi="Times New Roman"/>
          <w:i w:val="0"/>
          <w:color w:val="0D0D0D" w:themeColor="text1" w:themeTint="F2"/>
          <w:sz w:val="22"/>
          <w:szCs w:val="22"/>
        </w:rPr>
        <w:t>autorizado por Resolución N° RESFC-201</w:t>
      </w:r>
      <w:r w:rsidR="00D012ED" w:rsidRPr="00506990">
        <w:rPr>
          <w:rFonts w:ascii="Times New Roman" w:hAnsi="Times New Roman"/>
          <w:i w:val="0"/>
          <w:color w:val="0D0D0D" w:themeColor="text1" w:themeTint="F2"/>
          <w:sz w:val="22"/>
          <w:szCs w:val="22"/>
        </w:rPr>
        <w:t>8</w:t>
      </w:r>
      <w:r w:rsidR="00C91ADB" w:rsidRPr="00506990">
        <w:rPr>
          <w:rFonts w:ascii="Times New Roman" w:hAnsi="Times New Roman"/>
          <w:i w:val="0"/>
          <w:color w:val="0D0D0D" w:themeColor="text1" w:themeTint="F2"/>
          <w:sz w:val="22"/>
          <w:szCs w:val="22"/>
        </w:rPr>
        <w:t>-19655-APN-DIR#CNV</w:t>
      </w:r>
      <w:r w:rsidR="001F5659" w:rsidRPr="00506990">
        <w:rPr>
          <w:rFonts w:ascii="Times New Roman" w:hAnsi="Times New Roman"/>
          <w:i w:val="0"/>
          <w:color w:val="0D0D0D" w:themeColor="text1" w:themeTint="F2"/>
          <w:sz w:val="22"/>
          <w:szCs w:val="22"/>
        </w:rPr>
        <w:t xml:space="preserve"> de fecha 09/08/2018 y sus condicionamientos levantados en fecha 24/08/2018</w:t>
      </w:r>
      <w:r w:rsidRPr="00506990">
        <w:rPr>
          <w:rFonts w:ascii="Times New Roman" w:hAnsi="Times New Roman"/>
          <w:i w:val="0"/>
          <w:color w:val="0D0D0D" w:themeColor="text1" w:themeTint="F2"/>
          <w:sz w:val="22"/>
          <w:szCs w:val="22"/>
        </w:rPr>
        <w:t xml:space="preserve">. La oferta pública de la presente emisión fue autorizada por la Gerencia de Fideicomisos Financieros en fecha </w:t>
      </w:r>
      <w:r w:rsidR="00D41078" w:rsidRPr="007616BD">
        <w:rPr>
          <w:rFonts w:ascii="Times New Roman" w:hAnsi="Times New Roman"/>
          <w:bCs/>
          <w:i w:val="0"/>
          <w:iCs w:val="0"/>
          <w:color w:val="0D0D0D" w:themeColor="text1" w:themeTint="F2"/>
          <w:sz w:val="22"/>
          <w:szCs w:val="22"/>
        </w:rPr>
        <w:t>13</w:t>
      </w:r>
      <w:r w:rsidR="00D41078" w:rsidRPr="007616BD">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 xml:space="preserve">de </w:t>
      </w:r>
      <w:r w:rsidR="0025325D">
        <w:rPr>
          <w:rFonts w:ascii="Times New Roman" w:hAnsi="Times New Roman"/>
          <w:i w:val="0"/>
          <w:color w:val="0D0D0D" w:themeColor="text1" w:themeTint="F2"/>
          <w:sz w:val="22"/>
          <w:szCs w:val="22"/>
        </w:rPr>
        <w:t>marzo</w:t>
      </w:r>
      <w:r w:rsidRPr="00506990">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lastRenderedPageBreak/>
        <w:t>de 20</w:t>
      </w:r>
      <w:r w:rsidR="00132FBE">
        <w:rPr>
          <w:rFonts w:ascii="Times New Roman" w:hAnsi="Times New Roman"/>
          <w:i w:val="0"/>
          <w:color w:val="0D0D0D" w:themeColor="text1" w:themeTint="F2"/>
          <w:sz w:val="22"/>
          <w:szCs w:val="22"/>
        </w:rPr>
        <w:t>20</w:t>
      </w:r>
      <w:r w:rsidRPr="00506990">
        <w:rPr>
          <w:rFonts w:ascii="Times New Roman" w:hAnsi="Times New Roman"/>
          <w:i w:val="0"/>
          <w:color w:val="0D0D0D" w:themeColor="text1" w:themeTint="F2"/>
          <w:sz w:val="22"/>
          <w:szCs w:val="22"/>
        </w:rPr>
        <w:t>, de la Comisión Nacional de Valores. Esta</w:t>
      </w:r>
      <w:r w:rsidR="00B40BF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el Suplemento de Prospecto. La veracidad de la información suministrada en el presente Suplemento de Prospecto es responsabilidad del Fiduciario y de</w:t>
      </w:r>
      <w:r w:rsidR="003C5928" w:rsidRPr="00506990">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manifiestan,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Pr="00506990" w:rsidDel="00D253B0">
        <w:rPr>
          <w:rFonts w:ascii="Times New Roman" w:hAnsi="Times New Roman"/>
        </w:rPr>
        <w:t xml:space="preserve"> </w:t>
      </w:r>
    </w:p>
    <w:p w14:paraId="6C72A861" w14:textId="77777777" w:rsidR="00DA44A1" w:rsidRPr="00506990"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05B28EE6" w14:textId="2CD9555E"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VALORES </w:t>
      </w:r>
      <w:r w:rsidR="00D80121" w:rsidRPr="00506990">
        <w:rPr>
          <w:rFonts w:ascii="Times New Roman" w:hAnsi="Times New Roman"/>
          <w:b/>
          <w:bCs/>
          <w:i w:val="0"/>
          <w:color w:val="0D0D0D" w:themeColor="text1" w:themeTint="F2"/>
          <w:sz w:val="22"/>
          <w:szCs w:val="22"/>
        </w:rPr>
        <w:t xml:space="preserve">DE DEUDA </w:t>
      </w:r>
      <w:r w:rsidRPr="00506990">
        <w:rPr>
          <w:rFonts w:ascii="Times New Roman" w:hAnsi="Times New Roman"/>
          <w:b/>
          <w:bCs/>
          <w:i w:val="0"/>
          <w:color w:val="0D0D0D" w:themeColor="text1" w:themeTint="F2"/>
          <w:sz w:val="22"/>
          <w:szCs w:val="22"/>
        </w:rPr>
        <w:t>FIDUCIARI</w:t>
      </w:r>
      <w:r w:rsidR="00D80121" w:rsidRPr="00506990">
        <w:rPr>
          <w:rFonts w:ascii="Times New Roman" w:hAnsi="Times New Roman"/>
          <w:b/>
          <w:bCs/>
          <w:i w:val="0"/>
          <w:color w:val="0D0D0D" w:themeColor="text1" w:themeTint="F2"/>
          <w:sz w:val="22"/>
          <w:szCs w:val="22"/>
        </w:rPr>
        <w:t>A</w:t>
      </w:r>
      <w:r w:rsidRPr="00506990">
        <w:rPr>
          <w:rFonts w:ascii="Times New Roman" w:hAnsi="Times New Roman"/>
          <w:b/>
          <w:bCs/>
          <w:i w:val="0"/>
          <w:color w:val="0D0D0D" w:themeColor="text1" w:themeTint="F2"/>
          <w:sz w:val="22"/>
          <w:szCs w:val="22"/>
        </w:rPr>
        <w:t xml:space="preserve"> CUENTAN CON UNA CALIFICACIÓN DE RIESGO</w:t>
      </w:r>
      <w:r w:rsidR="00D15122" w:rsidRPr="00506990">
        <w:rPr>
          <w:rFonts w:ascii="Times New Roman" w:hAnsi="Times New Roman"/>
          <w:b/>
          <w:bCs/>
          <w:i w:val="0"/>
          <w:color w:val="0D0D0D" w:themeColor="text1" w:themeTint="F2"/>
          <w:sz w:val="22"/>
          <w:szCs w:val="22"/>
        </w:rPr>
        <w:t xml:space="preserve"> EMITIDA EL</w:t>
      </w:r>
      <w:r w:rsidR="00635E9A" w:rsidRPr="00506990">
        <w:rPr>
          <w:rFonts w:ascii="Times New Roman" w:hAnsi="Times New Roman"/>
          <w:b/>
          <w:bCs/>
          <w:i w:val="0"/>
          <w:color w:val="0D0D0D" w:themeColor="text1" w:themeTint="F2"/>
          <w:sz w:val="22"/>
          <w:szCs w:val="22"/>
        </w:rPr>
        <w:t xml:space="preserve"> </w:t>
      </w:r>
      <w:r w:rsidR="00A03450">
        <w:rPr>
          <w:rFonts w:ascii="Times New Roman" w:hAnsi="Times New Roman"/>
          <w:b/>
          <w:bCs/>
          <w:i w:val="0"/>
          <w:iCs w:val="0"/>
          <w:color w:val="0D0D0D" w:themeColor="text1" w:themeTint="F2"/>
          <w:sz w:val="22"/>
          <w:szCs w:val="22"/>
        </w:rPr>
        <w:t xml:space="preserve">04 </w:t>
      </w:r>
      <w:r w:rsidR="003C3041" w:rsidRPr="00506990">
        <w:rPr>
          <w:rFonts w:ascii="Times New Roman" w:hAnsi="Times New Roman"/>
          <w:b/>
          <w:bCs/>
          <w:i w:val="0"/>
          <w:color w:val="0D0D0D" w:themeColor="text1" w:themeTint="F2"/>
          <w:sz w:val="22"/>
          <w:szCs w:val="22"/>
        </w:rPr>
        <w:t xml:space="preserve">DE </w:t>
      </w:r>
      <w:r w:rsidR="00A03450">
        <w:rPr>
          <w:rFonts w:ascii="Times New Roman" w:hAnsi="Times New Roman"/>
          <w:b/>
          <w:bCs/>
          <w:i w:val="0"/>
          <w:iCs w:val="0"/>
          <w:color w:val="0D0D0D" w:themeColor="text1" w:themeTint="F2"/>
          <w:sz w:val="22"/>
          <w:szCs w:val="22"/>
        </w:rPr>
        <w:t>MARZO</w:t>
      </w:r>
      <w:r w:rsidR="00670471" w:rsidRPr="00506990">
        <w:rPr>
          <w:rFonts w:ascii="Times New Roman" w:hAnsi="Times New Roman"/>
          <w:b/>
          <w:bCs/>
          <w:i w:val="0"/>
          <w:color w:val="0D0D0D" w:themeColor="text1" w:themeTint="F2"/>
          <w:sz w:val="22"/>
          <w:szCs w:val="22"/>
        </w:rPr>
        <w:t xml:space="preserve"> </w:t>
      </w:r>
      <w:r w:rsidR="00D67373" w:rsidRPr="00506990">
        <w:rPr>
          <w:rFonts w:ascii="Times New Roman" w:hAnsi="Times New Roman"/>
          <w:b/>
          <w:bCs/>
          <w:i w:val="0"/>
          <w:color w:val="0D0D0D" w:themeColor="text1" w:themeTint="F2"/>
          <w:sz w:val="22"/>
          <w:szCs w:val="22"/>
        </w:rPr>
        <w:t>D</w:t>
      </w:r>
      <w:r w:rsidR="002A1BE9" w:rsidRPr="00506990">
        <w:rPr>
          <w:rFonts w:ascii="Times New Roman" w:hAnsi="Times New Roman"/>
          <w:b/>
          <w:bCs/>
          <w:i w:val="0"/>
          <w:color w:val="0D0D0D" w:themeColor="text1" w:themeTint="F2"/>
          <w:sz w:val="22"/>
          <w:szCs w:val="22"/>
        </w:rPr>
        <w:t>E 20</w:t>
      </w:r>
      <w:r w:rsidR="00F73AF2">
        <w:rPr>
          <w:rFonts w:ascii="Times New Roman" w:hAnsi="Times New Roman"/>
          <w:b/>
          <w:bCs/>
          <w:i w:val="0"/>
          <w:color w:val="0D0D0D" w:themeColor="text1" w:themeTint="F2"/>
          <w:sz w:val="22"/>
          <w:szCs w:val="22"/>
        </w:rPr>
        <w:t>20</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DOCUMENTACIÓN E INFORMACIÓN PRESENTADA POR EL EMISOR Y SUS </w:t>
      </w:r>
      <w:r w:rsidRPr="00D31E68">
        <w:rPr>
          <w:rFonts w:ascii="Times New Roman" w:hAnsi="Times New Roman"/>
          <w:b/>
          <w:bCs/>
          <w:i w:val="0"/>
          <w:color w:val="0D0D0D" w:themeColor="text1" w:themeTint="F2"/>
          <w:sz w:val="22"/>
          <w:szCs w:val="22"/>
        </w:rPr>
        <w:t xml:space="preserve">ASESORES </w:t>
      </w:r>
      <w:r w:rsidR="00AB168C" w:rsidRPr="00D31E68">
        <w:rPr>
          <w:rFonts w:ascii="Times New Roman" w:hAnsi="Times New Roman"/>
          <w:b/>
          <w:bCs/>
          <w:i w:val="0"/>
          <w:color w:val="0D0D0D" w:themeColor="text1" w:themeTint="F2"/>
          <w:sz w:val="22"/>
          <w:szCs w:val="22"/>
        </w:rPr>
        <w:t xml:space="preserve">A </w:t>
      </w:r>
      <w:r w:rsidR="00A03450">
        <w:rPr>
          <w:rFonts w:ascii="Times New Roman" w:hAnsi="Times New Roman"/>
          <w:b/>
          <w:bCs/>
          <w:i w:val="0"/>
          <w:iCs w:val="0"/>
          <w:color w:val="0D0D0D" w:themeColor="text1" w:themeTint="F2"/>
          <w:sz w:val="22"/>
          <w:szCs w:val="22"/>
        </w:rPr>
        <w:t>ENERO</w:t>
      </w:r>
      <w:r w:rsidR="00157F81" w:rsidRPr="00D31E68">
        <w:rPr>
          <w:rFonts w:ascii="Times New Roman" w:hAnsi="Times New Roman"/>
          <w:b/>
          <w:bCs/>
          <w:i w:val="0"/>
          <w:color w:val="0D0D0D" w:themeColor="text1" w:themeTint="F2"/>
          <w:sz w:val="22"/>
          <w:szCs w:val="22"/>
        </w:rPr>
        <w:t xml:space="preserve"> </w:t>
      </w:r>
      <w:r w:rsidR="00AB168C" w:rsidRPr="00D31E68">
        <w:rPr>
          <w:rFonts w:ascii="Times New Roman" w:hAnsi="Times New Roman"/>
          <w:b/>
          <w:bCs/>
          <w:i w:val="0"/>
          <w:color w:val="0D0D0D" w:themeColor="text1" w:themeTint="F2"/>
          <w:sz w:val="22"/>
          <w:szCs w:val="22"/>
        </w:rPr>
        <w:t>DE</w:t>
      </w:r>
      <w:r w:rsidR="00AB168C" w:rsidRPr="00506990">
        <w:rPr>
          <w:rFonts w:ascii="Times New Roman" w:hAnsi="Times New Roman"/>
          <w:b/>
          <w:bCs/>
          <w:i w:val="0"/>
          <w:color w:val="0D0D0D" w:themeColor="text1" w:themeTint="F2"/>
          <w:sz w:val="22"/>
          <w:szCs w:val="22"/>
        </w:rPr>
        <w:t xml:space="preserve"> 20</w:t>
      </w:r>
      <w:r w:rsidR="00A03450">
        <w:rPr>
          <w:rFonts w:ascii="Times New Roman" w:hAnsi="Times New Roman"/>
          <w:b/>
          <w:bCs/>
          <w:i w:val="0"/>
          <w:color w:val="0D0D0D" w:themeColor="text1" w:themeTint="F2"/>
          <w:sz w:val="22"/>
          <w:szCs w:val="22"/>
        </w:rPr>
        <w:t>20</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QUEDANDO SUJETAS A LA RECEPCIÓN DE LA DOCUMENTACIÓN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CNV (</w:t>
      </w:r>
      <w:hyperlink r:id="rId19" w:history="1">
        <w:r w:rsidR="006B4CC2" w:rsidRPr="00506990">
          <w:rPr>
            <w:rStyle w:val="Hipervnculo"/>
            <w:rFonts w:ascii="Times New Roman" w:hAnsi="Times New Roman"/>
            <w:b/>
            <w:bCs/>
            <w:i w:val="0"/>
            <w:sz w:val="22"/>
            <w:szCs w:val="22"/>
          </w:rPr>
          <w:t>www.cnv.gov.ar</w:t>
        </w:r>
      </w:hyperlink>
      <w:r w:rsidRPr="00506990">
        <w:rPr>
          <w:rFonts w:ascii="Times New Roman" w:hAnsi="Times New Roman"/>
          <w:b/>
          <w:bCs/>
          <w:i w:val="0"/>
          <w:color w:val="0D0D0D" w:themeColor="text1" w:themeTint="F2"/>
          <w:sz w:val="22"/>
          <w:szCs w:val="22"/>
        </w:rPr>
        <w:t>)</w:t>
      </w:r>
    </w:p>
    <w:p w14:paraId="2E20B232"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A797C71" w14:textId="77777777" w:rsidR="0059185D" w:rsidRPr="00506990"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3B558B2B" w14:textId="78E628AD" w:rsidR="000D2637" w:rsidRPr="00506990" w:rsidRDefault="000D2637"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color w:val="0D0D0D" w:themeColor="text1" w:themeTint="F2"/>
          <w:sz w:val="22"/>
          <w:szCs w:val="22"/>
        </w:rPr>
      </w:pPr>
      <w:r w:rsidRPr="00506990">
        <w:rPr>
          <w:rFonts w:ascii="Times New Roman" w:hAnsi="Times New Roman"/>
          <w:color w:val="0D0D0D" w:themeColor="text1" w:themeTint="F2"/>
          <w:sz w:val="22"/>
          <w:szCs w:val="22"/>
        </w:rPr>
        <w:t xml:space="preserve">Los Valores </w:t>
      </w:r>
      <w:r w:rsidR="00D80121" w:rsidRPr="00506990">
        <w:rPr>
          <w:rFonts w:ascii="Times New Roman" w:hAnsi="Times New Roman"/>
          <w:color w:val="0D0D0D" w:themeColor="text1" w:themeTint="F2"/>
          <w:sz w:val="22"/>
          <w:szCs w:val="22"/>
        </w:rPr>
        <w:t xml:space="preserve">de Deuda </w:t>
      </w:r>
      <w:r w:rsidRPr="00506990">
        <w:rPr>
          <w:rFonts w:ascii="Times New Roman" w:hAnsi="Times New Roman"/>
          <w:color w:val="0D0D0D" w:themeColor="text1" w:themeTint="F2"/>
          <w:sz w:val="22"/>
          <w:szCs w:val="22"/>
        </w:rPr>
        <w:t>Fiduciari</w:t>
      </w:r>
      <w:r w:rsidR="00D80121" w:rsidRPr="00506990">
        <w:rPr>
          <w:rFonts w:ascii="Times New Roman" w:hAnsi="Times New Roman"/>
          <w:color w:val="0D0D0D" w:themeColor="text1" w:themeTint="F2"/>
          <w:sz w:val="22"/>
          <w:szCs w:val="22"/>
        </w:rPr>
        <w:t>a</w:t>
      </w:r>
      <w:r w:rsidRPr="00506990">
        <w:rPr>
          <w:rFonts w:ascii="Times New Roman" w:hAnsi="Times New Roman"/>
          <w:color w:val="0D0D0D" w:themeColor="text1" w:themeTint="F2"/>
          <w:sz w:val="22"/>
          <w:szCs w:val="22"/>
        </w:rPr>
        <w:t xml:space="preserve"> que se ofrecen por el presente corresponden al Fideicomiso Financiero </w:t>
      </w:r>
      <w:r w:rsidR="00D11562" w:rsidRPr="00506990">
        <w:rPr>
          <w:rFonts w:ascii="Times New Roman" w:hAnsi="Times New Roman"/>
          <w:color w:val="0D0D0D" w:themeColor="text1" w:themeTint="F2"/>
          <w:sz w:val="22"/>
          <w:szCs w:val="22"/>
        </w:rPr>
        <w:t xml:space="preserve">CONFIBONO </w:t>
      </w:r>
      <w:r w:rsidR="003F20DA" w:rsidRPr="00506990">
        <w:rPr>
          <w:rFonts w:ascii="Times New Roman" w:hAnsi="Times New Roman"/>
          <w:color w:val="0D0D0D" w:themeColor="text1" w:themeTint="F2"/>
          <w:sz w:val="22"/>
          <w:szCs w:val="22"/>
        </w:rPr>
        <w:t>L</w:t>
      </w:r>
      <w:r w:rsidR="00192FE0" w:rsidRPr="00506990">
        <w:rPr>
          <w:rFonts w:ascii="Times New Roman" w:hAnsi="Times New Roman"/>
          <w:color w:val="0D0D0D" w:themeColor="text1" w:themeTint="F2"/>
          <w:sz w:val="22"/>
          <w:szCs w:val="22"/>
        </w:rPr>
        <w:t>I</w:t>
      </w:r>
      <w:r w:rsidR="00F73AF2">
        <w:rPr>
          <w:rFonts w:ascii="Times New Roman" w:hAnsi="Times New Roman"/>
          <w:color w:val="0D0D0D" w:themeColor="text1" w:themeTint="F2"/>
          <w:sz w:val="22"/>
          <w:szCs w:val="22"/>
        </w:rPr>
        <w:t>V</w:t>
      </w:r>
      <w:r w:rsidR="00124075" w:rsidRPr="00506990">
        <w:rPr>
          <w:rFonts w:ascii="Times New Roman" w:hAnsi="Times New Roman"/>
          <w:color w:val="0D0D0D" w:themeColor="text1" w:themeTint="F2"/>
          <w:sz w:val="22"/>
          <w:szCs w:val="22"/>
        </w:rPr>
        <w:t>,</w:t>
      </w:r>
      <w:r w:rsidR="0091727C"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constituido bajo el Programa Global de Valores Fiduciarios “</w:t>
      </w:r>
      <w:r w:rsidR="007B30B6" w:rsidRPr="00506990">
        <w:rPr>
          <w:rFonts w:ascii="Times New Roman" w:hAnsi="Times New Roman"/>
          <w:color w:val="0D0D0D" w:themeColor="text1" w:themeTint="F2"/>
          <w:sz w:val="22"/>
          <w:szCs w:val="22"/>
        </w:rPr>
        <w:t>CONFIBONO</w:t>
      </w:r>
      <w:r w:rsidRPr="00506990">
        <w:rPr>
          <w:rFonts w:ascii="Times New Roman" w:hAnsi="Times New Roman"/>
          <w:color w:val="0D0D0D" w:themeColor="text1" w:themeTint="F2"/>
          <w:sz w:val="22"/>
          <w:szCs w:val="22"/>
        </w:rPr>
        <w:t xml:space="preserve">”, conforme </w:t>
      </w:r>
      <w:r w:rsidR="00986CB3" w:rsidRPr="00506990">
        <w:rPr>
          <w:rFonts w:ascii="Times New Roman" w:hAnsi="Times New Roman"/>
          <w:color w:val="0D0D0D" w:themeColor="text1" w:themeTint="F2"/>
          <w:sz w:val="22"/>
          <w:szCs w:val="22"/>
          <w:lang w:val="es-AR"/>
        </w:rPr>
        <w:t xml:space="preserve">al Libro Tercero, Título IV, Capítulo 30 </w:t>
      </w:r>
      <w:r w:rsidR="003C769E" w:rsidRPr="00506990">
        <w:rPr>
          <w:rFonts w:ascii="Times New Roman" w:hAnsi="Times New Roman"/>
          <w:color w:val="0D0D0D" w:themeColor="text1" w:themeTint="F2"/>
          <w:sz w:val="22"/>
          <w:szCs w:val="22"/>
          <w:lang w:val="es-AR"/>
        </w:rPr>
        <w:t xml:space="preserve">del </w:t>
      </w:r>
      <w:r w:rsidR="003C769E" w:rsidRPr="00506990">
        <w:rPr>
          <w:rFonts w:ascii="Times New Roman" w:hAnsi="Times New Roman"/>
          <w:color w:val="0D0D0D" w:themeColor="text1" w:themeTint="F2"/>
          <w:sz w:val="22"/>
          <w:szCs w:val="22"/>
        </w:rPr>
        <w:t>Código</w:t>
      </w:r>
      <w:r w:rsidR="00BF6C87" w:rsidRPr="00506990">
        <w:rPr>
          <w:rFonts w:ascii="Times New Roman" w:hAnsi="Times New Roman"/>
          <w:color w:val="0D0D0D" w:themeColor="text1" w:themeTint="F2"/>
          <w:sz w:val="22"/>
          <w:szCs w:val="22"/>
        </w:rPr>
        <w:t xml:space="preserve"> Civil y Comercial de la </w:t>
      </w:r>
      <w:r w:rsidR="003C769E" w:rsidRPr="00506990">
        <w:rPr>
          <w:rFonts w:ascii="Times New Roman" w:hAnsi="Times New Roman"/>
          <w:color w:val="0D0D0D" w:themeColor="text1" w:themeTint="F2"/>
          <w:sz w:val="22"/>
          <w:szCs w:val="22"/>
        </w:rPr>
        <w:t>Nación y</w:t>
      </w:r>
      <w:r w:rsidRPr="00506990">
        <w:rPr>
          <w:rFonts w:ascii="Times New Roman" w:hAnsi="Times New Roman"/>
          <w:color w:val="0D0D0D" w:themeColor="text1" w:themeTint="F2"/>
          <w:sz w:val="22"/>
          <w:szCs w:val="22"/>
        </w:rPr>
        <w:t xml:space="preserve"> el Título V Capítulo IV de las NORMAS de la Comisión Nacional de Valores (“CNV”) (</w:t>
      </w:r>
      <w:r w:rsidR="00A769F5" w:rsidRPr="00506990">
        <w:rPr>
          <w:rFonts w:ascii="Times New Roman" w:hAnsi="Times New Roman"/>
          <w:color w:val="0D0D0D" w:themeColor="text1" w:themeTint="F2"/>
          <w:sz w:val="22"/>
          <w:szCs w:val="22"/>
        </w:rPr>
        <w:t>N.T</w:t>
      </w:r>
      <w:r w:rsidR="00840581" w:rsidRPr="00506990">
        <w:rPr>
          <w:rFonts w:ascii="Times New Roman" w:hAnsi="Times New Roman"/>
          <w:color w:val="0D0D0D" w:themeColor="text1" w:themeTint="F2"/>
          <w:sz w:val="22"/>
          <w:szCs w:val="22"/>
        </w:rPr>
        <w:t xml:space="preserve"> </w:t>
      </w:r>
      <w:r w:rsidR="00A769F5" w:rsidRPr="00506990">
        <w:rPr>
          <w:rFonts w:ascii="Times New Roman" w:hAnsi="Times New Roman"/>
          <w:color w:val="0D0D0D" w:themeColor="text1" w:themeTint="F2"/>
          <w:sz w:val="22"/>
          <w:szCs w:val="22"/>
        </w:rPr>
        <w:t>2013</w:t>
      </w:r>
      <w:r w:rsidRPr="00506990">
        <w:rPr>
          <w:rFonts w:ascii="Times New Roman" w:hAnsi="Times New Roman"/>
          <w:color w:val="0D0D0D" w:themeColor="text1" w:themeTint="F2"/>
          <w:sz w:val="22"/>
          <w:szCs w:val="22"/>
        </w:rPr>
        <w:t xml:space="preserve">. </w:t>
      </w:r>
      <w:r w:rsidR="005A3BE4" w:rsidRPr="00506990">
        <w:rPr>
          <w:rFonts w:ascii="Times New Roman" w:hAnsi="Times New Roman"/>
          <w:color w:val="0D0D0D" w:themeColor="text1" w:themeTint="F2"/>
          <w:sz w:val="22"/>
          <w:szCs w:val="22"/>
        </w:rPr>
        <w:t xml:space="preserve">y </w:t>
      </w:r>
      <w:r w:rsidR="00A769F5" w:rsidRPr="00506990">
        <w:rPr>
          <w:rFonts w:ascii="Times New Roman" w:hAnsi="Times New Roman"/>
          <w:color w:val="0D0D0D" w:themeColor="text1" w:themeTint="F2"/>
          <w:sz w:val="22"/>
          <w:szCs w:val="22"/>
        </w:rPr>
        <w:t>mod</w:t>
      </w:r>
      <w:r w:rsidR="00D253B0" w:rsidRPr="00506990">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 – las “NORMAS”). Los bienes del Fiduciario no responderán por las obligaciones contraídas en la ejecución del Fideicomiso</w:t>
      </w:r>
      <w:r w:rsidR="00E11E0B" w:rsidRPr="00506990">
        <w:rPr>
          <w:rFonts w:ascii="Times New Roman" w:hAnsi="Times New Roman"/>
          <w:color w:val="0D0D0D" w:themeColor="text1" w:themeTint="F2"/>
          <w:sz w:val="22"/>
          <w:szCs w:val="22"/>
        </w:rPr>
        <w:t xml:space="preserve"> que </w:t>
      </w:r>
      <w:r w:rsidRPr="00506990">
        <w:rPr>
          <w:rFonts w:ascii="Times New Roman" w:hAnsi="Times New Roman"/>
          <w:color w:val="0D0D0D" w:themeColor="text1" w:themeTint="F2"/>
          <w:sz w:val="22"/>
          <w:szCs w:val="22"/>
        </w:rPr>
        <w:t>serán exclusivamente satisfechas con los Bienes Fideicomitidos, conforme lo dispone el artículo 16</w:t>
      </w:r>
      <w:r w:rsidR="00CA5FAE" w:rsidRPr="00506990">
        <w:rPr>
          <w:rFonts w:ascii="Times New Roman" w:hAnsi="Times New Roman"/>
          <w:color w:val="0D0D0D" w:themeColor="text1" w:themeTint="F2"/>
          <w:sz w:val="22"/>
          <w:szCs w:val="22"/>
        </w:rPr>
        <w:t>87</w:t>
      </w:r>
      <w:r w:rsidRPr="00506990">
        <w:rPr>
          <w:rFonts w:ascii="Times New Roman" w:hAnsi="Times New Roman"/>
          <w:color w:val="0D0D0D" w:themeColor="text1" w:themeTint="F2"/>
          <w:sz w:val="22"/>
          <w:szCs w:val="22"/>
        </w:rPr>
        <w:t xml:space="preserve"> de</w:t>
      </w:r>
      <w:r w:rsidR="00CA5FAE" w:rsidRPr="00506990">
        <w:rPr>
          <w:rFonts w:ascii="Times New Roman" w:hAnsi="Times New Roman"/>
          <w:color w:val="0D0D0D" w:themeColor="text1" w:themeTint="F2"/>
          <w:sz w:val="22"/>
          <w:szCs w:val="22"/>
        </w:rPr>
        <w:t>l Código Civil y Comercial de la Nación</w:t>
      </w:r>
      <w:r w:rsidRPr="00506990">
        <w:rPr>
          <w:rFonts w:ascii="Times New Roman" w:hAnsi="Times New Roman"/>
          <w:color w:val="0D0D0D" w:themeColor="text1" w:themeTint="F2"/>
          <w:sz w:val="22"/>
          <w:szCs w:val="22"/>
        </w:rPr>
        <w:t>.</w:t>
      </w:r>
      <w:r w:rsidR="00214E30" w:rsidRPr="00506990">
        <w:rPr>
          <w:rFonts w:ascii="Times New Roman" w:hAnsi="Times New Roman"/>
          <w:color w:val="0D0D0D" w:themeColor="text1" w:themeTint="F2"/>
          <w:sz w:val="22"/>
          <w:szCs w:val="22"/>
        </w:rPr>
        <w:t xml:space="preserve"> En caso de incumplimiento total o parcial de los obligados de los activos que constituyan los Bienes Fideicomitidos, los Beneficiarios no tendrán derecho o acción alguna contra el Fiduciario, </w:t>
      </w:r>
      <w:r w:rsidR="008A0685" w:rsidRPr="00506990">
        <w:rPr>
          <w:rFonts w:ascii="Times New Roman" w:hAnsi="Times New Roman"/>
          <w:color w:val="0D0D0D" w:themeColor="text1" w:themeTint="F2"/>
          <w:sz w:val="22"/>
          <w:szCs w:val="22"/>
        </w:rPr>
        <w:t xml:space="preserve">el </w:t>
      </w:r>
      <w:r w:rsidR="003C769E" w:rsidRPr="00506990">
        <w:rPr>
          <w:rFonts w:ascii="Times New Roman" w:hAnsi="Times New Roman"/>
          <w:color w:val="0D0D0D" w:themeColor="text1" w:themeTint="F2"/>
          <w:sz w:val="22"/>
          <w:szCs w:val="22"/>
        </w:rPr>
        <w:t>Organizador y</w:t>
      </w:r>
      <w:r w:rsidR="00214E30" w:rsidRPr="00506990">
        <w:rPr>
          <w:rFonts w:ascii="Times New Roman" w:hAnsi="Times New Roman"/>
          <w:color w:val="0D0D0D" w:themeColor="text1" w:themeTint="F2"/>
          <w:sz w:val="22"/>
          <w:szCs w:val="22"/>
        </w:rPr>
        <w:t>/o l</w:t>
      </w:r>
      <w:r w:rsidR="003C5928" w:rsidRPr="00506990">
        <w:rPr>
          <w:rFonts w:ascii="Times New Roman" w:hAnsi="Times New Roman"/>
          <w:color w:val="0D0D0D" w:themeColor="text1" w:themeTint="F2"/>
          <w:sz w:val="22"/>
          <w:szCs w:val="22"/>
        </w:rPr>
        <w:t>os</w:t>
      </w:r>
      <w:r w:rsidR="00214E30" w:rsidRPr="00506990">
        <w:rPr>
          <w:rFonts w:ascii="Times New Roman" w:hAnsi="Times New Roman"/>
          <w:color w:val="0D0D0D" w:themeColor="text1" w:themeTint="F2"/>
          <w:sz w:val="22"/>
          <w:szCs w:val="22"/>
        </w:rPr>
        <w:t xml:space="preserve"> Fiduciante</w:t>
      </w:r>
      <w:r w:rsidR="003C5928" w:rsidRPr="00506990">
        <w:rPr>
          <w:rFonts w:ascii="Times New Roman" w:hAnsi="Times New Roman"/>
          <w:color w:val="0D0D0D" w:themeColor="text1" w:themeTint="F2"/>
          <w:sz w:val="22"/>
          <w:szCs w:val="22"/>
        </w:rPr>
        <w:t>s</w:t>
      </w:r>
      <w:r w:rsidR="00214E30" w:rsidRPr="00506990">
        <w:rPr>
          <w:rFonts w:ascii="Times New Roman" w:hAnsi="Times New Roman"/>
          <w:color w:val="0D0D0D" w:themeColor="text1" w:themeTint="F2"/>
          <w:sz w:val="22"/>
          <w:szCs w:val="22"/>
        </w:rPr>
        <w:t xml:space="preserve">, salvo la garantía de evicción que éste último presta. </w:t>
      </w:r>
    </w:p>
    <w:p w14:paraId="5BC8C9EF"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56425C37" w14:textId="017DAF0B" w:rsidR="00E11B23" w:rsidRPr="00506990" w:rsidRDefault="00E11B23" w:rsidP="00E11B23">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w:t>
      </w:r>
      <w:r w:rsidR="00BF6726">
        <w:rPr>
          <w:rFonts w:ascii="Times New Roman" w:hAnsi="Times New Roman" w:cs="Times New Roman"/>
          <w:b/>
          <w:i/>
          <w:color w:val="000000" w:themeColor="text1"/>
          <w:sz w:val="22"/>
          <w:szCs w:val="22"/>
        </w:rPr>
        <w:t xml:space="preserve">Resumido </w:t>
      </w:r>
      <w:r w:rsidRPr="00506990">
        <w:rPr>
          <w:rFonts w:ascii="Times New Roman" w:hAnsi="Times New Roman" w:cs="Times New Roman"/>
          <w:b/>
          <w:i/>
          <w:color w:val="000000" w:themeColor="text1"/>
          <w:sz w:val="22"/>
          <w:szCs w:val="22"/>
        </w:rPr>
        <w:t xml:space="preserve">es </w:t>
      </w:r>
      <w:r w:rsidR="00D41078">
        <w:rPr>
          <w:rFonts w:ascii="Times New Roman" w:hAnsi="Times New Roman" w:cs="Times New Roman"/>
          <w:b/>
          <w:bCs/>
          <w:i/>
          <w:iCs/>
          <w:color w:val="0D0D0D" w:themeColor="text1" w:themeTint="F2"/>
          <w:sz w:val="22"/>
          <w:szCs w:val="22"/>
        </w:rPr>
        <w:t>13</w:t>
      </w:r>
      <w:r w:rsidR="00D41078" w:rsidRPr="00506990">
        <w:rPr>
          <w:rFonts w:ascii="Times New Roman" w:hAnsi="Times New Roman" w:cs="Times New Roman"/>
          <w:b/>
          <w:i/>
          <w:color w:val="000000" w:themeColor="text1"/>
          <w:sz w:val="22"/>
          <w:szCs w:val="22"/>
        </w:rPr>
        <w:t xml:space="preserve"> </w:t>
      </w:r>
      <w:r w:rsidRPr="00506990">
        <w:rPr>
          <w:rFonts w:ascii="Times New Roman" w:hAnsi="Times New Roman" w:cs="Times New Roman"/>
          <w:b/>
          <w:i/>
          <w:color w:val="000000" w:themeColor="text1"/>
          <w:sz w:val="22"/>
          <w:szCs w:val="22"/>
        </w:rPr>
        <w:t xml:space="preserve">de </w:t>
      </w:r>
      <w:r w:rsidR="0025325D">
        <w:rPr>
          <w:rFonts w:ascii="Times New Roman" w:hAnsi="Times New Roman" w:cs="Times New Roman"/>
          <w:b/>
          <w:i/>
          <w:color w:val="000000" w:themeColor="text1"/>
          <w:sz w:val="22"/>
          <w:szCs w:val="22"/>
        </w:rPr>
        <w:t>marzo</w:t>
      </w:r>
      <w:r w:rsidR="0022662F" w:rsidRPr="00506990">
        <w:rPr>
          <w:rFonts w:ascii="Times New Roman" w:hAnsi="Times New Roman" w:cs="Times New Roman"/>
          <w:b/>
          <w:i/>
          <w:color w:val="000000" w:themeColor="text1"/>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20</w:t>
      </w:r>
      <w:r w:rsidRPr="00506990">
        <w:rPr>
          <w:rFonts w:ascii="Times New Roman" w:hAnsi="Times New Roman" w:cs="Times New Roman"/>
          <w:b/>
          <w:i/>
          <w:color w:val="000000" w:themeColor="text1"/>
          <w:sz w:val="22"/>
          <w:szCs w:val="22"/>
        </w:rPr>
        <w:t xml:space="preserve"> y debe leerse juntamente con el </w:t>
      </w:r>
      <w:r w:rsidR="00BF6726">
        <w:rPr>
          <w:rFonts w:ascii="Times New Roman" w:hAnsi="Times New Roman" w:cs="Times New Roman"/>
          <w:b/>
          <w:i/>
          <w:color w:val="000000" w:themeColor="text1"/>
          <w:sz w:val="22"/>
          <w:szCs w:val="22"/>
        </w:rPr>
        <w:t xml:space="preserve">Suplemento de Prospecto Completo y con el </w:t>
      </w:r>
      <w:r w:rsidRPr="00506990">
        <w:rPr>
          <w:rFonts w:ascii="Times New Roman" w:hAnsi="Times New Roman" w:cs="Times New Roman"/>
          <w:b/>
          <w:i/>
          <w:color w:val="000000" w:themeColor="text1"/>
          <w:sz w:val="22"/>
          <w:szCs w:val="22"/>
        </w:rPr>
        <w:t>Prospecto del Programa</w:t>
      </w:r>
      <w:r w:rsidR="00CA777A" w:rsidRPr="00506990">
        <w:rPr>
          <w:rFonts w:ascii="Times New Roman" w:hAnsi="Times New Roman" w:cs="Times New Roman"/>
          <w:b/>
          <w:i/>
          <w:color w:val="000000" w:themeColor="text1"/>
          <w:sz w:val="22"/>
          <w:szCs w:val="22"/>
        </w:rPr>
        <w:t>, publicado en el boletín diario de la Bolsa de Comercio de Rosario el 24 de agosto de 2018</w:t>
      </w:r>
      <w:r w:rsidRPr="00506990">
        <w:rPr>
          <w:rFonts w:ascii="Times New Roman" w:hAnsi="Times New Roman" w:cs="Times New Roman"/>
          <w:b/>
          <w:i/>
          <w:color w:val="000000" w:themeColor="text1"/>
          <w:sz w:val="22"/>
          <w:szCs w:val="22"/>
        </w:rPr>
        <w:t xml:space="preserve">. Ambos documentos están disponibles en </w:t>
      </w:r>
      <w:hyperlink w:history="1">
        <w:r w:rsidR="00413336" w:rsidRPr="00506990">
          <w:rPr>
            <w:rStyle w:val="Hipervnculo"/>
            <w:rFonts w:ascii="Times New Roman" w:hAnsi="Times New Roman"/>
            <w:b/>
            <w:i/>
            <w:sz w:val="22"/>
            <w:szCs w:val="22"/>
          </w:rPr>
          <w:t>www.cnv.gov.ar,</w:t>
        </w:r>
        <w:r w:rsidR="00413336" w:rsidRPr="00506990">
          <w:rPr>
            <w:rStyle w:val="Hipervnculo"/>
            <w:rFonts w:ascii="Times New Roman" w:hAnsi="Times New Roman"/>
            <w:b/>
            <w:i/>
            <w:color w:val="auto"/>
            <w:sz w:val="22"/>
            <w:szCs w:val="22"/>
            <w:u w:val="none"/>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donde se listen los Valores </w:t>
      </w:r>
      <w:r w:rsidR="00D37CD5" w:rsidRPr="00B43F7C">
        <w:rPr>
          <w:rFonts w:ascii="Times New Roman" w:hAnsi="Times New Roman" w:cs="Times New Roman"/>
          <w:b/>
          <w:i/>
          <w:iCs/>
          <w:color w:val="0D0D0D" w:themeColor="text1" w:themeTint="F2"/>
          <w:sz w:val="22"/>
          <w:szCs w:val="22"/>
          <w:lang w:val="es-AR"/>
        </w:rPr>
        <w:t xml:space="preserve">de Deuda </w:t>
      </w:r>
      <w:r w:rsidRPr="00506990">
        <w:rPr>
          <w:rFonts w:ascii="Times New Roman" w:hAnsi="Times New Roman" w:cs="Times New Roman"/>
          <w:b/>
          <w:i/>
          <w:color w:val="000000" w:themeColor="text1"/>
          <w:sz w:val="22"/>
          <w:szCs w:val="22"/>
        </w:rPr>
        <w:t>Fiduciari</w:t>
      </w:r>
      <w:r w:rsidR="00D37CD5" w:rsidRPr="00506990">
        <w:rPr>
          <w:rFonts w:ascii="Times New Roman" w:hAnsi="Times New Roman" w:cs="Times New Roman"/>
          <w:b/>
          <w:i/>
          <w:color w:val="000000" w:themeColor="text1"/>
          <w:sz w:val="22"/>
          <w:szCs w:val="22"/>
        </w:rPr>
        <w:t>a</w:t>
      </w:r>
      <w:r w:rsidRPr="00506990">
        <w:rPr>
          <w:rFonts w:ascii="Times New Roman" w:hAnsi="Times New Roman" w:cs="Times New Roman"/>
          <w:b/>
          <w:i/>
          <w:color w:val="000000" w:themeColor="text1"/>
          <w:sz w:val="22"/>
          <w:szCs w:val="22"/>
        </w:rPr>
        <w:t>, en las oficinas del Fiduciario y de los Colocadores.</w:t>
      </w:r>
    </w:p>
    <w:p w14:paraId="481AB54E" w14:textId="7C864DCB" w:rsidR="00F02248" w:rsidRPr="00506990" w:rsidRDefault="00F02248">
      <w:pPr>
        <w:jc w:val="left"/>
        <w:rPr>
          <w:rFonts w:ascii="Times New Roman" w:hAnsi="Times New Roman" w:cs="Times New Roman"/>
          <w:b/>
          <w:i/>
          <w:color w:val="000000" w:themeColor="text1"/>
          <w:sz w:val="22"/>
          <w:szCs w:val="22"/>
        </w:rPr>
      </w:pPr>
    </w:p>
    <w:p w14:paraId="0EF1D695" w14:textId="159390F6" w:rsidR="000D2637" w:rsidRPr="00506990" w:rsidRDefault="007C062B" w:rsidP="00B228F5">
      <w:pPr>
        <w:pStyle w:val="Ttulo1"/>
        <w:jc w:val="center"/>
        <w:rPr>
          <w:rFonts w:ascii="Times New Roman" w:hAnsi="Times New Roman"/>
          <w:sz w:val="22"/>
          <w:szCs w:val="22"/>
        </w:rPr>
      </w:pPr>
      <w:bookmarkStart w:id="36" w:name="_Toc521424857"/>
      <w:bookmarkStart w:id="37" w:name="_Toc20409069"/>
      <w:r w:rsidRPr="00506990">
        <w:rPr>
          <w:rFonts w:ascii="Times New Roman" w:hAnsi="Times New Roman"/>
          <w:sz w:val="22"/>
          <w:szCs w:val="22"/>
        </w:rPr>
        <w:t xml:space="preserve">I.- </w:t>
      </w:r>
      <w:r w:rsidR="000D2637" w:rsidRPr="00506990">
        <w:rPr>
          <w:rFonts w:ascii="Times New Roman" w:hAnsi="Times New Roman"/>
          <w:sz w:val="22"/>
          <w:szCs w:val="22"/>
        </w:rPr>
        <w:t>ADVERTENCIAS</w:t>
      </w:r>
      <w:bookmarkEnd w:id="36"/>
      <w:bookmarkEnd w:id="37"/>
    </w:p>
    <w:p w14:paraId="530FE77D"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7895BCEB" w14:textId="3A37214E"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sidR="00D80121"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FIDUCIARI</w:t>
      </w:r>
      <w:r w:rsidR="00D80121"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QUE SE EMITIRÁN BAJO EL FIDEICOMISO -DE CONFORMIDAD CON LO PREVISTO EN EL SUPLEMENTO DE PROSPECTO- SERÁN OFRECIDOS POR OFERTA PÚBLICA A POTENCIALES INVERSORES SOLO EN LA REPÚBLICA ARGENTINA MEDIANTE LA ENTREGA Y/O PUESTA A DISPOSICIÓN DEL PRESENTE SUPLEMENTO DE PROSPECTO Y DEL PROSPECTO DEL PROGRAMA.</w:t>
      </w:r>
    </w:p>
    <w:p w14:paraId="237D6F92" w14:textId="77777777"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p>
    <w:p w14:paraId="1E2DF29B" w14:textId="7A875710"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LOS VALORES </w:t>
      </w:r>
      <w:r w:rsidR="00D80121"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FIDUCIARI</w:t>
      </w:r>
      <w:r w:rsidR="00D80121"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p>
    <w:p w14:paraId="63C0F17C"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7BFCFF54" w14:textId="5C5AFB48"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INFORMACIÓN RELATIVA A</w:t>
      </w:r>
      <w:r w:rsidR="00F7400D"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F7400D"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Y ADMINISTRADOR</w:t>
      </w:r>
      <w:r w:rsidR="00F7400D"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DEL AGENTE RECAUDADOR CONTENIDA EN EL PRESENTE SUPLEMENTO DE PROSPECTO HA SIDO PROPORCIONADA POR EL</w:t>
      </w:r>
      <w:r w:rsidR="006E388D" w:rsidRPr="00506990">
        <w:rPr>
          <w:rFonts w:ascii="Times New Roman" w:hAnsi="Times New Roman" w:cs="Times New Roman"/>
          <w:b/>
          <w:bCs/>
          <w:iCs/>
          <w:color w:val="0D0D0D" w:themeColor="text1" w:themeTint="F2"/>
          <w:sz w:val="22"/>
          <w:szCs w:val="22"/>
        </w:rPr>
        <w:t>LOS</w:t>
      </w:r>
      <w:r w:rsidRPr="00506990">
        <w:rPr>
          <w:rFonts w:ascii="Times New Roman" w:hAnsi="Times New Roman" w:cs="Times New Roman"/>
          <w:b/>
          <w:bCs/>
          <w:iCs/>
          <w:color w:val="0D0D0D" w:themeColor="text1" w:themeTint="F2"/>
          <w:sz w:val="22"/>
          <w:szCs w:val="22"/>
        </w:rPr>
        <w:t xml:space="preserve"> U OBTENIDA DE FUENTES DE CONOCIMIENTO PÚBLICO, SEGÚN CORRESPONDA. ES PUESTA A DISPOSICIÓN DE LOS EVENTUALES INVERSORES SOLAMENTE PARA SU USO EN RELACIÓN CON EL ANÁLISIS DE LA COMPRA DE LOS VALORES </w:t>
      </w:r>
      <w:r w:rsidR="006E388D" w:rsidRPr="00506990">
        <w:rPr>
          <w:rFonts w:ascii="Times New Roman" w:hAnsi="Times New Roman" w:cs="Times New Roman"/>
          <w:b/>
          <w:bCs/>
          <w:iCs/>
          <w:color w:val="0D0D0D" w:themeColor="text1" w:themeTint="F2"/>
          <w:sz w:val="22"/>
          <w:szCs w:val="22"/>
        </w:rPr>
        <w:t xml:space="preserve">DE DEUDA </w:t>
      </w:r>
      <w:r w:rsidR="00F12E1B" w:rsidRPr="00506990">
        <w:rPr>
          <w:rFonts w:ascii="Times New Roman" w:hAnsi="Times New Roman" w:cs="Times New Roman"/>
          <w:b/>
          <w:bCs/>
          <w:iCs/>
          <w:color w:val="0D0D0D" w:themeColor="text1" w:themeTint="F2"/>
          <w:sz w:val="22"/>
          <w:szCs w:val="22"/>
        </w:rPr>
        <w:t>FIDUCIARI</w:t>
      </w:r>
      <w:r w:rsidR="006E388D"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14:paraId="33DC3F30"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2370F014"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3EB6E85D"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09FCFB00" w14:textId="63010E93"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TODO EVENTUAL INVERSOR QUE CONTEMPLE LA ADQUISICIÓN DE LOS VALORES </w:t>
      </w:r>
      <w:r w:rsidR="00F12E1B" w:rsidRPr="00506990">
        <w:rPr>
          <w:rFonts w:ascii="Times New Roman" w:hAnsi="Times New Roman" w:cs="Times New Roman"/>
          <w:b/>
          <w:bCs/>
          <w:iCs/>
          <w:color w:val="0D0D0D" w:themeColor="text1" w:themeTint="F2"/>
          <w:sz w:val="22"/>
          <w:szCs w:val="22"/>
        </w:rPr>
        <w:t>FIDUCIARI</w:t>
      </w:r>
      <w:r w:rsidR="007F446E"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DEBERÁ REALIZAR </w:t>
      </w:r>
      <w:r w:rsidR="007F446E" w:rsidRPr="00506990">
        <w:rPr>
          <w:rFonts w:ascii="Times New Roman" w:hAnsi="Times New Roman" w:cs="Times New Roman"/>
          <w:b/>
          <w:bCs/>
          <w:iCs/>
          <w:color w:val="0D0D0D" w:themeColor="text1" w:themeTint="F2"/>
          <w:sz w:val="22"/>
          <w:szCs w:val="22"/>
        </w:rPr>
        <w:t>UNA</w:t>
      </w:r>
      <w:r w:rsidRPr="00506990">
        <w:rPr>
          <w:rFonts w:ascii="Times New Roman" w:hAnsi="Times New Roman" w:cs="Times New Roman"/>
          <w:b/>
          <w:bCs/>
          <w:iCs/>
          <w:color w:val="0D0D0D" w:themeColor="text1" w:themeTint="F2"/>
          <w:sz w:val="22"/>
          <w:szCs w:val="22"/>
        </w:rPr>
        <w:t xml:space="preserve"> EVALUACIÓN SOBRE </w:t>
      </w:r>
      <w:r w:rsidR="007F446E" w:rsidRPr="00506990">
        <w:rPr>
          <w:rFonts w:ascii="Times New Roman" w:hAnsi="Times New Roman" w:cs="Times New Roman"/>
          <w:b/>
          <w:bCs/>
          <w:iCs/>
          <w:color w:val="0D0D0D" w:themeColor="text1" w:themeTint="F2"/>
          <w:sz w:val="22"/>
          <w:szCs w:val="22"/>
        </w:rPr>
        <w:t>LA ESTRUCTURA FIDUCIARIA,  SUS TÉRMINOS Y CONDICIONES Y LOS RIESGOS INHERENTES A LA DECISIÓN DE INVERSIÓN.</w:t>
      </w:r>
    </w:p>
    <w:p w14:paraId="4935DFDA"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2D99885" w14:textId="7789C4BF"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ENTREGA DEL PROSPECTO Y DEL SUPLEMENTO DE PROSPECTO NO DEBERÁ INTERPRETARSE COMO UNA RECOMENDACIÓN DEL FIDUCIARIO, NI DE</w:t>
      </w:r>
      <w:r w:rsidR="003C5928"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PARA COMPRAR LOS VALORES </w:t>
      </w:r>
      <w:r w:rsidR="006E388D" w:rsidRPr="00506990">
        <w:rPr>
          <w:rFonts w:ascii="Times New Roman" w:hAnsi="Times New Roman" w:cs="Times New Roman"/>
          <w:b/>
          <w:bCs/>
          <w:iCs/>
          <w:color w:val="0D0D0D" w:themeColor="text1" w:themeTint="F2"/>
          <w:sz w:val="22"/>
          <w:szCs w:val="22"/>
        </w:rPr>
        <w:t xml:space="preserve">DE DEUDA </w:t>
      </w:r>
      <w:r w:rsidR="00F12E1B" w:rsidRPr="00506990">
        <w:rPr>
          <w:rFonts w:ascii="Times New Roman" w:hAnsi="Times New Roman" w:cs="Times New Roman"/>
          <w:b/>
          <w:bCs/>
          <w:iCs/>
          <w:color w:val="0D0D0D" w:themeColor="text1" w:themeTint="F2"/>
          <w:sz w:val="22"/>
          <w:szCs w:val="22"/>
        </w:rPr>
        <w:t>FIDUCIARI</w:t>
      </w:r>
      <w:r w:rsidR="006E388D"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14:paraId="60BCF67D"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4C4900E3" w14:textId="3E81C812"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SE CONSIDERARÁ QUE CADA INVERSOR ADQUIRENTE DE VALORES </w:t>
      </w:r>
      <w:r w:rsidR="006E388D"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w:t>
      </w:r>
      <w:r w:rsidR="006E388D" w:rsidRPr="00506990">
        <w:rPr>
          <w:rFonts w:ascii="Times New Roman" w:hAnsi="Times New Roman" w:cs="Times New Roman"/>
          <w:b/>
          <w:bCs/>
          <w:iCs/>
          <w:color w:val="0D0D0D" w:themeColor="text1" w:themeTint="F2"/>
          <w:sz w:val="22"/>
          <w:szCs w:val="22"/>
        </w:rPr>
        <w:t>IA</w:t>
      </w:r>
      <w:r w:rsidRPr="00506990">
        <w:rPr>
          <w:rFonts w:ascii="Times New Roman" w:hAnsi="Times New Roman" w:cs="Times New Roman"/>
          <w:b/>
          <w:bCs/>
          <w:iCs/>
          <w:color w:val="0D0D0D" w:themeColor="text1" w:themeTint="F2"/>
          <w:sz w:val="22"/>
          <w:szCs w:val="22"/>
        </w:rPr>
        <w:t>, POR EL SOLO HECHO DE HABER REALIZADO TAL ADQUISICIÓN, HA RECONOCIDO QUE NI EL FIDUCIARIO, NI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7B3D863"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3981123A" w14:textId="5856FE98"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El pago de los Valores se realizará exclusivamente con el Patrimonio Fideicomitido. En caso de incumplimiento total o parcial de los deudores de los 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27A500C1"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001AC31C"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w:t>
      </w:r>
      <w:r w:rsidRPr="00506990">
        <w:rPr>
          <w:rFonts w:ascii="Times New Roman" w:hAnsi="Times New Roman" w:cs="Times New Roman"/>
          <w:b/>
          <w:bCs/>
          <w:iCs/>
          <w:caps/>
          <w:color w:val="0D0D0D" w:themeColor="text1" w:themeTint="F2"/>
          <w:sz w:val="22"/>
          <w:szCs w:val="22"/>
        </w:rPr>
        <w:lastRenderedPageBreak/>
        <w:t xml:space="preserve">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1DBBB83B"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4597659C"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LOS INVERSORES DEBERÁN TENER EN CUENTA LAS CONSIDERACIONES DE RIESGO PARA LA INVERSIÓN QUE SE ENCUENTRAN DETALLADAS EN EL SUPLEMENTO DE PROSPECTO. </w:t>
      </w:r>
    </w:p>
    <w:p w14:paraId="5C21E00C"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1A9D060D"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14FDE476"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22A334C0" w14:textId="5A7D47D1"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 SIN PERJUICIO DE LO EXPUESTO TINSA SE OBLIGA A DEPOSITAR A CADA FIDEICOMISO LOS FONDOS QUE LE CORRESPONDEN DENTRO DE LOS TRES DÍAS HÁBILES DE SU PERCEPCIÓN, AUN CUANDO LOS AGENTE EXTERNOS DE RECAUDACIÓN TENGA TRANSFERENCIAS PENDIENTES. A TAL EFECTO LAS LIQUIDACIONES QUE SE ENVÍAN MENSUALMENTE A LOS DEUDORES </w:t>
      </w:r>
      <w:r w:rsidRPr="00506990">
        <w:rPr>
          <w:rFonts w:ascii="Times New Roman" w:hAnsi="Times New Roman" w:cs="Times New Roman"/>
          <w:b/>
          <w:bCs/>
          <w:color w:val="0D0D0D" w:themeColor="text1" w:themeTint="F2"/>
          <w:sz w:val="22"/>
          <w:szCs w:val="22"/>
        </w:rPr>
        <w:lastRenderedPageBreak/>
        <w:t>CONTIENEN UN CÓDIGO DE BARRAS QUE PERMITE IDENTIFICAR QUE EL CRÉDITO PERTENECE AL FIDEICOMISO Y QUE SÓLO PUEDE PERCIBIRSE A TRAVÉS DE TINSA,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CREDITOS EN MORA OBLIGÁNDOSE A TRANSFERIR LOS FONDOS A LA CUENTA FIDUCIARIA DENTRO DEL DÍA HÁBIL POSTERIOR A SU PERCEPCIÓN. LAS COBRANZAS DE BIENES FIDEICOMITIDOS COMENZARAN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A2B6026"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1D147234" w14:textId="77777777" w:rsidR="0050339C" w:rsidRPr="00506990" w:rsidRDefault="0050339C" w:rsidP="0050339C">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ADMINISTRACION FEDERAL DE INGRESOS PUBLICOS (AFIP), DE ACUERDO CON EL RÉGIMEN QUE ESA ADMINISTRACIÓN ESTABLEZCA.</w:t>
      </w:r>
    </w:p>
    <w:p w14:paraId="346DEF56"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788383CA" w14:textId="0C14A6BB"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 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ENCONTRÁNDOSE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CUMPLIENDO PERFECTAMENTE LOS COMPROMISOS ASUMIDOS. EL VENCIMIENTO FINAL DEL SALDO PENDIENTE DE CANCELACIÓN SE ENCUENTRA PREVISTO PARA EL AÑO 2024.</w:t>
      </w:r>
      <w:r w:rsidR="00813740" w:rsidRPr="00506990">
        <w:rPr>
          <w:rFonts w:ascii="Times New Roman" w:hAnsi="Times New Roman"/>
          <w:color w:val="0D0D0D" w:themeColor="text1" w:themeTint="F2"/>
          <w:sz w:val="22"/>
          <w:szCs w:val="22"/>
        </w:rPr>
        <w:t xml:space="preserve"> ASIMISMO, CON FECHA 29 DE DICIEMBRE DE 2009 CONSUMO </w:t>
      </w:r>
      <w:r w:rsidR="003E57D5" w:rsidRPr="00506990">
        <w:rPr>
          <w:rFonts w:ascii="Times New Roman" w:hAnsi="Times New Roman"/>
          <w:color w:val="0D0D0D" w:themeColor="text1" w:themeTint="F2"/>
          <w:sz w:val="22"/>
          <w:szCs w:val="22"/>
        </w:rPr>
        <w:t xml:space="preserve">S.A. </w:t>
      </w:r>
      <w:r w:rsidR="00813740" w:rsidRPr="00506990">
        <w:rPr>
          <w:rFonts w:ascii="Times New Roman" w:hAnsi="Times New Roman"/>
          <w:color w:val="0D0D0D" w:themeColor="text1" w:themeTint="F2"/>
          <w:sz w:val="22"/>
          <w:szCs w:val="22"/>
        </w:rPr>
        <w:t xml:space="preserve">SOLICITÓ SU CONCURSO PREVENTIVO ANTE EL </w:t>
      </w:r>
      <w:r w:rsidR="00813740" w:rsidRPr="00506990">
        <w:rPr>
          <w:rFonts w:ascii="Times New Roman" w:hAnsi="Times New Roman"/>
          <w:color w:val="0D0D0D" w:themeColor="text1" w:themeTint="F2"/>
          <w:sz w:val="22"/>
          <w:szCs w:val="22"/>
          <w:lang w:val="es-AR"/>
        </w:rPr>
        <w:t>JUZGADO DE PRIMERA INSTANCIA EN LO CIVIL, COMERCIAL Y DEL TRABAJO DEL DISTRITO JUDICIAL NRO. 5 Y DE LA TERCERA NOMINACIÓN DE RAFAELA (PROVINCIA DE SANTA FE). CARATULADO: “EXPTE. N°2068- AÑO: 2.009- CONS</w:t>
      </w:r>
      <w:r w:rsidR="003E57D5" w:rsidRPr="00506990">
        <w:rPr>
          <w:rFonts w:ascii="Times New Roman" w:hAnsi="Times New Roman"/>
          <w:color w:val="0D0D0D" w:themeColor="text1" w:themeTint="F2"/>
          <w:sz w:val="22"/>
          <w:szCs w:val="22"/>
          <w:lang w:val="es-AR"/>
        </w:rPr>
        <w:t>U</w:t>
      </w:r>
      <w:r w:rsidR="00813740" w:rsidRPr="00506990">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00813740" w:rsidRPr="00506990">
        <w:rPr>
          <w:rFonts w:ascii="Times New Roman" w:hAnsi="Times New Roman"/>
          <w:color w:val="0D0D0D" w:themeColor="text1" w:themeTint="F2"/>
          <w:sz w:val="22"/>
          <w:szCs w:val="22"/>
        </w:rPr>
        <w:t xml:space="preserve"> ENCONTRÁNDOSE CONSUMO</w:t>
      </w:r>
      <w:r w:rsidR="003E57D5" w:rsidRPr="00506990">
        <w:rPr>
          <w:rFonts w:ascii="Times New Roman" w:hAnsi="Times New Roman"/>
          <w:color w:val="0D0D0D" w:themeColor="text1" w:themeTint="F2"/>
          <w:sz w:val="22"/>
          <w:szCs w:val="22"/>
        </w:rPr>
        <w:t xml:space="preserve"> S.A.</w:t>
      </w:r>
      <w:r w:rsidR="00813740" w:rsidRPr="00506990">
        <w:rPr>
          <w:rFonts w:ascii="Times New Roman" w:hAnsi="Times New Roman"/>
          <w:color w:val="0D0D0D" w:themeColor="text1" w:themeTint="F2"/>
          <w:sz w:val="22"/>
          <w:szCs w:val="22"/>
        </w:rPr>
        <w:t xml:space="preserve"> CUMPLIENDO PERFECTAMENTE LOS COMPROMISOS ASUMIDOS. EL VENCIMIENTO FINAL DEL SALDO PENDIENTE DE CANCELACIÓN SE ENCUENTRA PREVISTO PARA EL AÑO </w:t>
      </w:r>
      <w:r w:rsidR="00596C40" w:rsidRPr="0098446E">
        <w:rPr>
          <w:rFonts w:ascii="Times New Roman" w:hAnsi="Times New Roman"/>
          <w:color w:val="0D0D0D" w:themeColor="text1" w:themeTint="F2"/>
          <w:sz w:val="22"/>
          <w:szCs w:val="22"/>
        </w:rPr>
        <w:t>2024</w:t>
      </w:r>
      <w:r w:rsidR="00813740" w:rsidRPr="00506990">
        <w:rPr>
          <w:rFonts w:ascii="Times New Roman" w:hAnsi="Times New Roman"/>
          <w:color w:val="0D0D0D" w:themeColor="text1" w:themeTint="F2"/>
          <w:sz w:val="22"/>
          <w:szCs w:val="22"/>
        </w:rPr>
        <w:t>.</w:t>
      </w:r>
    </w:p>
    <w:p w14:paraId="6863DC82"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5A0F587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LEIDO EN FORMA CONJUNTA CON EL SUPLEMENTO DE PROSPECTO. EN PARTICULAR LO REFERIDO AL APARTADO FACTORES RELEVANTES DE LA CALIFICACION.</w:t>
      </w:r>
    </w:p>
    <w:p w14:paraId="00162459"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762FC8F2" w14:textId="6DA3A048" w:rsidR="00991A47"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DE LOS VALORES </w:t>
      </w:r>
      <w:r w:rsidRPr="00506990">
        <w:rPr>
          <w:rFonts w:ascii="Times New Roman" w:hAnsi="Times New Roman"/>
          <w:iCs/>
          <w:color w:val="0D0D0D" w:themeColor="text1" w:themeTint="F2"/>
          <w:sz w:val="22"/>
          <w:szCs w:val="22"/>
          <w:lang w:val="es-AR"/>
        </w:rPr>
        <w:t>DE DEUDA FIDUCIARIA</w:t>
      </w:r>
      <w:r w:rsidRPr="00506990">
        <w:rPr>
          <w:rFonts w:ascii="Times New Roman" w:hAnsi="Times New Roman"/>
          <w:color w:val="0D0D0D" w:themeColor="text1" w:themeTint="F2"/>
          <w:sz w:val="22"/>
          <w:szCs w:val="22"/>
        </w:rPr>
        <w:t xml:space="preserve"> OFRECIDOS POR LA PRESENTE DEBERÁN CONSIDERAR CUIDADOSAMENTE TODA LA INFORMACIÓN DE ESTE SUPLEMENTO DE PROSPECTO, PRESTANDO ESPECIAL ATENCIÓN A LA CONSIDERACIÓN ESPECIAL DE RIESGO PARA LA INVERSIÓN CONTENIDA EN EL PUNTO Ñ DE LAS CONSIDERACIONES DE RIESGO</w:t>
      </w:r>
    </w:p>
    <w:p w14:paraId="12EB1936" w14:textId="77777777" w:rsidR="00D41078" w:rsidRDefault="00D41078" w:rsidP="000579E7">
      <w:pPr>
        <w:pStyle w:val="Textoindependiente"/>
        <w:keepNext w:val="0"/>
        <w:widowControl w:val="0"/>
        <w:suppressAutoHyphens/>
        <w:jc w:val="both"/>
        <w:rPr>
          <w:rFonts w:ascii="Times New Roman" w:hAnsi="Times New Roman"/>
          <w:color w:val="0D0D0D" w:themeColor="text1" w:themeTint="F2"/>
          <w:sz w:val="22"/>
          <w:szCs w:val="22"/>
        </w:rPr>
      </w:pPr>
    </w:p>
    <w:p w14:paraId="3D95CAA5" w14:textId="77777777" w:rsidR="00D41078" w:rsidRDefault="00D41078" w:rsidP="00D41078">
      <w:pPr>
        <w:pStyle w:val="Textoindependiente"/>
        <w:keepNext w:val="0"/>
        <w:widowControl w:val="0"/>
        <w:suppressAutoHyphens/>
        <w:jc w:val="both"/>
        <w:rPr>
          <w:rFonts w:ascii="Times New Roman" w:hAnsi="Times New Roman"/>
          <w:color w:val="0D0D0D" w:themeColor="text1" w:themeTint="F2"/>
          <w:sz w:val="22"/>
          <w:szCs w:val="22"/>
        </w:rPr>
      </w:pPr>
      <w:r>
        <w:rPr>
          <w:rFonts w:ascii="Times New Roman" w:hAnsi="Times New Roman"/>
          <w:color w:val="0D0D0D" w:themeColor="text1" w:themeTint="F2"/>
          <w:sz w:val="22"/>
          <w:szCs w:val="22"/>
        </w:rPr>
        <w:t>ADICIONALMENTE LOS COMPRADORES POTENCIALES DE LOS VALORES DE DEUDA FIDUCIARIA DEBERÁN TENER EN CUENTA QUE LOS ESTADOS CONTABLES DE BAZAR AVENIDA S.A. CERRADOS AL 30 DE JUNIO DE 2019 ARROJARON RESULTADO NEGATIVO.</w:t>
      </w:r>
    </w:p>
    <w:p w14:paraId="6032E4D0" w14:textId="77777777" w:rsidR="00D41078" w:rsidRPr="00506990" w:rsidRDefault="00D41078" w:rsidP="000579E7">
      <w:pPr>
        <w:pStyle w:val="Textoindependiente"/>
        <w:keepNext w:val="0"/>
        <w:widowControl w:val="0"/>
        <w:suppressAutoHyphens/>
        <w:jc w:val="both"/>
        <w:rPr>
          <w:rFonts w:ascii="Times New Roman" w:hAnsi="Times New Roman"/>
          <w:b w:val="0"/>
          <w:bCs w:val="0"/>
          <w:u w:val="single"/>
          <w:lang w:val="es-AR"/>
        </w:rPr>
      </w:pPr>
    </w:p>
    <w:p w14:paraId="790FA601" w14:textId="29E88E13" w:rsidR="00337DE5" w:rsidRPr="00506990" w:rsidRDefault="007C062B" w:rsidP="00B228F5">
      <w:pPr>
        <w:pStyle w:val="Ttulo1"/>
        <w:jc w:val="center"/>
        <w:rPr>
          <w:rFonts w:ascii="Times New Roman" w:hAnsi="Times New Roman"/>
          <w:sz w:val="22"/>
          <w:szCs w:val="22"/>
        </w:rPr>
      </w:pPr>
      <w:bookmarkStart w:id="38" w:name="_Toc521424858"/>
      <w:bookmarkStart w:id="39" w:name="_Toc20409070"/>
      <w:r w:rsidRPr="00506990">
        <w:rPr>
          <w:rFonts w:ascii="Times New Roman" w:hAnsi="Times New Roman"/>
          <w:sz w:val="22"/>
          <w:szCs w:val="22"/>
        </w:rPr>
        <w:t>I</w:t>
      </w:r>
      <w:r w:rsidR="00337DE5" w:rsidRPr="00506990">
        <w:rPr>
          <w:rFonts w:ascii="Times New Roman" w:hAnsi="Times New Roman"/>
          <w:sz w:val="22"/>
          <w:szCs w:val="22"/>
        </w:rPr>
        <w:t>I.- CONSIDERACIONES DE RIESGO PARA LA INVERSIÓN</w:t>
      </w:r>
      <w:bookmarkEnd w:id="38"/>
      <w:bookmarkEnd w:id="39"/>
    </w:p>
    <w:p w14:paraId="16FAF002" w14:textId="77777777" w:rsidR="00991A47" w:rsidRPr="00506990" w:rsidRDefault="00991A47" w:rsidP="00485551">
      <w:pPr>
        <w:rPr>
          <w:rFonts w:ascii="Times New Roman" w:hAnsi="Times New Roman" w:cs="Times New Roman"/>
          <w:lang w:val="es-AR"/>
        </w:rPr>
      </w:pPr>
    </w:p>
    <w:p w14:paraId="68607BD5" w14:textId="6154D8E5"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w:t>
      </w:r>
    </w:p>
    <w:p w14:paraId="587B83CD"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157C3F1E" w14:textId="0F4D0FE1"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Valores </w:t>
      </w:r>
      <w:r w:rsidR="006C10F6" w:rsidRPr="00B43F7C">
        <w:rPr>
          <w:rFonts w:ascii="Times New Roman" w:hAnsi="Times New Roman" w:cs="Times New Roman"/>
          <w:b/>
          <w:bCs/>
          <w:iCs/>
          <w:color w:val="0D0D0D" w:themeColor="text1" w:themeTint="F2"/>
          <w:sz w:val="22"/>
          <w:szCs w:val="22"/>
          <w:lang w:val="es-AR"/>
        </w:rPr>
        <w:t xml:space="preserve">de Deuda </w:t>
      </w:r>
      <w:r w:rsidR="00F12E1B" w:rsidRPr="00506990">
        <w:rPr>
          <w:rFonts w:ascii="Times New Roman" w:hAnsi="Times New Roman" w:cs="Times New Roman"/>
          <w:b/>
          <w:bCs/>
          <w:iCs/>
          <w:color w:val="0D0D0D" w:themeColor="text1" w:themeTint="F2"/>
          <w:sz w:val="22"/>
          <w:szCs w:val="22"/>
          <w:lang w:val="es-AR"/>
        </w:rPr>
        <w:t>Fiduciari</w:t>
      </w:r>
      <w:r w:rsidR="006C10F6" w:rsidRPr="00506990">
        <w:rPr>
          <w:rFonts w:ascii="Times New Roman" w:hAnsi="Times New Roman" w:cs="Times New Roman"/>
          <w:b/>
          <w:bCs/>
          <w:iCs/>
          <w:color w:val="0D0D0D" w:themeColor="text1" w:themeTint="F2"/>
          <w:sz w:val="22"/>
          <w:szCs w:val="22"/>
          <w:lang w:val="es-AR"/>
        </w:rPr>
        <w:t>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1951AFF8" w14:textId="7933A0F5"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1B8B6ADF"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4E8FB52B"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7A260963" w14:textId="5CA86498"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inestabilidad política, aumento del desempleo y pérdida de nivel del salario real. Estos y otros factores pueden provocar aumentos en las tasas actuales de mora, ejecución y pérdidas.</w:t>
      </w:r>
    </w:p>
    <w:p w14:paraId="204301D8" w14:textId="4327F2F6"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Pr="00301F7F">
        <w:rPr>
          <w:rFonts w:ascii="Times New Roman" w:hAnsi="Times New Roman" w:cs="Times New Roman"/>
          <w:iCs/>
          <w:color w:val="0D0D0D" w:themeColor="text1" w:themeTint="F2"/>
          <w:sz w:val="22"/>
          <w:szCs w:val="22"/>
          <w:lang w:val="es-AR"/>
        </w:rPr>
        <w:t xml:space="preserve">Valores </w:t>
      </w:r>
      <w:r w:rsidR="006C10F6" w:rsidRPr="0067364E">
        <w:rPr>
          <w:rFonts w:ascii="Times New Roman" w:hAnsi="Times New Roman" w:cs="Times New Roman"/>
          <w:bCs/>
          <w:iCs/>
          <w:color w:val="0D0D0D" w:themeColor="text1" w:themeTint="F2"/>
          <w:sz w:val="22"/>
          <w:szCs w:val="22"/>
          <w:lang w:val="es-AR"/>
        </w:rPr>
        <w:t>de Deuda</w:t>
      </w:r>
      <w:r w:rsidR="006C10F6" w:rsidRPr="00B43F7C">
        <w:rPr>
          <w:rFonts w:ascii="Times New Roman" w:hAnsi="Times New Roman" w:cs="Times New Roman"/>
          <w:b/>
          <w:bCs/>
          <w:iCs/>
          <w:color w:val="0D0D0D" w:themeColor="text1" w:themeTint="F2"/>
          <w:sz w:val="22"/>
          <w:szCs w:val="22"/>
          <w:lang w:val="es-AR"/>
        </w:rPr>
        <w:t xml:space="preserve"> </w:t>
      </w:r>
      <w:r w:rsidR="00F12E1B" w:rsidRPr="00463985">
        <w:rPr>
          <w:rFonts w:ascii="Times New Roman" w:hAnsi="Times New Roman" w:cs="Times New Roman"/>
          <w:bCs/>
          <w:iCs/>
          <w:color w:val="0D0D0D" w:themeColor="text1" w:themeTint="F2"/>
          <w:sz w:val="22"/>
          <w:szCs w:val="22"/>
          <w:lang w:val="es-AR"/>
        </w:rPr>
        <w:t>Fiduciari</w:t>
      </w:r>
      <w:r w:rsidR="006C10F6"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podría verse perjudicada.</w:t>
      </w:r>
    </w:p>
    <w:p w14:paraId="38B3B176" w14:textId="40A15583"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554630C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CB2E26"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0DB61D15" w14:textId="6EA095BD"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precancelarlos. La cancelación o precancelación que exceda los niveles esperables puede afectar el rendimiento esperado de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w:t>
      </w:r>
    </w:p>
    <w:p w14:paraId="1E8667BA"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25461949"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D44C506"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Mejoramiento del Crédito de los Valores de Deuda Fiduciaria</w:t>
      </w:r>
    </w:p>
    <w:p w14:paraId="21C4738B" w14:textId="306CF74B" w:rsidR="00337DE5" w:rsidRPr="00506990" w:rsidRDefault="006F15A1" w:rsidP="00337DE5">
      <w:pPr>
        <w:tabs>
          <w:tab w:val="left" w:pos="6495"/>
        </w:tabs>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 bien </w:t>
      </w:r>
      <w:r w:rsidR="007122CF" w:rsidRPr="00506990">
        <w:rPr>
          <w:rFonts w:ascii="Times New Roman" w:hAnsi="Times New Roman" w:cs="Times New Roman"/>
          <w:iCs/>
          <w:color w:val="0D0D0D" w:themeColor="text1" w:themeTint="F2"/>
          <w:sz w:val="22"/>
          <w:szCs w:val="22"/>
          <w:lang w:val="es-AR"/>
        </w:rPr>
        <w:t>existe un mejoramiento del nivel de crédito de los Valores de Deuda Fiduciaria Clase A mediante la subordinación resultante de la emisión de los Valores de Deuda Fiduciaria Clase B</w:t>
      </w:r>
      <w:r w:rsidRPr="00506990">
        <w:rPr>
          <w:rFonts w:ascii="Times New Roman" w:hAnsi="Times New Roman" w:cs="Times New Roman"/>
          <w:iCs/>
          <w:color w:val="0D0D0D" w:themeColor="text1" w:themeTint="F2"/>
          <w:sz w:val="22"/>
          <w:szCs w:val="22"/>
          <w:lang w:val="es-AR"/>
        </w:rPr>
        <w:t>,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p>
    <w:p w14:paraId="39D6FD85"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08915921" w14:textId="1C8F881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lastRenderedPageBreak/>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6FE69285" w14:textId="085A4CDA"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suplementario de Fideicomiso</w:t>
      </w:r>
      <w:r w:rsidR="00337DE5" w:rsidRPr="00506990">
        <w:rPr>
          <w:rFonts w:ascii="Times New Roman" w:hAnsi="Times New Roman"/>
          <w:b w:val="0"/>
          <w:iCs/>
          <w:color w:val="0D0D0D" w:themeColor="text1" w:themeTint="F2"/>
          <w:sz w:val="22"/>
          <w:szCs w:val="22"/>
          <w:lang w:val="es-AR"/>
        </w:rPr>
        <w:t xml:space="preserve">. </w:t>
      </w:r>
    </w:p>
    <w:p w14:paraId="4B14F69B" w14:textId="3F34DD25"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603E064B"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48D5C1FA" w14:textId="3B0E80E5"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1A460496" w14:textId="557438BB"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Bazar Avenida S.A. y Consumo S.A. han celebrado con TINSA S.A. (Cobro Express) un convenio de recaudación de fecha 27 de Abril de 2016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14:paraId="0B2AAAE3" w14:textId="3A95577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EEA895F" w14:textId="0E4A6959"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4939BF60" w14:textId="57B83660"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3DE9ADEC"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476F9214" w14:textId="7DD79248"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78375E59" w14:textId="79C560A9"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537A3DDD" w14:textId="4B4DB590" w:rsidR="00CF0DDF"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Con fecha 29 de diciembre de 2009 fue iniciado ante el Juzgado de Primera Instancia en lo Civil, Comercial y del Trabajo del Distrito Judicial Nro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Con fecha 13 de mayo de 2013 se ha </w:t>
      </w:r>
      <w:r w:rsidRPr="00506990">
        <w:rPr>
          <w:rFonts w:ascii="Times New Roman" w:hAnsi="Times New Roman" w:cs="Times New Roman"/>
          <w:iCs/>
          <w:color w:val="0D0D0D" w:themeColor="text1" w:themeTint="F2"/>
          <w:sz w:val="22"/>
          <w:szCs w:val="22"/>
        </w:rPr>
        <w:lastRenderedPageBreak/>
        <w:t>dictado resolución homologatoria Nro. 277 de la propuesta al acuerdo preventivo y la misma ha sido consentida por las mayorías legales. Con fecha 26 de agosto de 2013 se ha dictado la Resolución Nro 549 que según su propio texto es una medida judicial integradora de la resolución previa en lo relativo al cumplimiento la cual dispuso que el plazo para el cumplimiento de las obligaciones asumidas en el acuerdo comenzaran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Se informa que con fecha </w:t>
      </w:r>
      <w:r w:rsidR="00175B3B">
        <w:rPr>
          <w:rFonts w:ascii="Times New Roman" w:hAnsi="Times New Roman" w:cs="Times New Roman"/>
          <w:iCs/>
          <w:color w:val="0D0D0D" w:themeColor="text1" w:themeTint="F2"/>
          <w:sz w:val="22"/>
          <w:szCs w:val="22"/>
        </w:rPr>
        <w:t>10 y 14</w:t>
      </w:r>
      <w:r w:rsidR="00E57E52">
        <w:rPr>
          <w:rFonts w:ascii="Times New Roman" w:hAnsi="Times New Roman" w:cs="Times New Roman"/>
          <w:iCs/>
          <w:color w:val="0D0D0D" w:themeColor="text1" w:themeTint="F2"/>
          <w:sz w:val="22"/>
          <w:szCs w:val="22"/>
        </w:rPr>
        <w:t xml:space="preserve"> </w:t>
      </w:r>
      <w:r w:rsidR="00803A09" w:rsidRPr="00506990">
        <w:rPr>
          <w:rFonts w:ascii="Times New Roman" w:hAnsi="Times New Roman" w:cs="Times New Roman"/>
          <w:iCs/>
          <w:color w:val="0D0D0D" w:themeColor="text1" w:themeTint="F2"/>
          <w:sz w:val="22"/>
          <w:szCs w:val="22"/>
        </w:rPr>
        <w:t xml:space="preserve"> </w:t>
      </w:r>
      <w:r w:rsidR="006F37BD" w:rsidRPr="00506990">
        <w:rPr>
          <w:rFonts w:ascii="Times New Roman" w:hAnsi="Times New Roman" w:cs="Times New Roman"/>
          <w:iCs/>
          <w:color w:val="0D0D0D" w:themeColor="text1" w:themeTint="F2"/>
          <w:sz w:val="22"/>
          <w:szCs w:val="22"/>
        </w:rPr>
        <w:t xml:space="preserve">de </w:t>
      </w:r>
      <w:r w:rsidR="00E57E52">
        <w:rPr>
          <w:rFonts w:ascii="Times New Roman" w:hAnsi="Times New Roman" w:cs="Times New Roman"/>
          <w:iCs/>
          <w:color w:val="0D0D0D" w:themeColor="text1" w:themeTint="F2"/>
          <w:sz w:val="22"/>
          <w:szCs w:val="22"/>
        </w:rPr>
        <w:t>febrero</w:t>
      </w:r>
      <w:r w:rsidR="00803A09">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de </w:t>
      </w:r>
      <w:r w:rsidR="00CD5708" w:rsidRPr="00506990">
        <w:rPr>
          <w:rFonts w:ascii="Times New Roman" w:hAnsi="Times New Roman" w:cs="Times New Roman"/>
          <w:iCs/>
          <w:color w:val="0D0D0D" w:themeColor="text1" w:themeTint="F2"/>
          <w:sz w:val="22"/>
          <w:szCs w:val="22"/>
        </w:rPr>
        <w:t>20</w:t>
      </w:r>
      <w:r w:rsidR="00E57E52">
        <w:rPr>
          <w:rFonts w:ascii="Times New Roman" w:hAnsi="Times New Roman" w:cs="Times New Roman"/>
          <w:iCs/>
          <w:color w:val="0D0D0D" w:themeColor="text1" w:themeTint="F2"/>
          <w:sz w:val="22"/>
          <w:szCs w:val="22"/>
        </w:rPr>
        <w:t>20</w:t>
      </w:r>
      <w:r w:rsidR="00803A09">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fue notificado 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y hasta la fecha no se ha recibido notificación 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la fecha no existen en las actuaciones judiciales presentación alguna por parte de los acreedores concursales</w:t>
      </w:r>
      <w:r w:rsidR="003C58C9" w:rsidRPr="00506990">
        <w:rPr>
          <w:rFonts w:ascii="Times New Roman" w:hAnsi="Times New Roman" w:cs="Times New Roman"/>
          <w:iCs/>
          <w:color w:val="0D0D0D" w:themeColor="text1" w:themeTint="F2"/>
          <w:sz w:val="22"/>
          <w:szCs w:val="22"/>
        </w:rPr>
        <w:t xml:space="preserve"> verificados</w:t>
      </w:r>
      <w:r w:rsidRPr="00506990">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506990">
        <w:rPr>
          <w:rFonts w:ascii="Times New Roman" w:hAnsi="Times New Roman" w:cs="Times New Roman"/>
          <w:iCs/>
          <w:color w:val="0D0D0D" w:themeColor="text1" w:themeTint="F2"/>
          <w:sz w:val="22"/>
          <w:szCs w:val="22"/>
        </w:rPr>
        <w:t xml:space="preserve"> </w:t>
      </w:r>
      <w:r w:rsidR="00CF0DDF" w:rsidRPr="00506990">
        <w:rPr>
          <w:rFonts w:ascii="Times New Roman" w:hAnsi="Times New Roman" w:cs="Times New Roman"/>
          <w:iCs/>
          <w:color w:val="0D0D0D" w:themeColor="text1" w:themeTint="F2"/>
          <w:sz w:val="22"/>
          <w:szCs w:val="22"/>
        </w:rPr>
        <w:t xml:space="preserve">Bazar Avenida S.A </w:t>
      </w:r>
      <w:r w:rsidR="00CF0DDF" w:rsidRPr="000579E7">
        <w:rPr>
          <w:rFonts w:ascii="Times New Roman" w:hAnsi="Times New Roman" w:cs="Times New Roman"/>
          <w:iCs/>
          <w:color w:val="0D0D0D" w:themeColor="text1" w:themeTint="F2"/>
          <w:sz w:val="22"/>
          <w:szCs w:val="22"/>
        </w:rPr>
        <w:t xml:space="preserve">demuestra una ajustada capacidad financiera debido al ingreso en concurso preventivo desde el año 2013. Al </w:t>
      </w:r>
      <w:r w:rsidR="006F37BD" w:rsidRPr="000579E7">
        <w:rPr>
          <w:rFonts w:ascii="Times New Roman" w:hAnsi="Times New Roman" w:cs="Times New Roman"/>
          <w:iCs/>
          <w:color w:val="0D0D0D" w:themeColor="text1" w:themeTint="F2"/>
          <w:sz w:val="22"/>
          <w:szCs w:val="22"/>
        </w:rPr>
        <w:t>3</w:t>
      </w:r>
      <w:r w:rsidR="00E92108">
        <w:rPr>
          <w:rFonts w:ascii="Times New Roman" w:hAnsi="Times New Roman" w:cs="Times New Roman"/>
          <w:iCs/>
          <w:color w:val="0D0D0D" w:themeColor="text1" w:themeTint="F2"/>
          <w:sz w:val="22"/>
          <w:szCs w:val="22"/>
        </w:rPr>
        <w:t>1</w:t>
      </w:r>
      <w:r w:rsidR="004241F8" w:rsidRPr="000579E7">
        <w:rPr>
          <w:rFonts w:ascii="Times New Roman" w:hAnsi="Times New Roman" w:cs="Times New Roman"/>
          <w:iCs/>
          <w:color w:val="0D0D0D" w:themeColor="text1" w:themeTint="F2"/>
          <w:sz w:val="22"/>
          <w:szCs w:val="22"/>
        </w:rPr>
        <w:t>/</w:t>
      </w:r>
      <w:r w:rsidR="00E92108">
        <w:rPr>
          <w:rFonts w:ascii="Times New Roman" w:hAnsi="Times New Roman" w:cs="Times New Roman"/>
          <w:iCs/>
          <w:color w:val="0D0D0D" w:themeColor="text1" w:themeTint="F2"/>
          <w:sz w:val="22"/>
          <w:szCs w:val="22"/>
        </w:rPr>
        <w:t>01</w:t>
      </w:r>
      <w:r w:rsidR="004241F8" w:rsidRPr="000579E7">
        <w:rPr>
          <w:rFonts w:ascii="Times New Roman" w:hAnsi="Times New Roman" w:cs="Times New Roman"/>
          <w:iCs/>
          <w:color w:val="0D0D0D" w:themeColor="text1" w:themeTint="F2"/>
          <w:sz w:val="22"/>
          <w:szCs w:val="22"/>
        </w:rPr>
        <w:t>/20</w:t>
      </w:r>
      <w:r w:rsidR="00E92108">
        <w:rPr>
          <w:rFonts w:ascii="Times New Roman" w:hAnsi="Times New Roman" w:cs="Times New Roman"/>
          <w:iCs/>
          <w:color w:val="0D0D0D" w:themeColor="text1" w:themeTint="F2"/>
          <w:sz w:val="22"/>
          <w:szCs w:val="22"/>
        </w:rPr>
        <w:t>20</w:t>
      </w:r>
      <w:r w:rsidR="00CF0DDF" w:rsidRPr="000579E7">
        <w:rPr>
          <w:rFonts w:ascii="Times New Roman" w:hAnsi="Times New Roman" w:cs="Times New Roman"/>
          <w:iCs/>
          <w:color w:val="0D0D0D" w:themeColor="text1" w:themeTint="F2"/>
          <w:sz w:val="22"/>
          <w:szCs w:val="22"/>
        </w:rPr>
        <w:t xml:space="preserve">, cumplió con todos los pagos en tiempo y forma restando el </w:t>
      </w:r>
      <w:r w:rsidR="00F15FEA">
        <w:rPr>
          <w:rFonts w:ascii="Times New Roman" w:hAnsi="Times New Roman" w:cs="Times New Roman"/>
          <w:iCs/>
          <w:color w:val="0D0D0D" w:themeColor="text1" w:themeTint="F2"/>
          <w:sz w:val="22"/>
          <w:szCs w:val="22"/>
        </w:rPr>
        <w:t>3</w:t>
      </w:r>
      <w:r w:rsidR="00E92108">
        <w:rPr>
          <w:rFonts w:ascii="Times New Roman" w:hAnsi="Times New Roman" w:cs="Times New Roman"/>
          <w:iCs/>
          <w:color w:val="0D0D0D" w:themeColor="text1" w:themeTint="F2"/>
          <w:sz w:val="22"/>
          <w:szCs w:val="22"/>
        </w:rPr>
        <w:t>7</w:t>
      </w:r>
      <w:r w:rsidR="00F15FEA">
        <w:rPr>
          <w:rFonts w:ascii="Times New Roman" w:hAnsi="Times New Roman" w:cs="Times New Roman"/>
          <w:iCs/>
          <w:color w:val="0D0D0D" w:themeColor="text1" w:themeTint="F2"/>
          <w:sz w:val="22"/>
          <w:szCs w:val="22"/>
        </w:rPr>
        <w:t>,</w:t>
      </w:r>
      <w:r w:rsidR="00E92108">
        <w:rPr>
          <w:rFonts w:ascii="Times New Roman" w:hAnsi="Times New Roman" w:cs="Times New Roman"/>
          <w:iCs/>
          <w:color w:val="0D0D0D" w:themeColor="text1" w:themeTint="F2"/>
          <w:sz w:val="22"/>
          <w:szCs w:val="22"/>
        </w:rPr>
        <w:t>3</w:t>
      </w:r>
      <w:r w:rsidR="00CF0DDF" w:rsidRPr="000579E7">
        <w:rPr>
          <w:rFonts w:ascii="Times New Roman" w:hAnsi="Times New Roman" w:cs="Times New Roman"/>
          <w:iCs/>
          <w:color w:val="0D0D0D" w:themeColor="text1" w:themeTint="F2"/>
          <w:sz w:val="22"/>
          <w:szCs w:val="22"/>
        </w:rPr>
        <w:t xml:space="preserve">% del saldo en pesos y el </w:t>
      </w:r>
      <w:r w:rsidR="006F37BD" w:rsidRPr="000579E7">
        <w:rPr>
          <w:rFonts w:ascii="Times New Roman" w:hAnsi="Times New Roman" w:cs="Times New Roman"/>
          <w:iCs/>
          <w:color w:val="0D0D0D" w:themeColor="text1" w:themeTint="F2"/>
          <w:sz w:val="22"/>
          <w:szCs w:val="22"/>
        </w:rPr>
        <w:t>5</w:t>
      </w:r>
      <w:r w:rsidR="00B05E74">
        <w:rPr>
          <w:rFonts w:ascii="Times New Roman" w:hAnsi="Times New Roman" w:cs="Times New Roman"/>
          <w:iCs/>
          <w:color w:val="0D0D0D" w:themeColor="text1" w:themeTint="F2"/>
          <w:sz w:val="22"/>
          <w:szCs w:val="22"/>
        </w:rPr>
        <w:t>2</w:t>
      </w:r>
      <w:r w:rsidR="00F15FEA">
        <w:rPr>
          <w:rFonts w:ascii="Times New Roman" w:hAnsi="Times New Roman" w:cs="Times New Roman"/>
          <w:iCs/>
          <w:color w:val="0D0D0D" w:themeColor="text1" w:themeTint="F2"/>
          <w:sz w:val="22"/>
          <w:szCs w:val="22"/>
        </w:rPr>
        <w:t>,</w:t>
      </w:r>
      <w:r w:rsidR="00B05E74">
        <w:rPr>
          <w:rFonts w:ascii="Times New Roman" w:hAnsi="Times New Roman" w:cs="Times New Roman"/>
          <w:iCs/>
          <w:color w:val="0D0D0D" w:themeColor="text1" w:themeTint="F2"/>
          <w:sz w:val="22"/>
          <w:szCs w:val="22"/>
        </w:rPr>
        <w:t>6</w:t>
      </w:r>
      <w:r w:rsidR="00CF0DDF" w:rsidRPr="000579E7">
        <w:rPr>
          <w:rFonts w:ascii="Times New Roman" w:hAnsi="Times New Roman" w:cs="Times New Roman"/>
          <w:iCs/>
          <w:color w:val="0D0D0D" w:themeColor="text1" w:themeTint="F2"/>
          <w:sz w:val="22"/>
          <w:szCs w:val="22"/>
        </w:rPr>
        <w:t>% en dólares. El vencimiento final del saldo está previsto para 2024. La  sociedad calificadora de riesgos monitoreará su cumplimiento</w:t>
      </w:r>
      <w:r w:rsidR="00CF0DDF" w:rsidRPr="00506990">
        <w:rPr>
          <w:rFonts w:ascii="Times New Roman" w:hAnsi="Times New Roman" w:cs="Times New Roman"/>
          <w:iCs/>
          <w:color w:val="0D0D0D" w:themeColor="text1" w:themeTint="F2"/>
          <w:sz w:val="22"/>
          <w:szCs w:val="22"/>
        </w:rPr>
        <w:t xml:space="preserve"> y evolución.</w:t>
      </w:r>
      <w:r w:rsidR="00CF0DDF" w:rsidRPr="00506990" w:rsidDel="00CF0DDF">
        <w:rPr>
          <w:rFonts w:ascii="Times New Roman" w:hAnsi="Times New Roman" w:cs="Times New Roman"/>
          <w:iCs/>
          <w:color w:val="0D0D0D" w:themeColor="text1" w:themeTint="F2"/>
          <w:sz w:val="22"/>
          <w:szCs w:val="22"/>
        </w:rPr>
        <w:t xml:space="preserve"> </w:t>
      </w:r>
    </w:p>
    <w:p w14:paraId="4FB64D45" w14:textId="71E59516"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454AF8C0"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Concurso de Consumo</w:t>
      </w:r>
    </w:p>
    <w:p w14:paraId="4A4A66F7" w14:textId="0C43DD38"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20891E1E"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146D0B8B" w14:textId="2E5DCF09" w:rsidR="003640AF"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El acuerdo concursal fue homologado mediante resolución N° 550 del 26/08/2013, resolución integradora de la anterior N°276 de fecha 13/05/2013. Consumo inició los pagos en octubre de 2013, con perfecto cumplimiento de los compromisos asumidos. Al 3</w:t>
      </w:r>
      <w:r w:rsidR="00E92108">
        <w:rPr>
          <w:rFonts w:ascii="Times New Roman" w:hAnsi="Times New Roman" w:cs="Times New Roman"/>
          <w:iCs/>
          <w:color w:val="0D0D0D" w:themeColor="text1" w:themeTint="F2"/>
          <w:sz w:val="22"/>
          <w:szCs w:val="22"/>
        </w:rPr>
        <w:t>1</w:t>
      </w:r>
      <w:r w:rsidRPr="0098446E">
        <w:rPr>
          <w:rFonts w:ascii="Times New Roman" w:hAnsi="Times New Roman" w:cs="Times New Roman"/>
          <w:iCs/>
          <w:color w:val="0D0D0D" w:themeColor="text1" w:themeTint="F2"/>
          <w:sz w:val="22"/>
          <w:szCs w:val="22"/>
        </w:rPr>
        <w:t>/</w:t>
      </w:r>
      <w:r w:rsidR="00E92108">
        <w:rPr>
          <w:rFonts w:ascii="Times New Roman" w:hAnsi="Times New Roman" w:cs="Times New Roman"/>
          <w:iCs/>
          <w:color w:val="0D0D0D" w:themeColor="text1" w:themeTint="F2"/>
          <w:sz w:val="22"/>
          <w:szCs w:val="22"/>
        </w:rPr>
        <w:t>01</w:t>
      </w:r>
      <w:r w:rsidRPr="0098446E">
        <w:rPr>
          <w:rFonts w:ascii="Times New Roman" w:hAnsi="Times New Roman" w:cs="Times New Roman"/>
          <w:iCs/>
          <w:color w:val="0D0D0D" w:themeColor="text1" w:themeTint="F2"/>
          <w:sz w:val="22"/>
          <w:szCs w:val="22"/>
        </w:rPr>
        <w:t>/</w:t>
      </w:r>
      <w:r w:rsidR="005F533D">
        <w:rPr>
          <w:rFonts w:ascii="Times New Roman" w:hAnsi="Times New Roman" w:cs="Times New Roman"/>
          <w:iCs/>
          <w:color w:val="0D0D0D" w:themeColor="text1" w:themeTint="F2"/>
          <w:sz w:val="22"/>
          <w:szCs w:val="22"/>
        </w:rPr>
        <w:t>20</w:t>
      </w:r>
      <w:r w:rsidR="00E92108">
        <w:rPr>
          <w:rFonts w:ascii="Times New Roman" w:hAnsi="Times New Roman" w:cs="Times New Roman"/>
          <w:iCs/>
          <w:color w:val="0D0D0D" w:themeColor="text1" w:themeTint="F2"/>
          <w:sz w:val="22"/>
          <w:szCs w:val="22"/>
        </w:rPr>
        <w:t>20</w:t>
      </w:r>
      <w:r w:rsidR="005F533D" w:rsidRPr="000579E7">
        <w:rPr>
          <w:rFonts w:ascii="Times New Roman" w:hAnsi="Times New Roman" w:cs="Times New Roman"/>
          <w:iCs/>
          <w:color w:val="0D0D0D" w:themeColor="text1" w:themeTint="F2"/>
          <w:sz w:val="22"/>
          <w:szCs w:val="22"/>
        </w:rPr>
        <w:t xml:space="preserve">, cumplió con todos los pagos en tiempo y forma restando el </w:t>
      </w:r>
      <w:r w:rsidR="00E92108">
        <w:rPr>
          <w:rFonts w:ascii="Times New Roman" w:hAnsi="Times New Roman" w:cs="Times New Roman"/>
          <w:iCs/>
          <w:color w:val="0D0D0D" w:themeColor="text1" w:themeTint="F2"/>
          <w:sz w:val="22"/>
          <w:szCs w:val="22"/>
        </w:rPr>
        <w:t>28</w:t>
      </w:r>
      <w:r w:rsidR="005F533D" w:rsidRPr="000579E7">
        <w:rPr>
          <w:rFonts w:ascii="Times New Roman" w:hAnsi="Times New Roman" w:cs="Times New Roman"/>
          <w:iCs/>
          <w:color w:val="0D0D0D" w:themeColor="text1" w:themeTint="F2"/>
          <w:sz w:val="22"/>
          <w:szCs w:val="22"/>
        </w:rPr>
        <w:t>% del saldo en pesos. El vencimiento final del sal</w:t>
      </w:r>
      <w:r w:rsidR="005F533D">
        <w:rPr>
          <w:rFonts w:ascii="Times New Roman" w:hAnsi="Times New Roman" w:cs="Times New Roman"/>
          <w:iCs/>
          <w:color w:val="0D0D0D" w:themeColor="text1" w:themeTint="F2"/>
          <w:sz w:val="22"/>
          <w:szCs w:val="22"/>
        </w:rPr>
        <w:t xml:space="preserve">do está previsto para 2024. La </w:t>
      </w:r>
      <w:r w:rsidR="005F533D" w:rsidRPr="000579E7">
        <w:rPr>
          <w:rFonts w:ascii="Times New Roman" w:hAnsi="Times New Roman" w:cs="Times New Roman"/>
          <w:iCs/>
          <w:color w:val="0D0D0D" w:themeColor="text1" w:themeTint="F2"/>
          <w:sz w:val="22"/>
          <w:szCs w:val="22"/>
        </w:rPr>
        <w:t>sociedad calificadora de riesgos monitoreará su cumplimiento</w:t>
      </w:r>
      <w:r w:rsidR="005F533D" w:rsidRPr="00506990">
        <w:rPr>
          <w:rFonts w:ascii="Times New Roman" w:hAnsi="Times New Roman" w:cs="Times New Roman"/>
          <w:iCs/>
          <w:color w:val="0D0D0D" w:themeColor="text1" w:themeTint="F2"/>
          <w:sz w:val="22"/>
          <w:szCs w:val="22"/>
        </w:rPr>
        <w:t xml:space="preserve"> y evolución.</w:t>
      </w:r>
    </w:p>
    <w:p w14:paraId="194BC52D" w14:textId="77777777" w:rsidR="00803A09" w:rsidRDefault="00803A09" w:rsidP="0098446E">
      <w:pPr>
        <w:suppressAutoHyphens/>
        <w:rPr>
          <w:rFonts w:ascii="Times New Roman" w:hAnsi="Times New Roman" w:cs="Times New Roman"/>
          <w:iCs/>
          <w:color w:val="0D0D0D" w:themeColor="text1" w:themeTint="F2"/>
          <w:sz w:val="22"/>
          <w:szCs w:val="22"/>
        </w:rPr>
      </w:pPr>
    </w:p>
    <w:p w14:paraId="0AD805F9" w14:textId="1BEB14B9" w:rsidR="00803A09" w:rsidRPr="0098446E" w:rsidRDefault="00E57E52" w:rsidP="0098446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Pr>
          <w:rFonts w:ascii="Times New Roman" w:hAnsi="Times New Roman" w:cs="Times New Roman"/>
          <w:iCs/>
          <w:color w:val="0D0D0D" w:themeColor="text1" w:themeTint="F2"/>
          <w:sz w:val="22"/>
          <w:szCs w:val="22"/>
        </w:rPr>
        <w:t xml:space="preserve"> </w:t>
      </w:r>
      <w:r w:rsidR="00803A09" w:rsidRPr="00506990">
        <w:rPr>
          <w:rFonts w:ascii="Times New Roman" w:hAnsi="Times New Roman" w:cs="Times New Roman"/>
          <w:iCs/>
          <w:color w:val="0D0D0D" w:themeColor="text1" w:themeTint="F2"/>
          <w:sz w:val="22"/>
          <w:szCs w:val="22"/>
        </w:rPr>
        <w:t xml:space="preserve">Se informa que con fecha </w:t>
      </w:r>
      <w:r w:rsidR="00175B3B">
        <w:rPr>
          <w:rFonts w:ascii="Times New Roman" w:hAnsi="Times New Roman" w:cs="Times New Roman"/>
          <w:iCs/>
          <w:color w:val="0D0D0D" w:themeColor="text1" w:themeTint="F2"/>
          <w:sz w:val="22"/>
          <w:szCs w:val="22"/>
        </w:rPr>
        <w:t>10</w:t>
      </w:r>
      <w:r>
        <w:rPr>
          <w:rFonts w:ascii="Times New Roman" w:hAnsi="Times New Roman" w:cs="Times New Roman"/>
          <w:iCs/>
          <w:color w:val="0D0D0D" w:themeColor="text1" w:themeTint="F2"/>
          <w:sz w:val="22"/>
          <w:szCs w:val="22"/>
        </w:rPr>
        <w:t xml:space="preserve"> y </w:t>
      </w:r>
      <w:r w:rsidR="00175B3B">
        <w:rPr>
          <w:rFonts w:ascii="Times New Roman" w:hAnsi="Times New Roman" w:cs="Times New Roman"/>
          <w:iCs/>
          <w:color w:val="0D0D0D" w:themeColor="text1" w:themeTint="F2"/>
          <w:sz w:val="22"/>
          <w:szCs w:val="22"/>
        </w:rPr>
        <w:t>14</w:t>
      </w:r>
      <w:r>
        <w:rPr>
          <w:rFonts w:ascii="Times New Roman" w:hAnsi="Times New Roman" w:cs="Times New Roman"/>
          <w:iCs/>
          <w:color w:val="0D0D0D" w:themeColor="text1" w:themeTint="F2"/>
          <w:sz w:val="22"/>
          <w:szCs w:val="22"/>
        </w:rPr>
        <w:t xml:space="preserve"> de febrero de 2020 se cursaron sendas notificaciones fehacientes a</w:t>
      </w:r>
      <w:r w:rsidR="00803A09" w:rsidRPr="00506990">
        <w:rPr>
          <w:rFonts w:ascii="Times New Roman" w:hAnsi="Times New Roman" w:cs="Times New Roman"/>
          <w:iCs/>
          <w:color w:val="0D0D0D" w:themeColor="text1" w:themeTint="F2"/>
          <w:sz w:val="22"/>
          <w:szCs w:val="22"/>
        </w:rPr>
        <w:t xml:space="preserve">l comité de acreedores </w:t>
      </w:r>
      <w:r>
        <w:rPr>
          <w:rFonts w:ascii="Times New Roman" w:hAnsi="Times New Roman" w:cs="Times New Roman"/>
          <w:iCs/>
          <w:color w:val="0D0D0D" w:themeColor="text1" w:themeTint="F2"/>
          <w:sz w:val="22"/>
          <w:szCs w:val="22"/>
        </w:rPr>
        <w:t xml:space="preserve">en tal sentido </w:t>
      </w:r>
      <w:r w:rsidR="00803A09" w:rsidRPr="00506990">
        <w:rPr>
          <w:rFonts w:ascii="Times New Roman" w:hAnsi="Times New Roman" w:cs="Times New Roman"/>
          <w:iCs/>
          <w:color w:val="0D0D0D" w:themeColor="text1" w:themeTint="F2"/>
          <w:sz w:val="22"/>
          <w:szCs w:val="22"/>
        </w:rPr>
        <w:t xml:space="preserve">y </w:t>
      </w:r>
      <w:r>
        <w:rPr>
          <w:rFonts w:ascii="Times New Roman" w:hAnsi="Times New Roman" w:cs="Times New Roman"/>
          <w:iCs/>
          <w:color w:val="0D0D0D" w:themeColor="text1" w:themeTint="F2"/>
          <w:sz w:val="22"/>
          <w:szCs w:val="22"/>
        </w:rPr>
        <w:t>a</w:t>
      </w:r>
      <w:r w:rsidR="00803A09" w:rsidRPr="00506990">
        <w:rPr>
          <w:rFonts w:ascii="Times New Roman" w:hAnsi="Times New Roman" w:cs="Times New Roman"/>
          <w:iCs/>
          <w:color w:val="0D0D0D" w:themeColor="text1" w:themeTint="F2"/>
          <w:sz w:val="22"/>
          <w:szCs w:val="22"/>
        </w:rPr>
        <w:t xml:space="preserve"> la fecha no se ha recibido </w:t>
      </w:r>
      <w:r>
        <w:rPr>
          <w:rFonts w:ascii="Times New Roman" w:hAnsi="Times New Roman" w:cs="Times New Roman"/>
          <w:iCs/>
          <w:color w:val="0D0D0D" w:themeColor="text1" w:themeTint="F2"/>
          <w:sz w:val="22"/>
          <w:szCs w:val="22"/>
        </w:rPr>
        <w:t xml:space="preserve">objeción </w:t>
      </w:r>
      <w:r w:rsidR="00803A09" w:rsidRPr="00506990">
        <w:rPr>
          <w:rFonts w:ascii="Times New Roman" w:hAnsi="Times New Roman" w:cs="Times New Roman"/>
          <w:iCs/>
          <w:color w:val="0D0D0D" w:themeColor="text1" w:themeTint="F2"/>
          <w:sz w:val="22"/>
          <w:szCs w:val="22"/>
        </w:rPr>
        <w:t>alguna.</w:t>
      </w:r>
    </w:p>
    <w:p w14:paraId="6835AD06"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0F956C4C"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1FBF36F2" w14:textId="78FF1F0A"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05ABA474" w14:textId="7AAF8382"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 xml:space="preserve">(conf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el nivel de mora de los Créditos, lo que eventualmente dañaría la posibilidad de cobro de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w:t>
      </w:r>
    </w:p>
    <w:p w14:paraId="24D0B50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75BCD069" w14:textId="6E56C8AD"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67943F4F"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 xml:space="preserve">La Ley de Defensa del Consumidor (Ley 24.240, modificada por Ley 26.361), y el Capítulo III, Título III, del Libro Tercero, Derechos Personales del Código Civil y Comercial de la Nación, establecen un conjunto de normas y principios de tutela del consumidor, que son aplicables a la </w:t>
      </w:r>
      <w:r w:rsidRPr="00506990">
        <w:rPr>
          <w:rFonts w:ascii="Times New Roman" w:hAnsi="Times New Roman" w:cs="Times New Roman"/>
          <w:iCs/>
          <w:color w:val="0D0D0D" w:themeColor="text1" w:themeTint="F2"/>
          <w:sz w:val="22"/>
          <w:szCs w:val="22"/>
        </w:rPr>
        <w:lastRenderedPageBreak/>
        <w:t xml:space="preserve">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“Credil S.R.L. c/ Orsetti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r w:rsidRPr="00506990">
        <w:rPr>
          <w:rFonts w:ascii="Times New Roman" w:hAnsi="Times New Roman" w:cs="Times New Roman"/>
          <w:iCs/>
          <w:color w:val="0D0D0D" w:themeColor="text1" w:themeTint="F2"/>
          <w:sz w:val="22"/>
          <w:szCs w:val="22"/>
          <w:lang w:val="pt-BR"/>
        </w:rPr>
        <w:t>Cám. Nac. Apel. Com., Sala E, “Medinas, Francisco Enrique c. Gamarra, Fernando Adrián s/ejecutivo” del 20/03/2013).</w:t>
      </w:r>
    </w:p>
    <w:p w14:paraId="3D4D9A95"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65301AA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17B27F4" w14:textId="125D9368"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6CB8605A" w14:textId="07108220"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78555D0C"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7DDF8094" w14:textId="1F5CC6F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0254AB46"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053B5980" w14:textId="3A550A1D"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006C10F6" w:rsidRPr="00B43F7C">
        <w:rPr>
          <w:rFonts w:ascii="Times New Roman" w:hAnsi="Times New Roman" w:cs="Times New Roman"/>
          <w:b/>
          <w:bCs/>
          <w:iCs/>
          <w:color w:val="0D0D0D" w:themeColor="text1" w:themeTint="F2"/>
          <w:sz w:val="22"/>
          <w:szCs w:val="22"/>
          <w:lang w:val="es-AR"/>
        </w:rPr>
        <w:t xml:space="preserve">de Deuda </w:t>
      </w:r>
      <w:r w:rsidR="00F12E1B" w:rsidRPr="00463985">
        <w:rPr>
          <w:rFonts w:ascii="Times New Roman" w:hAnsi="Times New Roman" w:cs="Times New Roman"/>
          <w:b/>
          <w:bCs/>
          <w:iCs/>
          <w:color w:val="0D0D0D" w:themeColor="text1" w:themeTint="F2"/>
          <w:sz w:val="22"/>
          <w:szCs w:val="22"/>
          <w:lang w:val="es-AR"/>
        </w:rPr>
        <w:t>Fiduciari</w:t>
      </w:r>
      <w:r w:rsidR="006C10F6" w:rsidRPr="00780DEA">
        <w:rPr>
          <w:rFonts w:ascii="Times New Roman" w:hAnsi="Times New Roman" w:cs="Times New Roman"/>
          <w:b/>
          <w:bCs/>
          <w:iCs/>
          <w:color w:val="0D0D0D" w:themeColor="text1" w:themeTint="F2"/>
          <w:sz w:val="22"/>
          <w:szCs w:val="22"/>
          <w:lang w:val="es-AR"/>
        </w:rPr>
        <w:t>a</w:t>
      </w:r>
    </w:p>
    <w:p w14:paraId="50E53867" w14:textId="06C55162"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w:t>
      </w:r>
      <w:r w:rsidR="00F10A46" w:rsidRPr="00506990">
        <w:rPr>
          <w:rFonts w:ascii="Times New Roman" w:hAnsi="Times New Roman" w:cs="Times New Roman"/>
          <w:iCs/>
          <w:color w:val="0D0D0D" w:themeColor="text1" w:themeTint="F2"/>
          <w:sz w:val="22"/>
          <w:szCs w:val="22"/>
          <w:lang w:val="es-AR"/>
        </w:rPr>
        <w:t xml:space="preserve">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w:t>
      </w:r>
    </w:p>
    <w:p w14:paraId="2C95415F"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176C94B6" w14:textId="3AC49BF1" w:rsidR="00B62265" w:rsidRPr="00506990" w:rsidRDefault="00631D81" w:rsidP="008F4E11">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l.</w:t>
      </w:r>
      <w:r w:rsidR="000851A8" w:rsidRPr="00506990">
        <w:rPr>
          <w:rFonts w:ascii="Times New Roman" w:hAnsi="Times New Roman" w:cs="Times New Roman"/>
          <w:b/>
          <w:bCs/>
          <w:iCs/>
          <w:color w:val="0D0D0D" w:themeColor="text1" w:themeTint="F2"/>
          <w:sz w:val="22"/>
          <w:szCs w:val="22"/>
          <w:lang w:val="es-AR"/>
        </w:rPr>
        <w:t xml:space="preserve">          </w:t>
      </w:r>
      <w:r w:rsidR="00B62265" w:rsidRPr="00506990">
        <w:rPr>
          <w:rFonts w:ascii="Times New Roman" w:hAnsi="Times New Roman" w:cs="Times New Roman"/>
          <w:b/>
          <w:bCs/>
          <w:iCs/>
          <w:color w:val="0D0D0D" w:themeColor="text1" w:themeTint="F2"/>
          <w:sz w:val="22"/>
          <w:szCs w:val="22"/>
          <w:lang w:val="es-AR"/>
        </w:rPr>
        <w:t>Posible afectación de condiciones de los Valores de Deuda Fiduciaria Clase B por decisión de una mayoría de Beneficiarios</w:t>
      </w:r>
    </w:p>
    <w:p w14:paraId="3B91CAC8" w14:textId="4549B431" w:rsidR="00B62265" w:rsidRPr="00506990" w:rsidRDefault="00B62265" w:rsidP="00B62265">
      <w:pPr>
        <w:pStyle w:val="Ttulo1"/>
        <w:spacing w:before="0"/>
        <w:rPr>
          <w:rFonts w:ascii="Times New Roman" w:hAnsi="Times New Roman"/>
          <w:b w:val="0"/>
          <w:bCs w:val="0"/>
          <w:iCs/>
          <w:color w:val="0D0D0D" w:themeColor="text1" w:themeTint="F2"/>
          <w:sz w:val="22"/>
          <w:szCs w:val="22"/>
          <w:u w:val="none"/>
        </w:rPr>
      </w:pPr>
      <w:bookmarkStart w:id="40" w:name="_Toc506982474"/>
      <w:bookmarkStart w:id="41" w:name="_Toc20409071"/>
      <w:r w:rsidRPr="00506990">
        <w:rPr>
          <w:rFonts w:ascii="Times New Roman" w:hAnsi="Times New Roman"/>
          <w:b w:val="0"/>
          <w:bCs w:val="0"/>
          <w:iCs/>
          <w:color w:val="0D0D0D" w:themeColor="text1" w:themeTint="F2"/>
          <w:sz w:val="22"/>
          <w:szCs w:val="22"/>
          <w:u w:val="none"/>
          <w:lang w:val="es-AR"/>
        </w:rPr>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establezca otro procedimiento de realización de los Créditos, que podrán ser readquiridos por l</w:t>
      </w:r>
      <w:r w:rsidR="003C5928" w:rsidRPr="00506990">
        <w:rPr>
          <w:rFonts w:ascii="Times New Roman" w:hAnsi="Times New Roman"/>
          <w:b w:val="0"/>
          <w:bCs w:val="0"/>
          <w:iCs/>
          <w:color w:val="0D0D0D" w:themeColor="text1" w:themeTint="F2"/>
          <w:sz w:val="22"/>
          <w:szCs w:val="22"/>
          <w:u w:val="none"/>
        </w:rPr>
        <w:t>os</w:t>
      </w:r>
      <w:r w:rsidRPr="00506990">
        <w:rPr>
          <w:rFonts w:ascii="Times New Roman" w:hAnsi="Times New Roman"/>
          <w:b w:val="0"/>
          <w:bCs w:val="0"/>
          <w:iCs/>
          <w:color w:val="0D0D0D" w:themeColor="text1" w:themeTint="F2"/>
          <w:sz w:val="22"/>
          <w:szCs w:val="22"/>
          <w:u w:val="none"/>
        </w:rPr>
        <w:t xml:space="preserve"> Fiduciante</w:t>
      </w:r>
      <w:r w:rsidR="003C5928" w:rsidRPr="00506990">
        <w:rPr>
          <w:rFonts w:ascii="Times New Roman" w:hAnsi="Times New Roman"/>
          <w:b w:val="0"/>
          <w:bCs w:val="0"/>
          <w:iCs/>
          <w:color w:val="0D0D0D" w:themeColor="text1" w:themeTint="F2"/>
          <w:sz w:val="22"/>
          <w:szCs w:val="22"/>
          <w:u w:val="none"/>
        </w:rPr>
        <w:t>s</w:t>
      </w:r>
      <w:r w:rsidRPr="00506990">
        <w:rPr>
          <w:rFonts w:ascii="Times New Roman" w:hAnsi="Times New Roman"/>
          <w:b w:val="0"/>
          <w:bCs w:val="0"/>
          <w:iCs/>
          <w:color w:val="0D0D0D" w:themeColor="text1" w:themeTint="F2"/>
          <w:sz w:val="22"/>
          <w:szCs w:val="22"/>
          <w:u w:val="none"/>
        </w:rPr>
        <w:t xml:space="preserve">, sea (ii) mediante adjudicación directa de los Créditos a </w:t>
      </w:r>
      <w:r w:rsidRPr="00506990">
        <w:rPr>
          <w:rFonts w:ascii="Times New Roman" w:hAnsi="Times New Roman"/>
          <w:b w:val="0"/>
          <w:bCs w:val="0"/>
          <w:iCs/>
          <w:color w:val="0D0D0D" w:themeColor="text1" w:themeTint="F2"/>
          <w:sz w:val="22"/>
          <w:szCs w:val="22"/>
          <w:u w:val="none"/>
        </w:rPr>
        <w:lastRenderedPageBreak/>
        <w:t>los Beneficiarios en condiciones equitativas, pudiéndose dar opción a los Beneficiarios minoritarios reciban el valor contable de los Créditos neto de previsiones y gastos en cuanto hubiere recursos 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w:t>
      </w:r>
      <w:bookmarkEnd w:id="40"/>
      <w:bookmarkEnd w:id="41"/>
      <w:r w:rsidRPr="00506990">
        <w:rPr>
          <w:rFonts w:ascii="Times New Roman" w:hAnsi="Times New Roman"/>
          <w:b w:val="0"/>
          <w:bCs w:val="0"/>
          <w:iCs/>
          <w:color w:val="0D0D0D" w:themeColor="text1" w:themeTint="F2"/>
          <w:sz w:val="22"/>
          <w:szCs w:val="22"/>
          <w:u w:val="none"/>
        </w:rPr>
        <w:t xml:space="preserve"> </w:t>
      </w:r>
    </w:p>
    <w:p w14:paraId="631D2B21" w14:textId="66C7186F" w:rsidR="00B62265" w:rsidRPr="00506990" w:rsidRDefault="00B62265" w:rsidP="00B6226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w:t>
      </w:r>
      <w:r w:rsidR="003C5928"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3C59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resulten ser Beneficiarios de VDF, podrán asistir a las asambleas no pudiendo votar cuando la decisión a adoptarse pueda generar conflicto con el interés del resto de los Beneficiarios.</w:t>
      </w:r>
    </w:p>
    <w:p w14:paraId="4068CC9E" w14:textId="77777777" w:rsidR="00337DE5" w:rsidRPr="00506990" w:rsidRDefault="00337DE5" w:rsidP="00631D81">
      <w:pPr>
        <w:suppressAutoHyphens/>
        <w:ind w:left="703" w:hanging="703"/>
        <w:rPr>
          <w:rFonts w:ascii="Times New Roman" w:hAnsi="Times New Roman" w:cs="Times New Roman"/>
          <w:color w:val="0D0D0D" w:themeColor="text1" w:themeTint="F2"/>
          <w:sz w:val="22"/>
          <w:szCs w:val="22"/>
        </w:rPr>
      </w:pPr>
    </w:p>
    <w:p w14:paraId="0F7E93A8" w14:textId="69E1D248" w:rsidR="00337DE5" w:rsidRPr="00506990" w:rsidRDefault="00337DE5" w:rsidP="00337DE5">
      <w:pPr>
        <w:suppressAutoHyphens/>
        <w:ind w:left="703" w:hanging="703"/>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ES"/>
        </w:rPr>
        <w:t>Reclamo impositivo de la Provincia de Misiones y otras provincias</w:t>
      </w:r>
    </w:p>
    <w:p w14:paraId="05F347BC" w14:textId="33FCC122" w:rsidR="00337DE5" w:rsidRPr="00506990" w:rsidRDefault="00337DE5" w:rsidP="00337DE5">
      <w:pPr>
        <w:pStyle w:val="Style4"/>
        <w:kinsoku w:val="0"/>
        <w:autoSpaceDE/>
        <w:autoSpaceDN/>
        <w:spacing w:line="240" w:lineRule="auto"/>
        <w:ind w:left="0" w:firstLine="0"/>
        <w:outlineLvl w:val="0"/>
        <w:rPr>
          <w:rStyle w:val="CharacterStyle1"/>
          <w:rFonts w:ascii="Times New Roman" w:hAnsi="Times New Roman"/>
          <w:iCs/>
          <w:color w:val="0D0D0D" w:themeColor="text1" w:themeTint="F2"/>
          <w:spacing w:val="-5"/>
          <w:sz w:val="22"/>
          <w:szCs w:val="22"/>
          <w:lang w:val="es-AR"/>
        </w:rPr>
      </w:pPr>
      <w:bookmarkStart w:id="42" w:name="_Toc506982475"/>
      <w:bookmarkStart w:id="43" w:name="_Toc521424860"/>
      <w:bookmarkStart w:id="44" w:name="_Toc20409072"/>
      <w:r w:rsidRPr="00506990">
        <w:rPr>
          <w:rStyle w:val="CharacterStyle1"/>
          <w:rFonts w:ascii="Times New Roman" w:hAnsi="Times New Roman"/>
          <w:iCs/>
          <w:color w:val="0D0D0D" w:themeColor="text1" w:themeTint="F2"/>
          <w:spacing w:val="-5"/>
          <w:sz w:val="22"/>
          <w:szCs w:val="22"/>
          <w:lang w:val="es-AR"/>
        </w:rPr>
        <w:t xml:space="preserve">La Provincia de Misiones ha reclamado con relación a distintos fideicomisos financieros el pago de una supuesta deuda en concepto de impuesto de sellos, con fundamento en que los respectivos contratos de fideicomiso, en tanto implican la colocación por oferta pública de los valores </w:t>
      </w:r>
      <w:r w:rsidR="009064A0" w:rsidRPr="00506990">
        <w:rPr>
          <w:rStyle w:val="CharacterStyle1"/>
          <w:rFonts w:ascii="Times New Roman" w:hAnsi="Times New Roman"/>
          <w:iCs/>
          <w:color w:val="0D0D0D" w:themeColor="text1" w:themeTint="F2"/>
          <w:spacing w:val="-5"/>
          <w:sz w:val="22"/>
          <w:szCs w:val="22"/>
          <w:lang w:val="es-AR"/>
        </w:rPr>
        <w:t xml:space="preserve">de deuda </w:t>
      </w:r>
      <w:r w:rsidRPr="00506990">
        <w:rPr>
          <w:rStyle w:val="CharacterStyle1"/>
          <w:rFonts w:ascii="Times New Roman" w:hAnsi="Times New Roman"/>
          <w:iCs/>
          <w:color w:val="0D0D0D" w:themeColor="text1" w:themeTint="F2"/>
          <w:spacing w:val="-5"/>
          <w:sz w:val="22"/>
          <w:szCs w:val="22"/>
          <w:lang w:val="es-AR"/>
        </w:rPr>
        <w:t>fiduciari</w:t>
      </w:r>
      <w:r w:rsidR="009064A0" w:rsidRPr="00506990">
        <w:rPr>
          <w:rStyle w:val="CharacterStyle1"/>
          <w:rFonts w:ascii="Times New Roman" w:hAnsi="Times New Roman"/>
          <w:iCs/>
          <w:color w:val="0D0D0D" w:themeColor="text1" w:themeTint="F2"/>
          <w:spacing w:val="-5"/>
          <w:sz w:val="22"/>
          <w:szCs w:val="22"/>
          <w:lang w:val="es-AR"/>
        </w:rPr>
        <w:t>a</w:t>
      </w:r>
      <w:r w:rsidRPr="00506990">
        <w:rPr>
          <w:rStyle w:val="CharacterStyle1"/>
          <w:rFonts w:ascii="Times New Roman" w:hAnsi="Times New Roman"/>
          <w:iCs/>
          <w:color w:val="0D0D0D" w:themeColor="text1" w:themeTint="F2"/>
          <w:spacing w:val="-5"/>
          <w:sz w:val="22"/>
          <w:szCs w:val="22"/>
          <w:lang w:val="es-AR"/>
        </w:rPr>
        <w:t>,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w:t>
      </w:r>
      <w:bookmarkEnd w:id="42"/>
      <w:bookmarkEnd w:id="43"/>
      <w:bookmarkEnd w:id="44"/>
      <w:r w:rsidRPr="00506990">
        <w:rPr>
          <w:rStyle w:val="CharacterStyle1"/>
          <w:rFonts w:ascii="Times New Roman" w:hAnsi="Times New Roman"/>
          <w:iCs/>
          <w:color w:val="0D0D0D" w:themeColor="text1" w:themeTint="F2"/>
          <w:spacing w:val="-5"/>
          <w:sz w:val="22"/>
          <w:szCs w:val="22"/>
          <w:lang w:val="es-AR"/>
        </w:rPr>
        <w:t xml:space="preserve"> </w:t>
      </w:r>
    </w:p>
    <w:p w14:paraId="6113B782" w14:textId="77777777" w:rsidR="00337DE5" w:rsidRPr="00506990" w:rsidRDefault="00337DE5" w:rsidP="00337DE5">
      <w:pPr>
        <w:pStyle w:val="Style2"/>
        <w:kinsoku w:val="0"/>
        <w:autoSpaceDE/>
        <w:autoSpaceDN/>
        <w:spacing w:line="240" w:lineRule="auto"/>
        <w:outlineLvl w:val="0"/>
        <w:rPr>
          <w:rFonts w:ascii="Times New Roman" w:hAnsi="Times New Roman"/>
          <w:iCs/>
          <w:color w:val="0D0D0D" w:themeColor="text1" w:themeTint="F2"/>
          <w:sz w:val="22"/>
          <w:szCs w:val="22"/>
          <w:lang w:val="es-ES"/>
        </w:rPr>
      </w:pPr>
      <w:bookmarkStart w:id="45" w:name="_Toc506982476"/>
      <w:bookmarkStart w:id="46" w:name="_Toc521424861"/>
      <w:bookmarkStart w:id="47" w:name="_Toc20409073"/>
      <w:r w:rsidRPr="00506990">
        <w:rPr>
          <w:rFonts w:ascii="Times New Roman" w:hAnsi="Times New Roman"/>
          <w:iCs/>
          <w:color w:val="0D0D0D" w:themeColor="text1" w:themeTint="F2"/>
          <w:sz w:val="22"/>
          <w:szCs w:val="22"/>
          <w:lang w:val="es-ES"/>
        </w:rPr>
        <w:t>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w:t>
      </w:r>
      <w:bookmarkEnd w:id="45"/>
      <w:bookmarkEnd w:id="46"/>
      <w:bookmarkEnd w:id="47"/>
    </w:p>
    <w:p w14:paraId="4C73E99E" w14:textId="77777777" w:rsidR="00337DE5" w:rsidRPr="00506990" w:rsidRDefault="00337DE5" w:rsidP="00337DE5">
      <w:pPr>
        <w:pStyle w:val="Sangradetextonormal"/>
        <w:ind w:left="0" w:firstLine="0"/>
        <w:jc w:val="both"/>
        <w:outlineLvl w:val="0"/>
        <w:rPr>
          <w:rFonts w:ascii="Times New Roman" w:hAnsi="Times New Roman"/>
          <w:iCs/>
          <w:color w:val="0D0D0D" w:themeColor="text1" w:themeTint="F2"/>
          <w:sz w:val="22"/>
          <w:szCs w:val="22"/>
          <w:lang w:val="es-ES"/>
        </w:rPr>
      </w:pPr>
      <w:bookmarkStart w:id="48" w:name="_Toc506982477"/>
      <w:bookmarkStart w:id="49" w:name="_Toc521424862"/>
      <w:bookmarkStart w:id="50" w:name="_Toc20409074"/>
      <w:r w:rsidRPr="00506990">
        <w:rPr>
          <w:rFonts w:ascii="Times New Roman" w:hAnsi="Times New Roman"/>
          <w:iCs/>
          <w:color w:val="0D0D0D" w:themeColor="text1" w:themeTint="F2"/>
          <w:sz w:val="22"/>
          <w:szCs w:val="22"/>
          <w:lang w:val="es-ES"/>
        </w:rPr>
        <w:t>Los fiduciarios de los fideicomisos financieros afectados – entre los que se encuentra Rosario Administradora Sociedad Fiduciaria S.A. –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w:t>
      </w:r>
      <w:bookmarkEnd w:id="48"/>
      <w:bookmarkEnd w:id="49"/>
      <w:bookmarkEnd w:id="50"/>
    </w:p>
    <w:p w14:paraId="15D621C0" w14:textId="71FDEDB0"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w:t>
      </w:r>
      <w:r w:rsidRPr="00506990">
        <w:rPr>
          <w:rFonts w:ascii="Times New Roman" w:hAnsi="Times New Roman"/>
          <w:iCs/>
          <w:color w:val="0D0D0D" w:themeColor="text1" w:themeTint="F2"/>
          <w:sz w:val="22"/>
          <w:szCs w:val="22"/>
          <w:lang w:val="es-AR"/>
        </w:rPr>
        <w:t>respecto de los fideicomisos no directamente involucrados en la contienda</w:t>
      </w:r>
      <w:r w:rsidRPr="00506990">
        <w:rPr>
          <w:rFonts w:ascii="Times New Roman" w:hAnsi="Times New Roman"/>
          <w:iCs/>
          <w:color w:val="0D0D0D" w:themeColor="text1" w:themeTint="F2"/>
          <w:sz w:val="22"/>
          <w:szCs w:val="22"/>
        </w:rPr>
        <w:t>, y obtener la traba de embargo sobre los fondos en la Cuenta Fiduciaria en el</w:t>
      </w:r>
      <w:r w:rsidRPr="00506990">
        <w:rPr>
          <w:rFonts w:ascii="Times New Roman" w:hAnsi="Times New Roman"/>
          <w:iCs/>
          <w:color w:val="0D0D0D" w:themeColor="text1" w:themeTint="F2"/>
          <w:sz w:val="22"/>
          <w:szCs w:val="22"/>
          <w:lang w:val="es-AR"/>
        </w:rPr>
        <w:t xml:space="preserve"> presente Fideicomiso, situación que no fue considerada en el Flujo de Fondos de los Valores </w:t>
      </w:r>
      <w:r w:rsidR="00F12E1B" w:rsidRPr="00506990">
        <w:rPr>
          <w:rFonts w:ascii="Times New Roman" w:hAnsi="Times New Roman"/>
          <w:bCs/>
          <w:iCs/>
          <w:color w:val="0D0D0D" w:themeColor="text1" w:themeTint="F2"/>
          <w:sz w:val="22"/>
          <w:szCs w:val="22"/>
          <w:lang w:val="es-AR"/>
        </w:rPr>
        <w:t>Fiduciarios</w:t>
      </w:r>
      <w:r w:rsidRPr="00506990">
        <w:rPr>
          <w:rFonts w:ascii="Times New Roman" w:hAnsi="Times New Roman"/>
          <w:iCs/>
          <w:color w:val="0D0D0D" w:themeColor="text1" w:themeTint="F2"/>
          <w:sz w:val="22"/>
          <w:szCs w:val="22"/>
          <w:lang w:val="es-AR"/>
        </w:rPr>
        <w:t>.</w:t>
      </w:r>
    </w:p>
    <w:p w14:paraId="52D983F0"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En el mes de marzo de 2015 la Procuradora General de la Nación presentó dictamen ante la Corte opinando que corresponde hacer lugar a la demanda. La causa quedó para recibir sentencia definitiva.</w:t>
      </w:r>
    </w:p>
    <w:p w14:paraId="7DA76912"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Aunque la sentencia definitiva de la Corte sea favorable a la demanda, si bien</w:t>
      </w:r>
      <w:r w:rsidRPr="00506990">
        <w:rPr>
          <w:rFonts w:ascii="Times New Roman" w:hAnsi="Times New Roman"/>
          <w:iCs/>
          <w:color w:val="0D0D0D" w:themeColor="text1" w:themeTint="F2"/>
          <w:sz w:val="22"/>
          <w:szCs w:val="22"/>
          <w:lang w:val="es-AR"/>
        </w:rPr>
        <w:t xml:space="preserve"> con menor probabilidad, la Provincia podría continuar con su pretensión recaudatoria, toda vez que el fallo no tiene efectos erga omnes sino limitados a los fideicomisos por los cuales se ha demandado. No obstante, en tal escenario, y por la importancia que tiene un pronunciamiento del más alto tribunal </w:t>
      </w:r>
      <w:r w:rsidRPr="00506990">
        <w:rPr>
          <w:rFonts w:ascii="Times New Roman" w:hAnsi="Times New Roman"/>
          <w:iCs/>
          <w:color w:val="0D0D0D" w:themeColor="text1" w:themeTint="F2"/>
          <w:sz w:val="22"/>
          <w:szCs w:val="22"/>
          <w:lang w:val="es-AR"/>
        </w:rPr>
        <w:lastRenderedPageBreak/>
        <w:t>de la República, es probable que la Provincia desista de su pretensión respecto de todas las emisiones, sin necesidad de entablar nuevas demandas.</w:t>
      </w:r>
    </w:p>
    <w:p w14:paraId="1A76E468" w14:textId="77777777" w:rsidR="00337DE5" w:rsidRPr="00506990" w:rsidRDefault="00337DE5" w:rsidP="00337DE5">
      <w:pPr>
        <w:outlineLvl w:val="0"/>
        <w:rPr>
          <w:rFonts w:ascii="Times New Roman" w:hAnsi="Times New Roman" w:cs="Times New Roman"/>
          <w:iCs/>
          <w:color w:val="0D0D0D" w:themeColor="text1" w:themeTint="F2"/>
          <w:sz w:val="22"/>
          <w:szCs w:val="22"/>
          <w:lang w:val="es-AR"/>
        </w:rPr>
      </w:pPr>
      <w:bookmarkStart w:id="51" w:name="_Toc506982478"/>
      <w:bookmarkStart w:id="52" w:name="_Toc521424863"/>
      <w:bookmarkStart w:id="53" w:name="_Toc20409075"/>
      <w:r w:rsidRPr="00506990">
        <w:rPr>
          <w:rFonts w:ascii="Times New Roman" w:hAnsi="Times New Roman" w:cs="Times New Roman"/>
          <w:iCs/>
          <w:color w:val="0D0D0D" w:themeColor="text1" w:themeTint="F2"/>
          <w:sz w:val="22"/>
          <w:szCs w:val="22"/>
          <w:lang w:val="es-AR"/>
        </w:rPr>
        <w:t>Existen otras jurisdicciones provinciales que han efectuado determinaciones de supuestas deudas por impuesto de sellos respecto de fideicomisos financieros, que aunque no han determinado hasta el momento la traba de medidas cautelares sobre los Bienes Fideicomitidos, no puede asegurarse que efectivicen esas medidas en el futuro.</w:t>
      </w:r>
      <w:bookmarkEnd w:id="51"/>
      <w:bookmarkEnd w:id="52"/>
      <w:bookmarkEnd w:id="53"/>
    </w:p>
    <w:p w14:paraId="6216FBED" w14:textId="77777777" w:rsidR="00011896" w:rsidRPr="00506990" w:rsidRDefault="00011896" w:rsidP="00337DE5">
      <w:pPr>
        <w:outlineLvl w:val="0"/>
        <w:rPr>
          <w:rFonts w:ascii="Times New Roman" w:hAnsi="Times New Roman" w:cs="Times New Roman"/>
          <w:iCs/>
          <w:color w:val="0D0D0D" w:themeColor="text1" w:themeTint="F2"/>
          <w:sz w:val="22"/>
          <w:szCs w:val="22"/>
          <w:lang w:val="es-AR"/>
        </w:rPr>
      </w:pPr>
    </w:p>
    <w:p w14:paraId="72B8AE71" w14:textId="1BEA40AD" w:rsidR="00011896" w:rsidRPr="00506990" w:rsidRDefault="00011896" w:rsidP="00011896">
      <w:pPr>
        <w:pStyle w:val="Estndar"/>
        <w:jc w:val="both"/>
        <w:rPr>
          <w:rFonts w:ascii="Times New Roman" w:hAnsi="Times New Roman"/>
          <w:b/>
          <w:sz w:val="22"/>
          <w:szCs w:val="22"/>
          <w:lang w:val="es-AR"/>
        </w:rPr>
      </w:pPr>
      <w:r w:rsidRPr="00506990">
        <w:rPr>
          <w:rFonts w:ascii="Times New Roman" w:hAnsi="Times New Roman"/>
          <w:b/>
          <w:sz w:val="22"/>
          <w:szCs w:val="22"/>
          <w:lang w:val="es-AR"/>
        </w:rPr>
        <w:t xml:space="preserve">n.  </w:t>
      </w:r>
      <w:r w:rsidRPr="00506990">
        <w:rPr>
          <w:rFonts w:ascii="Times New Roman" w:hAnsi="Times New Roman"/>
          <w:sz w:val="22"/>
          <w:szCs w:val="22"/>
          <w:lang w:val="es-AR"/>
        </w:rPr>
        <w:t xml:space="preserve"> </w:t>
      </w:r>
      <w:r w:rsidRPr="00506990">
        <w:rPr>
          <w:rFonts w:ascii="Times New Roman" w:hAnsi="Times New Roman"/>
          <w:b/>
          <w:sz w:val="22"/>
          <w:szCs w:val="22"/>
          <w:lang w:val="es-AR"/>
        </w:rPr>
        <w:t xml:space="preserve">Riesgos derivados del contexto económico </w:t>
      </w:r>
    </w:p>
    <w:p w14:paraId="51447FFF" w14:textId="08AA5261" w:rsidR="00A9439C" w:rsidRPr="00506990" w:rsidRDefault="00A9439C" w:rsidP="008F4E11">
      <w:pPr>
        <w:outlineLvl w:val="0"/>
        <w:rPr>
          <w:rFonts w:ascii="Times New Roman" w:hAnsi="Times New Roman" w:cs="Times New Roman"/>
          <w:iCs/>
          <w:color w:val="0D0D0D" w:themeColor="text1" w:themeTint="F2"/>
          <w:sz w:val="22"/>
          <w:szCs w:val="22"/>
          <w:lang w:val="es-AR"/>
        </w:rPr>
      </w:pPr>
      <w:bookmarkStart w:id="54" w:name="_Toc20409076"/>
      <w:r w:rsidRPr="00506990">
        <w:rPr>
          <w:rFonts w:ascii="Times New Roman" w:hAnsi="Times New Roman" w:cs="Times New Roman"/>
          <w:iCs/>
          <w:color w:val="0D0D0D" w:themeColor="text1" w:themeTint="F2"/>
          <w:sz w:val="22"/>
          <w:szCs w:val="22"/>
          <w:lang w:val="es-AR"/>
        </w:rPr>
        <w:t>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del año 2018 fue del 47,6%</w:t>
      </w:r>
      <w:r w:rsidR="0025325D">
        <w:rPr>
          <w:rFonts w:ascii="Times New Roman" w:hAnsi="Times New Roman" w:cs="Times New Roman"/>
          <w:iCs/>
          <w:color w:val="0D0D0D" w:themeColor="text1" w:themeTint="F2"/>
          <w:sz w:val="22"/>
          <w:szCs w:val="22"/>
          <w:lang w:val="es-AR"/>
        </w:rPr>
        <w:t xml:space="preserve">, la del año </w:t>
      </w:r>
      <w:r w:rsidRPr="00506990">
        <w:rPr>
          <w:rFonts w:ascii="Times New Roman" w:hAnsi="Times New Roman" w:cs="Times New Roman"/>
          <w:iCs/>
          <w:color w:val="0D0D0D" w:themeColor="text1" w:themeTint="F2"/>
          <w:sz w:val="22"/>
          <w:szCs w:val="22"/>
          <w:lang w:val="es-AR"/>
        </w:rPr>
        <w:t xml:space="preserve"> 2019</w:t>
      </w:r>
      <w:r w:rsidR="0025325D">
        <w:rPr>
          <w:rFonts w:ascii="Times New Roman" w:hAnsi="Times New Roman" w:cs="Times New Roman"/>
          <w:iCs/>
          <w:color w:val="0D0D0D" w:themeColor="text1" w:themeTint="F2"/>
          <w:sz w:val="22"/>
          <w:szCs w:val="22"/>
          <w:lang w:val="es-AR"/>
        </w:rPr>
        <w:t xml:space="preserve"> fue del 53,8%</w:t>
      </w:r>
      <w:r w:rsidRPr="00506990">
        <w:rPr>
          <w:rFonts w:ascii="Times New Roman" w:hAnsi="Times New Roman" w:cs="Times New Roman"/>
          <w:iCs/>
          <w:color w:val="0D0D0D" w:themeColor="text1" w:themeTint="F2"/>
          <w:sz w:val="22"/>
          <w:szCs w:val="22"/>
          <w:lang w:val="es-AR"/>
        </w:rPr>
        <w:t xml:space="preserve">. En </w:t>
      </w:r>
      <w:r w:rsidR="0025325D">
        <w:rPr>
          <w:rFonts w:ascii="Times New Roman" w:hAnsi="Times New Roman" w:cs="Times New Roman"/>
          <w:iCs/>
          <w:color w:val="0D0D0D" w:themeColor="text1" w:themeTint="F2"/>
          <w:sz w:val="22"/>
          <w:szCs w:val="22"/>
          <w:lang w:val="es-AR"/>
        </w:rPr>
        <w:t>enero</w:t>
      </w:r>
      <w:r w:rsidRPr="00506990">
        <w:rPr>
          <w:rFonts w:ascii="Times New Roman" w:hAnsi="Times New Roman" w:cs="Times New Roman"/>
          <w:iCs/>
          <w:color w:val="0D0D0D" w:themeColor="text1" w:themeTint="F2"/>
          <w:sz w:val="22"/>
          <w:szCs w:val="22"/>
          <w:lang w:val="es-AR"/>
        </w:rPr>
        <w:t xml:space="preserve"> de 20</w:t>
      </w:r>
      <w:r w:rsidR="0025325D">
        <w:rPr>
          <w:rFonts w:ascii="Times New Roman" w:hAnsi="Times New Roman" w:cs="Times New Roman"/>
          <w:iCs/>
          <w:color w:val="0D0D0D" w:themeColor="text1" w:themeTint="F2"/>
          <w:sz w:val="22"/>
          <w:szCs w:val="22"/>
          <w:lang w:val="es-AR"/>
        </w:rPr>
        <w:t>20</w:t>
      </w:r>
      <w:r w:rsidRPr="00506990">
        <w:rPr>
          <w:rFonts w:ascii="Times New Roman" w:hAnsi="Times New Roman" w:cs="Times New Roman"/>
          <w:iCs/>
          <w:color w:val="0D0D0D" w:themeColor="text1" w:themeTint="F2"/>
          <w:sz w:val="22"/>
          <w:szCs w:val="22"/>
          <w:lang w:val="es-AR"/>
        </w:rPr>
        <w:t>, la tasa de inflación fue de 2,</w:t>
      </w:r>
      <w:r w:rsidR="0025325D">
        <w:rPr>
          <w:rFonts w:ascii="Times New Roman" w:hAnsi="Times New Roman" w:cs="Times New Roman"/>
          <w:iCs/>
          <w:color w:val="0D0D0D" w:themeColor="text1" w:themeTint="F2"/>
          <w:sz w:val="22"/>
          <w:szCs w:val="22"/>
          <w:lang w:val="es-AR"/>
        </w:rPr>
        <w:t>3</w:t>
      </w:r>
      <w:r w:rsidRPr="00506990">
        <w:rPr>
          <w:rFonts w:ascii="Times New Roman" w:hAnsi="Times New Roman" w:cs="Times New Roman"/>
          <w:iCs/>
          <w:color w:val="0D0D0D" w:themeColor="text1" w:themeTint="F2"/>
          <w:sz w:val="22"/>
          <w:szCs w:val="22"/>
          <w:lang w:val="es-AR"/>
        </w:rPr>
        <w:t>%.</w:t>
      </w:r>
      <w:bookmarkEnd w:id="54"/>
      <w:r w:rsidR="0025325D">
        <w:rPr>
          <w:rFonts w:ascii="Times New Roman" w:hAnsi="Times New Roman" w:cs="Times New Roman"/>
          <w:iCs/>
          <w:color w:val="0D0D0D" w:themeColor="text1" w:themeTint="F2"/>
          <w:sz w:val="22"/>
          <w:szCs w:val="22"/>
          <w:lang w:val="es-AR"/>
        </w:rPr>
        <w:t xml:space="preserve"> Para el año 2020 el Relevamiento de Expectativas de Mercado estima la inflación nivel general en 39,9%</w:t>
      </w:r>
    </w:p>
    <w:p w14:paraId="4BEF4BD4" w14:textId="77777777" w:rsidR="00A9439C" w:rsidRPr="00506990" w:rsidRDefault="00A9439C" w:rsidP="008F4E11">
      <w:pPr>
        <w:outlineLvl w:val="0"/>
        <w:rPr>
          <w:rFonts w:ascii="Times New Roman" w:hAnsi="Times New Roman" w:cs="Times New Roman"/>
          <w:iCs/>
          <w:color w:val="0D0D0D" w:themeColor="text1" w:themeTint="F2"/>
          <w:sz w:val="22"/>
          <w:szCs w:val="22"/>
          <w:lang w:val="es-AR"/>
        </w:rPr>
      </w:pPr>
    </w:p>
    <w:p w14:paraId="363CD6F6" w14:textId="77777777" w:rsidR="00A9439C" w:rsidRPr="00506990" w:rsidRDefault="00A9439C" w:rsidP="008F4E11">
      <w:pPr>
        <w:outlineLvl w:val="0"/>
        <w:rPr>
          <w:rFonts w:ascii="Times New Roman" w:hAnsi="Times New Roman" w:cs="Times New Roman"/>
          <w:iCs/>
          <w:color w:val="0D0D0D" w:themeColor="text1" w:themeTint="F2"/>
          <w:sz w:val="22"/>
          <w:szCs w:val="22"/>
          <w:lang w:val="es-AR"/>
        </w:rPr>
      </w:pPr>
      <w:bookmarkStart w:id="55" w:name="_Toc20409077"/>
      <w:r w:rsidRPr="00506990">
        <w:rPr>
          <w:rFonts w:ascii="Times New Roman" w:hAnsi="Times New Roman" w:cs="Times New Roman"/>
          <w:iCs/>
          <w:color w:val="0D0D0D" w:themeColor="text1" w:themeTint="F2"/>
          <w:sz w:val="22"/>
          <w:szCs w:val="22"/>
          <w:lang w:val="es-AR"/>
        </w:rPr>
        <w:t>El 11 de agosto de 2019 se llevaron a cabo las elecciones primarias, abiertas, simultáneas y obligatorias (“PASO”) que tiene por finalidad, entre otras, definir la lista de cada partido, en caso de que se presente más de una. El resultado de dicha elección dio ganadora la fórmula de la oposición con el 47,65% de los votos quedando segunda con el 32,08% la fórmula liderada por el oficialismo.</w:t>
      </w:r>
      <w:bookmarkEnd w:id="55"/>
      <w:r w:rsidRPr="00506990">
        <w:rPr>
          <w:rFonts w:ascii="Times New Roman" w:hAnsi="Times New Roman" w:cs="Times New Roman"/>
          <w:iCs/>
          <w:color w:val="0D0D0D" w:themeColor="text1" w:themeTint="F2"/>
          <w:sz w:val="22"/>
          <w:szCs w:val="22"/>
          <w:lang w:val="es-AR"/>
        </w:rPr>
        <w:t xml:space="preserve"> </w:t>
      </w:r>
    </w:p>
    <w:p w14:paraId="18010221" w14:textId="4ABB8A42" w:rsidR="0025325D" w:rsidRPr="001E47E3" w:rsidRDefault="00A9439C" w:rsidP="001E47E3">
      <w:pPr>
        <w:outlineLvl w:val="0"/>
        <w:rPr>
          <w:rFonts w:ascii="Times New Roman" w:hAnsi="Times New Roman" w:cs="Times New Roman"/>
          <w:iCs/>
          <w:color w:val="0D0D0D" w:themeColor="text1" w:themeTint="F2"/>
          <w:sz w:val="22"/>
          <w:szCs w:val="22"/>
          <w:lang w:val="es-AR"/>
        </w:rPr>
      </w:pPr>
      <w:bookmarkStart w:id="56" w:name="_Toc20409078"/>
      <w:r w:rsidRPr="00506990">
        <w:rPr>
          <w:rFonts w:ascii="Times New Roman" w:hAnsi="Times New Roman" w:cs="Times New Roman"/>
          <w:iCs/>
          <w:color w:val="0D0D0D" w:themeColor="text1" w:themeTint="F2"/>
          <w:sz w:val="22"/>
          <w:szCs w:val="22"/>
          <w:lang w:val="es-AR"/>
        </w:rPr>
        <w:t xml:space="preserve">Luego de efectuada las PASO hubo un nuevo incremento del dólar apreciándose alrededor del 25 %. </w:t>
      </w:r>
      <w:bookmarkEnd w:id="56"/>
      <w:r w:rsidR="0025325D" w:rsidRPr="001E47E3">
        <w:rPr>
          <w:rFonts w:ascii="Times New Roman" w:hAnsi="Times New Roman" w:cs="Times New Roman"/>
          <w:iCs/>
          <w:color w:val="0D0D0D" w:themeColor="text1" w:themeTint="F2"/>
          <w:sz w:val="22"/>
          <w:szCs w:val="22"/>
          <w:lang w:val="es-AR"/>
        </w:rPr>
        <w:t xml:space="preserve"> El 27 de octubre de 2019 se llevaron a cabo las elecciones generales. El resultado de dicha elección dio ganadora a la fórmula liderada por Alberto Fernandez y Cristina Fernandez de Kirchner. El 28 de octubre de 2019, luego de las elecciones generales, el Banco Central de la República Argentina, dispuso en su Comunicación “A” 6815, modificatoria de las Comunicaciones “A” 6770 y “A” 6780, nuevas restricciones para la adquisición de moneda extranjera. Dicha resolución estableció un límite de US$200 por mes para las compras mediante cuenta bancaria y de US$100 para las compras en efectivo. En el caso de no residentes el límite de compra es de US$100. Asimismo, estableció que los depósitos en dólares pueden retirarse libremente. Las entidades autorizadas deben informar al Banco Central de la República Argentina la cantidad de dólares que necesitarán con dos días de antelación. </w:t>
      </w:r>
    </w:p>
    <w:p w14:paraId="79BB6D9F" w14:textId="77777777" w:rsidR="0025325D" w:rsidRPr="001E47E3" w:rsidRDefault="0025325D" w:rsidP="001E47E3">
      <w:pPr>
        <w:outlineLvl w:val="0"/>
        <w:rPr>
          <w:rFonts w:ascii="Times New Roman" w:hAnsi="Times New Roman" w:cs="Times New Roman"/>
          <w:iCs/>
          <w:color w:val="0D0D0D" w:themeColor="text1" w:themeTint="F2"/>
          <w:sz w:val="22"/>
          <w:szCs w:val="22"/>
          <w:lang w:val="es-AR"/>
        </w:rPr>
      </w:pPr>
    </w:p>
    <w:p w14:paraId="26697176" w14:textId="77777777" w:rsidR="0025325D" w:rsidRPr="001E47E3" w:rsidRDefault="0025325D" w:rsidP="001E47E3">
      <w:pPr>
        <w:outlineLvl w:val="0"/>
        <w:rPr>
          <w:rFonts w:ascii="Times New Roman" w:hAnsi="Times New Roman" w:cs="Times New Roman"/>
          <w:iCs/>
          <w:color w:val="0D0D0D" w:themeColor="text1" w:themeTint="F2"/>
          <w:sz w:val="22"/>
          <w:szCs w:val="22"/>
          <w:lang w:val="es-AR"/>
        </w:rPr>
      </w:pPr>
      <w:r w:rsidRPr="001E47E3">
        <w:rPr>
          <w:rFonts w:ascii="Times New Roman" w:hAnsi="Times New Roman" w:cs="Times New Roman"/>
          <w:iCs/>
          <w:color w:val="0D0D0D" w:themeColor="text1" w:themeTint="F2"/>
          <w:sz w:val="22"/>
          <w:szCs w:val="22"/>
          <w:lang w:val="es-AR"/>
        </w:rPr>
        <w:t>El 21 de diciembre de 2019, se aprobó de la Ley N° 27.541 de “Solidaridad Social y Reactivación Productiva en el marco de la Emergencia Pública”. Entre las principales medidas se encuentran: (i) se faculta el Poder Ejecutivo Nacional para llevar adelante las gestiones y los actos necesarios para recuperar y asegurar la sostenibilidad de la deuda pública; (ii) se faculta al Poder Ejecutivo Nacional a congelar las tarifas de electricidad y gas natural bajo jurisdicción federal; (iii) se aprueba un régimen de regularización de obligaciones tributarias, de la seguridad social y aduaneras para micro, pequeñas o medianas empresas (“MiPyMEs”) y entidades civiles sin fines de lucro; (iv) se modifica la Ley N° 23.966 respecto del Impuesto sobre los Bienes Personales; (iv) se crea el Impuesto para una Argentina Inclusiva y Solidaria el cual gravará operaciones vinculadas con la adquisición de moneda extranjera para atesoramiento, compra de bienes y servicios en moneda extranjera; (v) se introduce modificaciones en el impuesto a las ganancias, la renta financiera, tributos aduaneros y el régimen de la seguridad social; entre otras. Dicha ley fue reglamentada mediante el Decreto 99/2019 del 27 de diciembre de 2019.</w:t>
      </w:r>
    </w:p>
    <w:p w14:paraId="570F7821" w14:textId="4F069E39" w:rsidR="00A9439C" w:rsidRPr="001E47E3" w:rsidRDefault="00A9439C" w:rsidP="008F4E11">
      <w:pPr>
        <w:outlineLvl w:val="0"/>
        <w:rPr>
          <w:rFonts w:ascii="Times New Roman" w:hAnsi="Times New Roman" w:cs="Times New Roman"/>
          <w:iCs/>
          <w:color w:val="0D0D0D" w:themeColor="text1" w:themeTint="F2"/>
          <w:sz w:val="22"/>
          <w:szCs w:val="22"/>
        </w:rPr>
      </w:pPr>
    </w:p>
    <w:p w14:paraId="07805EE3" w14:textId="77777777" w:rsidR="00A9439C" w:rsidRPr="00506990" w:rsidRDefault="00A9439C" w:rsidP="008F4E11">
      <w:pPr>
        <w:outlineLvl w:val="0"/>
        <w:rPr>
          <w:rFonts w:ascii="Times New Roman" w:hAnsi="Times New Roman" w:cs="Times New Roman"/>
          <w:iCs/>
          <w:color w:val="0D0D0D" w:themeColor="text1" w:themeTint="F2"/>
          <w:sz w:val="22"/>
          <w:szCs w:val="22"/>
          <w:lang w:val="es-AR"/>
        </w:rPr>
      </w:pPr>
    </w:p>
    <w:p w14:paraId="62C4D639" w14:textId="77777777" w:rsidR="00A9439C" w:rsidRPr="00506990" w:rsidRDefault="00A9439C" w:rsidP="008F4E11">
      <w:pPr>
        <w:outlineLvl w:val="0"/>
        <w:rPr>
          <w:rFonts w:ascii="Times New Roman" w:hAnsi="Times New Roman" w:cs="Times New Roman"/>
          <w:iCs/>
          <w:color w:val="0D0D0D" w:themeColor="text1" w:themeTint="F2"/>
          <w:sz w:val="22"/>
          <w:szCs w:val="22"/>
          <w:lang w:val="es-AR"/>
        </w:rPr>
      </w:pPr>
      <w:bookmarkStart w:id="57" w:name="_Toc20409079"/>
      <w:r w:rsidRPr="00506990">
        <w:rPr>
          <w:rFonts w:ascii="Times New Roman" w:hAnsi="Times New Roman" w:cs="Times New Roman"/>
          <w:iCs/>
          <w:color w:val="0D0D0D" w:themeColor="text1" w:themeTint="F2"/>
          <w:sz w:val="22"/>
          <w:szCs w:val="22"/>
          <w:lang w:val="es-AR"/>
        </w:rPr>
        <w:t>De mantenerse este contexto y de no haber una reapertura de las paritarias, el salario real de los Deudores de los Créditos podría verse deteriorado, de manera que podría verse afectada la capacidad de pago de los Deudores de los Créditos y en consecuencia el pago de los Valores Fiduciarios.</w:t>
      </w:r>
      <w:bookmarkEnd w:id="57"/>
    </w:p>
    <w:p w14:paraId="24B8D6D9" w14:textId="4B3EC818" w:rsidR="00011896" w:rsidRPr="00506990" w:rsidRDefault="00011896" w:rsidP="008F4E11">
      <w:pPr>
        <w:outlineLvl w:val="0"/>
        <w:rPr>
          <w:rFonts w:ascii="Times New Roman" w:hAnsi="Times New Roman" w:cs="Times New Roman"/>
          <w:sz w:val="22"/>
          <w:szCs w:val="22"/>
        </w:rPr>
      </w:pPr>
    </w:p>
    <w:p w14:paraId="3F932ADF" w14:textId="77777777" w:rsidR="00157F81" w:rsidRPr="00506990" w:rsidRDefault="00157F81" w:rsidP="00011896">
      <w:pPr>
        <w:rPr>
          <w:rFonts w:ascii="Times New Roman" w:hAnsi="Times New Roman" w:cs="Times New Roman"/>
          <w:sz w:val="22"/>
          <w:szCs w:val="22"/>
        </w:rPr>
      </w:pPr>
    </w:p>
    <w:p w14:paraId="550907DE" w14:textId="6AF6A313" w:rsidR="00157F81" w:rsidRPr="00506990" w:rsidRDefault="000851A8" w:rsidP="00157F81">
      <w:pPr>
        <w:rPr>
          <w:rFonts w:ascii="Times New Roman" w:hAnsi="Times New Roman" w:cs="Times New Roman"/>
          <w:b/>
          <w:sz w:val="22"/>
          <w:szCs w:val="22"/>
        </w:rPr>
      </w:pPr>
      <w:r w:rsidRPr="00506990">
        <w:rPr>
          <w:rFonts w:ascii="Times New Roman" w:hAnsi="Times New Roman" w:cs="Times New Roman"/>
          <w:b/>
          <w:sz w:val="22"/>
          <w:szCs w:val="22"/>
        </w:rPr>
        <w:t>ñ</w:t>
      </w:r>
      <w:r w:rsidR="00157F81" w:rsidRPr="00506990">
        <w:rPr>
          <w:rFonts w:ascii="Times New Roman" w:hAnsi="Times New Roman" w:cs="Times New Roman"/>
          <w:b/>
          <w:sz w:val="22"/>
          <w:szCs w:val="22"/>
        </w:rPr>
        <w:t>. Consideración especial de riesgo para la inversión</w:t>
      </w:r>
    </w:p>
    <w:p w14:paraId="567F9FBF" w14:textId="4AE05D70" w:rsidR="00157F81" w:rsidRPr="00506990" w:rsidRDefault="00157F81" w:rsidP="00157F81">
      <w:pPr>
        <w:rPr>
          <w:rFonts w:ascii="Times New Roman" w:hAnsi="Times New Roman" w:cs="Times New Roman"/>
          <w:sz w:val="22"/>
          <w:szCs w:val="22"/>
        </w:rPr>
      </w:pPr>
      <w:r w:rsidRPr="00506990">
        <w:rPr>
          <w:rFonts w:ascii="Times New Roman" w:hAnsi="Times New Roman" w:cs="Times New Roman"/>
          <w:sz w:val="22"/>
          <w:szCs w:val="22"/>
        </w:rPr>
        <w:t>Los potenciales inversores deben considerar que las empresas con las características de</w:t>
      </w:r>
      <w:r w:rsidR="003C5928" w:rsidRPr="00506990">
        <w:rPr>
          <w:rFonts w:ascii="Times New Roman" w:hAnsi="Times New Roman" w:cs="Times New Roman"/>
          <w:sz w:val="22"/>
          <w:szCs w:val="22"/>
        </w:rPr>
        <w:t xml:space="preserve"> </w:t>
      </w:r>
      <w:r w:rsidRPr="00506990">
        <w:rPr>
          <w:rFonts w:ascii="Times New Roman" w:hAnsi="Times New Roman" w:cs="Times New Roman"/>
          <w:sz w:val="22"/>
          <w:szCs w:val="22"/>
        </w:rPr>
        <w:t>l</w:t>
      </w:r>
      <w:r w:rsidR="003C5928" w:rsidRPr="00506990">
        <w:rPr>
          <w:rFonts w:ascii="Times New Roman" w:hAnsi="Times New Roman" w:cs="Times New Roman"/>
          <w:sz w:val="22"/>
          <w:szCs w:val="22"/>
        </w:rPr>
        <w:t>os</w:t>
      </w:r>
      <w:r w:rsidRPr="00506990">
        <w:rPr>
          <w:rFonts w:ascii="Times New Roman" w:hAnsi="Times New Roman" w:cs="Times New Roman"/>
          <w:sz w:val="22"/>
          <w:szCs w:val="22"/>
        </w:rPr>
        <w:t xml:space="preserve"> Fiduciante</w:t>
      </w:r>
      <w:r w:rsidR="003C5928" w:rsidRPr="00506990">
        <w:rPr>
          <w:rFonts w:ascii="Times New Roman" w:hAnsi="Times New Roman" w:cs="Times New Roman"/>
          <w:sz w:val="22"/>
          <w:szCs w:val="22"/>
        </w:rPr>
        <w:t>s</w:t>
      </w:r>
      <w:r w:rsidRPr="00506990">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w:t>
      </w:r>
    </w:p>
    <w:p w14:paraId="792042E4" w14:textId="15DD1B51" w:rsidR="00157F81" w:rsidRPr="00506990" w:rsidRDefault="00157F81" w:rsidP="00157F81">
      <w:pPr>
        <w:rPr>
          <w:rFonts w:ascii="Times New Roman" w:hAnsi="Times New Roman" w:cs="Times New Roman"/>
          <w:sz w:val="22"/>
          <w:szCs w:val="22"/>
        </w:rPr>
      </w:pPr>
      <w:r w:rsidRPr="00506990">
        <w:rPr>
          <w:rFonts w:ascii="Times New Roman" w:hAnsi="Times New Roman" w:cs="Times New Roman"/>
          <w:sz w:val="22"/>
          <w:szCs w:val="22"/>
        </w:rPr>
        <w:t>Por otra parte, producto de la situación económica y política de Argentina y de la afectación de la fuente de recursos de los deudores de los créditos, podría sucederse incumplimientos en los pagos de los créditos. Ello, sumado a una merma en la originación de créditos por parte de</w:t>
      </w:r>
      <w:r w:rsidR="003C5928" w:rsidRPr="00506990">
        <w:rPr>
          <w:rFonts w:ascii="Times New Roman" w:hAnsi="Times New Roman" w:cs="Times New Roman"/>
          <w:sz w:val="22"/>
          <w:szCs w:val="22"/>
        </w:rPr>
        <w:t xml:space="preserve"> </w:t>
      </w:r>
      <w:r w:rsidRPr="00506990">
        <w:rPr>
          <w:rFonts w:ascii="Times New Roman" w:hAnsi="Times New Roman" w:cs="Times New Roman"/>
          <w:sz w:val="22"/>
          <w:szCs w:val="22"/>
        </w:rPr>
        <w:t>l</w:t>
      </w:r>
      <w:r w:rsidR="003C5928" w:rsidRPr="00506990">
        <w:rPr>
          <w:rFonts w:ascii="Times New Roman" w:hAnsi="Times New Roman" w:cs="Times New Roman"/>
          <w:sz w:val="22"/>
          <w:szCs w:val="22"/>
        </w:rPr>
        <w:t>os</w:t>
      </w:r>
      <w:r w:rsidRPr="00506990">
        <w:rPr>
          <w:rFonts w:ascii="Times New Roman" w:hAnsi="Times New Roman" w:cs="Times New Roman"/>
          <w:sz w:val="22"/>
          <w:szCs w:val="22"/>
        </w:rPr>
        <w:t xml:space="preserve"> Fiduciante</w:t>
      </w:r>
      <w:r w:rsidR="003C5928" w:rsidRPr="00506990">
        <w:rPr>
          <w:rFonts w:ascii="Times New Roman" w:hAnsi="Times New Roman" w:cs="Times New Roman"/>
          <w:sz w:val="22"/>
          <w:szCs w:val="22"/>
        </w:rPr>
        <w:t>s</w:t>
      </w:r>
      <w:r w:rsidRPr="00506990">
        <w:rPr>
          <w:rFonts w:ascii="Times New Roman" w:hAnsi="Times New Roman" w:cs="Times New Roman"/>
          <w:sz w:val="22"/>
          <w:szCs w:val="22"/>
        </w:rPr>
        <w:t xml:space="preserve"> producto de una disminución significativa en el consumo, podría dificultar la situación económica de</w:t>
      </w:r>
      <w:r w:rsidR="003C5928" w:rsidRPr="00506990">
        <w:rPr>
          <w:rFonts w:ascii="Times New Roman" w:hAnsi="Times New Roman" w:cs="Times New Roman"/>
          <w:sz w:val="22"/>
          <w:szCs w:val="22"/>
        </w:rPr>
        <w:t xml:space="preserve"> </w:t>
      </w:r>
      <w:r w:rsidRPr="00506990">
        <w:rPr>
          <w:rFonts w:ascii="Times New Roman" w:hAnsi="Times New Roman" w:cs="Times New Roman"/>
          <w:sz w:val="22"/>
          <w:szCs w:val="22"/>
        </w:rPr>
        <w:t>l</w:t>
      </w:r>
      <w:r w:rsidR="003C5928" w:rsidRPr="00506990">
        <w:rPr>
          <w:rFonts w:ascii="Times New Roman" w:hAnsi="Times New Roman" w:cs="Times New Roman"/>
          <w:sz w:val="22"/>
          <w:szCs w:val="22"/>
        </w:rPr>
        <w:t>os</w:t>
      </w:r>
      <w:r w:rsidRPr="00506990">
        <w:rPr>
          <w:rFonts w:ascii="Times New Roman" w:hAnsi="Times New Roman" w:cs="Times New Roman"/>
          <w:sz w:val="22"/>
          <w:szCs w:val="22"/>
        </w:rPr>
        <w:t xml:space="preserve"> Fiduciante</w:t>
      </w:r>
      <w:r w:rsidR="003C5928" w:rsidRPr="00506990">
        <w:rPr>
          <w:rFonts w:ascii="Times New Roman" w:hAnsi="Times New Roman" w:cs="Times New Roman"/>
          <w:sz w:val="22"/>
          <w:szCs w:val="22"/>
        </w:rPr>
        <w:t>s</w:t>
      </w:r>
      <w:r w:rsidRPr="00506990">
        <w:rPr>
          <w:rFonts w:ascii="Times New Roman" w:hAnsi="Times New Roman" w:cs="Times New Roman"/>
          <w:sz w:val="22"/>
          <w:szCs w:val="22"/>
        </w:rPr>
        <w:t xml:space="preserve"> y la continuidad de sus operaciones.</w:t>
      </w:r>
    </w:p>
    <w:p w14:paraId="65B3233B" w14:textId="7F01392E" w:rsidR="00157F81" w:rsidRPr="00506990" w:rsidRDefault="00157F81" w:rsidP="00157F81">
      <w:pPr>
        <w:rPr>
          <w:rFonts w:ascii="Times New Roman" w:hAnsi="Times New Roman" w:cs="Times New Roman"/>
          <w:sz w:val="22"/>
          <w:szCs w:val="22"/>
        </w:rPr>
      </w:pPr>
      <w:r w:rsidRPr="00506990">
        <w:rPr>
          <w:rFonts w:ascii="Times New Roman" w:hAnsi="Times New Roman" w:cs="Times New Roman"/>
          <w:sz w:val="22"/>
          <w:szCs w:val="22"/>
        </w:rPr>
        <w:t>En caso de verse obligado l</w:t>
      </w:r>
      <w:r w:rsidR="003C5928" w:rsidRPr="00506990">
        <w:rPr>
          <w:rFonts w:ascii="Times New Roman" w:hAnsi="Times New Roman" w:cs="Times New Roman"/>
          <w:sz w:val="22"/>
          <w:szCs w:val="22"/>
        </w:rPr>
        <w:t>os</w:t>
      </w:r>
      <w:r w:rsidRPr="00506990">
        <w:rPr>
          <w:rFonts w:ascii="Times New Roman" w:hAnsi="Times New Roman" w:cs="Times New Roman"/>
          <w:sz w:val="22"/>
          <w:szCs w:val="22"/>
        </w:rPr>
        <w:t xml:space="preserve"> Fiduciante</w:t>
      </w:r>
      <w:r w:rsidR="003C5928" w:rsidRPr="00506990">
        <w:rPr>
          <w:rFonts w:ascii="Times New Roman" w:hAnsi="Times New Roman" w:cs="Times New Roman"/>
          <w:sz w:val="22"/>
          <w:szCs w:val="22"/>
        </w:rPr>
        <w:t>s</w:t>
      </w:r>
      <w:r w:rsidRPr="00506990">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BE07AF1" w14:textId="6CFB9843" w:rsidR="00157F81" w:rsidRPr="00506990" w:rsidRDefault="00157F81" w:rsidP="00157F81">
      <w:pPr>
        <w:rPr>
          <w:rFonts w:ascii="Times New Roman" w:hAnsi="Times New Roman" w:cs="Times New Roman"/>
          <w:sz w:val="22"/>
          <w:szCs w:val="22"/>
        </w:rPr>
      </w:pPr>
      <w:r w:rsidRPr="00506990">
        <w:rPr>
          <w:rFonts w:ascii="Times New Roman" w:hAnsi="Times New Roman" w:cs="Times New Roman"/>
          <w:sz w:val="22"/>
          <w:szCs w:val="22"/>
        </w:rPr>
        <w:t>De verificarse cualquiera de las situaciones previamente descriptas, podría verse afectada la cobranza bajo los créditos configurando un efecto negativo sobre los Valores Fiduciarios. Atento a que los fondos generados por los créditos constituyen la única fuente de pago para los inversores, en caso que las cobranzas de los créditos cedidos no sean suficientes para pagar los Valores Fiduciarios, ni l</w:t>
      </w:r>
      <w:r w:rsidR="003C5928" w:rsidRPr="00506990">
        <w:rPr>
          <w:rFonts w:ascii="Times New Roman" w:hAnsi="Times New Roman" w:cs="Times New Roman"/>
          <w:sz w:val="22"/>
          <w:szCs w:val="22"/>
        </w:rPr>
        <w:t>os</w:t>
      </w:r>
      <w:r w:rsidRPr="00506990">
        <w:rPr>
          <w:rFonts w:ascii="Times New Roman" w:hAnsi="Times New Roman" w:cs="Times New Roman"/>
          <w:sz w:val="22"/>
          <w:szCs w:val="22"/>
        </w:rPr>
        <w:t xml:space="preserve"> Fiduciante</w:t>
      </w:r>
      <w:r w:rsidR="003C5928" w:rsidRPr="00506990">
        <w:rPr>
          <w:rFonts w:ascii="Times New Roman" w:hAnsi="Times New Roman" w:cs="Times New Roman"/>
          <w:sz w:val="22"/>
          <w:szCs w:val="22"/>
        </w:rPr>
        <w:t>s</w:t>
      </w:r>
      <w:r w:rsidRPr="00506990">
        <w:rPr>
          <w:rFonts w:ascii="Times New Roman" w:hAnsi="Times New Roman" w:cs="Times New Roman"/>
          <w:sz w:val="22"/>
          <w:szCs w:val="22"/>
        </w:rPr>
        <w:t xml:space="preserve"> ni el Fiduciario estarán obligados a utilizar recursos propios para cubrir tales deficiencias.</w:t>
      </w:r>
    </w:p>
    <w:p w14:paraId="5E252FD6" w14:textId="77777777" w:rsidR="00337DE5" w:rsidRPr="00506990" w:rsidRDefault="00337DE5" w:rsidP="00337DE5">
      <w:pPr>
        <w:pStyle w:val="Textoindependiente"/>
        <w:jc w:val="both"/>
        <w:rPr>
          <w:rFonts w:ascii="Times New Roman" w:hAnsi="Times New Roman"/>
          <w:iCs/>
          <w:color w:val="0D0D0D" w:themeColor="text1" w:themeTint="F2"/>
          <w:sz w:val="22"/>
          <w:szCs w:val="22"/>
          <w:u w:val="single"/>
        </w:rPr>
      </w:pPr>
    </w:p>
    <w:p w14:paraId="53A91E93" w14:textId="3C843328" w:rsidR="00337DE5" w:rsidRPr="00506990" w:rsidRDefault="00337DE5" w:rsidP="00337DE5">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Los compradores potenciales de los Valores </w:t>
      </w:r>
      <w:r w:rsidR="00DC2B37" w:rsidRPr="00B43F7C">
        <w:rPr>
          <w:rFonts w:ascii="Times New Roman" w:hAnsi="Times New Roman" w:cs="Times New Roman"/>
          <w:b/>
          <w:iCs/>
          <w:color w:val="0D0D0D" w:themeColor="text1" w:themeTint="F2"/>
          <w:sz w:val="22"/>
          <w:szCs w:val="22"/>
          <w:lang w:val="es-AR"/>
        </w:rPr>
        <w:t xml:space="preserve">de Deuda </w:t>
      </w:r>
      <w:r w:rsidR="00F12E1B" w:rsidRPr="00B43F7C">
        <w:rPr>
          <w:rFonts w:ascii="Times New Roman" w:hAnsi="Times New Roman" w:cs="Times New Roman"/>
          <w:b/>
          <w:bCs/>
          <w:iCs/>
          <w:color w:val="0D0D0D" w:themeColor="text1" w:themeTint="F2"/>
          <w:sz w:val="22"/>
          <w:szCs w:val="22"/>
          <w:lang w:val="es-AR"/>
        </w:rPr>
        <w:t>Fiduciari</w:t>
      </w:r>
      <w:r w:rsidR="00DC2B37" w:rsidRPr="00B43F7C">
        <w:rPr>
          <w:rFonts w:ascii="Times New Roman" w:hAnsi="Times New Roman" w:cs="Times New Roman"/>
          <w:b/>
          <w:bCs/>
          <w:iCs/>
          <w:color w:val="0D0D0D" w:themeColor="text1" w:themeTint="F2"/>
          <w:sz w:val="22"/>
          <w:szCs w:val="22"/>
          <w:lang w:val="es-AR"/>
        </w:rPr>
        <w:t>a</w:t>
      </w:r>
      <w:r w:rsidRPr="00506990">
        <w:rPr>
          <w:rFonts w:ascii="Times New Roman" w:hAnsi="Times New Roman" w:cs="Times New Roman"/>
          <w:b/>
          <w:color w:val="0D0D0D" w:themeColor="text1" w:themeTint="F2"/>
          <w:sz w:val="22"/>
          <w:szCs w:val="22"/>
        </w:rPr>
        <w:t xml:space="preserve"> ofrecidos por la presente deberán considerar cuidadosamente toda la información de este Suplemento de Prospecto.</w:t>
      </w:r>
    </w:p>
    <w:p w14:paraId="11796475" w14:textId="77777777" w:rsidR="00337DE5" w:rsidRPr="00506990" w:rsidRDefault="00337DE5" w:rsidP="00992BB9">
      <w:pPr>
        <w:pStyle w:val="Textoindependiente"/>
        <w:suppressAutoHyphens/>
        <w:ind w:left="1080"/>
        <w:jc w:val="both"/>
        <w:rPr>
          <w:rFonts w:ascii="Times New Roman" w:hAnsi="Times New Roman"/>
          <w:iCs/>
          <w:color w:val="0D0D0D" w:themeColor="text1" w:themeTint="F2"/>
          <w:sz w:val="22"/>
          <w:szCs w:val="22"/>
          <w:u w:val="single"/>
        </w:rPr>
      </w:pPr>
    </w:p>
    <w:p w14:paraId="57DCBA41" w14:textId="36AB4D3D" w:rsidR="000D2637" w:rsidRPr="00506990" w:rsidRDefault="007C062B" w:rsidP="00B228F5">
      <w:pPr>
        <w:pStyle w:val="Ttulo1"/>
        <w:jc w:val="center"/>
        <w:rPr>
          <w:rFonts w:ascii="Times New Roman" w:hAnsi="Times New Roman"/>
          <w:sz w:val="22"/>
          <w:szCs w:val="22"/>
        </w:rPr>
      </w:pPr>
      <w:bookmarkStart w:id="58" w:name="_Toc521424864"/>
      <w:bookmarkStart w:id="59" w:name="_Toc2040908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RESUMEN DE TÉRMINOS Y CONDICIONES DE LOS VALORES</w:t>
      </w:r>
      <w:r w:rsidR="00D71263" w:rsidRPr="00506990">
        <w:rPr>
          <w:rFonts w:ascii="Times New Roman" w:hAnsi="Times New Roman"/>
          <w:sz w:val="22"/>
          <w:szCs w:val="22"/>
        </w:rPr>
        <w:t xml:space="preserve"> </w:t>
      </w:r>
      <w:r w:rsidR="00DC2B37" w:rsidRPr="00506990">
        <w:rPr>
          <w:rFonts w:ascii="Times New Roman" w:hAnsi="Times New Roman"/>
          <w:sz w:val="22"/>
          <w:szCs w:val="22"/>
        </w:rPr>
        <w:t>DE DEUDA</w:t>
      </w:r>
      <w:r w:rsidR="00DC2B37" w:rsidRPr="00506990">
        <w:rPr>
          <w:rFonts w:ascii="Times New Roman" w:hAnsi="Times New Roman"/>
          <w:sz w:val="22"/>
        </w:rPr>
        <w:t xml:space="preserve"> </w:t>
      </w:r>
      <w:r w:rsidR="00B866EE" w:rsidRPr="00506990">
        <w:rPr>
          <w:rFonts w:ascii="Times New Roman" w:hAnsi="Times New Roman"/>
          <w:sz w:val="22"/>
          <w:szCs w:val="22"/>
        </w:rPr>
        <w:t>FIDUCIARI</w:t>
      </w:r>
      <w:r w:rsidR="00DC2B37" w:rsidRPr="00506990">
        <w:rPr>
          <w:rFonts w:ascii="Times New Roman" w:hAnsi="Times New Roman"/>
          <w:sz w:val="22"/>
          <w:szCs w:val="22"/>
        </w:rPr>
        <w:t>A</w:t>
      </w:r>
      <w:bookmarkEnd w:id="58"/>
      <w:bookmarkEnd w:id="59"/>
    </w:p>
    <w:p w14:paraId="49E23C8F"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073A17D7"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5AB13712"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721D9CD2" w14:textId="77777777">
        <w:trPr>
          <w:cantSplit/>
          <w:trHeight w:val="433"/>
        </w:trPr>
        <w:tc>
          <w:tcPr>
            <w:tcW w:w="2737" w:type="dxa"/>
          </w:tcPr>
          <w:p w14:paraId="3786BBF6"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46E59F50" w14:textId="25BBEC8B" w:rsidR="000D2637" w:rsidRPr="00506990" w:rsidRDefault="00345035" w:rsidP="0067033B">
            <w:pPr>
              <w:suppressAutoHyphens/>
              <w:spacing w:line="240" w:lineRule="atLeast"/>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C55AB5" w:rsidRPr="00506990">
              <w:rPr>
                <w:rFonts w:ascii="Times New Roman" w:hAnsi="Times New Roman" w:cs="Times New Roman"/>
                <w:iCs/>
                <w:color w:val="0D0D0D" w:themeColor="text1" w:themeTint="F2"/>
                <w:sz w:val="22"/>
                <w:szCs w:val="22"/>
              </w:rPr>
              <w:t>I</w:t>
            </w:r>
            <w:r w:rsidR="0067033B">
              <w:rPr>
                <w:rFonts w:ascii="Times New Roman" w:hAnsi="Times New Roman" w:cs="Times New Roman"/>
                <w:iCs/>
                <w:color w:val="0D0D0D" w:themeColor="text1" w:themeTint="F2"/>
                <w:sz w:val="22"/>
                <w:szCs w:val="22"/>
              </w:rPr>
              <w:t>V</w:t>
            </w:r>
            <w:r w:rsidR="007C062B" w:rsidRPr="00506990">
              <w:rPr>
                <w:rFonts w:ascii="Times New Roman" w:hAnsi="Times New Roman" w:cs="Times New Roman"/>
                <w:iCs/>
                <w:color w:val="0D0D0D" w:themeColor="text1" w:themeTint="F2"/>
                <w:sz w:val="22"/>
                <w:szCs w:val="22"/>
              </w:rPr>
              <w:t xml:space="preserve">, a emitirse bajo el </w:t>
            </w:r>
            <w:r w:rsidR="007C062B" w:rsidRPr="00506990">
              <w:rPr>
                <w:rFonts w:ascii="Times New Roman" w:hAnsi="Times New Roman" w:cs="Times New Roman"/>
                <w:b/>
                <w:bCs/>
                <w:color w:val="0D0D0D" w:themeColor="text1" w:themeTint="F2"/>
                <w:sz w:val="22"/>
                <w:szCs w:val="22"/>
              </w:rPr>
              <w:t>Programa Global de emisión de Valores Fiduciarios Confibono</w:t>
            </w:r>
            <w:r w:rsidR="003E181B" w:rsidRPr="00506990">
              <w:rPr>
                <w:rFonts w:ascii="Times New Roman" w:hAnsi="Times New Roman" w:cs="Times New Roman"/>
                <w:b/>
                <w:bCs/>
                <w:color w:val="0D0D0D" w:themeColor="text1" w:themeTint="F2"/>
                <w:sz w:val="22"/>
                <w:szCs w:val="22"/>
              </w:rPr>
              <w:t>.</w:t>
            </w:r>
          </w:p>
        </w:tc>
      </w:tr>
      <w:tr w:rsidR="00482F96" w:rsidRPr="00506990" w14:paraId="42473769" w14:textId="77777777" w:rsidTr="00F8107E">
        <w:trPr>
          <w:cantSplit/>
          <w:trHeight w:val="551"/>
        </w:trPr>
        <w:tc>
          <w:tcPr>
            <w:tcW w:w="2737" w:type="dxa"/>
          </w:tcPr>
          <w:p w14:paraId="500B2E6F" w14:textId="59C79EC0"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8013B27" w14:textId="733E05CE" w:rsidR="00BD6597" w:rsidRPr="00506990" w:rsidRDefault="00BD6597">
            <w:pPr>
              <w:suppressAutoHyphens/>
              <w:spacing w:line="240" w:lineRule="atLeast"/>
              <w:rPr>
                <w:rFonts w:ascii="Times New Roman" w:hAnsi="Times New Roman" w:cs="Times New Roman"/>
                <w:bCs/>
                <w:iCs/>
                <w:color w:val="0D0D0D" w:themeColor="text1" w:themeTint="F2"/>
                <w:sz w:val="22"/>
                <w:szCs w:val="22"/>
              </w:rPr>
            </w:pPr>
            <w:r w:rsidRPr="00506990">
              <w:rPr>
                <w:rFonts w:ascii="Times New Roman" w:hAnsi="Times New Roman" w:cs="Times New Roman"/>
                <w:bCs/>
                <w:iCs/>
                <w:color w:val="0D0D0D" w:themeColor="text1" w:themeTint="F2"/>
                <w:sz w:val="22"/>
                <w:szCs w:val="22"/>
              </w:rPr>
              <w:t>Valor Nominal $</w:t>
            </w:r>
            <w:r w:rsidR="0069754F" w:rsidRPr="00506990">
              <w:rPr>
                <w:rFonts w:ascii="Times New Roman" w:hAnsi="Times New Roman" w:cs="Times New Roman"/>
                <w:bCs/>
                <w:iCs/>
                <w:color w:val="0D0D0D" w:themeColor="text1" w:themeTint="F2"/>
                <w:sz w:val="22"/>
                <w:szCs w:val="22"/>
              </w:rPr>
              <w:t xml:space="preserve"> </w:t>
            </w:r>
            <w:r w:rsidR="004B30E8">
              <w:rPr>
                <w:rFonts w:ascii="Times New Roman" w:hAnsi="Times New Roman" w:cs="Times New Roman"/>
                <w:b/>
                <w:bCs/>
                <w:iCs/>
                <w:color w:val="0D0D0D" w:themeColor="text1" w:themeTint="F2"/>
                <w:sz w:val="22"/>
                <w:szCs w:val="22"/>
              </w:rPr>
              <w:t>201</w:t>
            </w:r>
            <w:r w:rsidR="005769E3">
              <w:rPr>
                <w:rFonts w:ascii="Times New Roman" w:hAnsi="Times New Roman" w:cs="Times New Roman"/>
                <w:b/>
                <w:bCs/>
                <w:iCs/>
                <w:color w:val="0D0D0D" w:themeColor="text1" w:themeTint="F2"/>
                <w:sz w:val="22"/>
                <w:szCs w:val="22"/>
              </w:rPr>
              <w:t>.</w:t>
            </w:r>
            <w:r w:rsidR="004B30E8">
              <w:rPr>
                <w:rFonts w:ascii="Times New Roman" w:hAnsi="Times New Roman" w:cs="Times New Roman"/>
                <w:b/>
                <w:bCs/>
                <w:iCs/>
                <w:color w:val="0D0D0D" w:themeColor="text1" w:themeTint="F2"/>
                <w:sz w:val="22"/>
                <w:szCs w:val="22"/>
              </w:rPr>
              <w:t>744</w:t>
            </w:r>
            <w:r w:rsidR="005769E3">
              <w:rPr>
                <w:rFonts w:ascii="Times New Roman" w:hAnsi="Times New Roman" w:cs="Times New Roman"/>
                <w:b/>
                <w:bCs/>
                <w:iCs/>
                <w:color w:val="0D0D0D" w:themeColor="text1" w:themeTint="F2"/>
                <w:sz w:val="22"/>
                <w:szCs w:val="22"/>
              </w:rPr>
              <w:t>.</w:t>
            </w:r>
            <w:r w:rsidR="004B30E8">
              <w:rPr>
                <w:rFonts w:ascii="Times New Roman" w:hAnsi="Times New Roman" w:cs="Times New Roman"/>
                <w:b/>
                <w:bCs/>
                <w:iCs/>
                <w:color w:val="0D0D0D" w:themeColor="text1" w:themeTint="F2"/>
                <w:sz w:val="22"/>
                <w:szCs w:val="22"/>
              </w:rPr>
              <w:t>110</w:t>
            </w:r>
            <w:r w:rsidR="007C062B" w:rsidRPr="000579E7">
              <w:rPr>
                <w:rFonts w:ascii="Times New Roman" w:hAnsi="Times New Roman" w:cs="Times New Roman"/>
                <w:bCs/>
                <w:iCs/>
                <w:color w:val="0D0D0D" w:themeColor="text1" w:themeTint="F2"/>
                <w:sz w:val="22"/>
                <w:szCs w:val="22"/>
              </w:rPr>
              <w:t>- (pesos</w:t>
            </w:r>
            <w:r w:rsidR="00A51A05" w:rsidRPr="000579E7">
              <w:rPr>
                <w:rFonts w:ascii="Times New Roman" w:hAnsi="Times New Roman" w:cs="Times New Roman"/>
                <w:bCs/>
                <w:iCs/>
                <w:color w:val="0D0D0D" w:themeColor="text1" w:themeTint="F2"/>
                <w:sz w:val="22"/>
                <w:szCs w:val="22"/>
              </w:rPr>
              <w:t xml:space="preserve"> </w:t>
            </w:r>
            <w:r w:rsidR="004B30E8">
              <w:rPr>
                <w:rFonts w:ascii="Times New Roman" w:hAnsi="Times New Roman" w:cs="Times New Roman"/>
                <w:bCs/>
                <w:iCs/>
                <w:color w:val="0D0D0D" w:themeColor="text1" w:themeTint="F2"/>
                <w:sz w:val="22"/>
                <w:szCs w:val="22"/>
              </w:rPr>
              <w:t xml:space="preserve">doscientos un </w:t>
            </w:r>
            <w:r w:rsidR="005769E3">
              <w:rPr>
                <w:rFonts w:ascii="Times New Roman" w:hAnsi="Times New Roman" w:cs="Times New Roman"/>
                <w:bCs/>
                <w:iCs/>
                <w:color w:val="0D0D0D" w:themeColor="text1" w:themeTint="F2"/>
                <w:sz w:val="22"/>
                <w:szCs w:val="22"/>
              </w:rPr>
              <w:t>millones</w:t>
            </w:r>
            <w:r w:rsidR="004B30E8">
              <w:rPr>
                <w:rFonts w:ascii="Times New Roman" w:hAnsi="Times New Roman" w:cs="Times New Roman"/>
                <w:bCs/>
                <w:iCs/>
                <w:color w:val="0D0D0D" w:themeColor="text1" w:themeTint="F2"/>
                <w:sz w:val="22"/>
                <w:szCs w:val="22"/>
              </w:rPr>
              <w:t xml:space="preserve"> setecientos cuarenta y cuatro mil ciento diez</w:t>
            </w:r>
            <w:r w:rsidRPr="00506990">
              <w:rPr>
                <w:rFonts w:ascii="Times New Roman" w:hAnsi="Times New Roman" w:cs="Times New Roman"/>
                <w:bCs/>
                <w:iCs/>
                <w:color w:val="0D0D0D" w:themeColor="text1" w:themeTint="F2"/>
                <w:sz w:val="22"/>
                <w:szCs w:val="22"/>
              </w:rPr>
              <w:t>)</w:t>
            </w:r>
          </w:p>
        </w:tc>
      </w:tr>
      <w:tr w:rsidR="007C062B" w:rsidRPr="00506990" w14:paraId="435219FB" w14:textId="77777777" w:rsidTr="004E4AC6">
        <w:trPr>
          <w:cantSplit/>
          <w:trHeight w:val="398"/>
        </w:trPr>
        <w:tc>
          <w:tcPr>
            <w:tcW w:w="2737" w:type="dxa"/>
          </w:tcPr>
          <w:p w14:paraId="5361296F" w14:textId="7B00089F"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20464858" w14:textId="1B2EBDED"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47DE5B8B" w14:textId="77777777" w:rsidTr="004E4AC6">
        <w:trPr>
          <w:cantSplit/>
          <w:trHeight w:val="418"/>
        </w:trPr>
        <w:tc>
          <w:tcPr>
            <w:tcW w:w="2737" w:type="dxa"/>
          </w:tcPr>
          <w:p w14:paraId="1A3239AB" w14:textId="160FB69F"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579D47F5" w14:textId="35433B2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BB4261B" w14:textId="77777777" w:rsidTr="004E4AC6">
        <w:trPr>
          <w:cantSplit/>
          <w:trHeight w:val="410"/>
        </w:trPr>
        <w:tc>
          <w:tcPr>
            <w:tcW w:w="2737" w:type="dxa"/>
          </w:tcPr>
          <w:p w14:paraId="0F0C2EE6" w14:textId="6926A9FB"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616FDE68" w14:textId="07E8C24F"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C50ECA" w:rsidRPr="00506990" w:rsidDel="00BA3476" w14:paraId="20DE329E" w14:textId="77777777" w:rsidTr="004E4AC6">
        <w:trPr>
          <w:cantSplit/>
          <w:trHeight w:val="410"/>
        </w:trPr>
        <w:tc>
          <w:tcPr>
            <w:tcW w:w="2737" w:type="dxa"/>
          </w:tcPr>
          <w:p w14:paraId="63514967" w14:textId="289932D2" w:rsidR="00C50ECA" w:rsidRPr="00506990" w:rsidRDefault="00C50EC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w:t>
            </w:r>
            <w:r w:rsidR="00813740" w:rsidRPr="00506990">
              <w:rPr>
                <w:rFonts w:ascii="Times New Roman" w:hAnsi="Times New Roman" w:cs="Times New Roman"/>
                <w:b/>
                <w:bCs/>
                <w:iCs/>
                <w:color w:val="0D0D0D" w:themeColor="text1" w:themeTint="F2"/>
                <w:sz w:val="22"/>
                <w:szCs w:val="22"/>
              </w:rPr>
              <w:t>s</w:t>
            </w:r>
          </w:p>
        </w:tc>
        <w:tc>
          <w:tcPr>
            <w:tcW w:w="6184" w:type="dxa"/>
          </w:tcPr>
          <w:p w14:paraId="4079EF4D" w14:textId="2F1B6670" w:rsidR="00C50ECA" w:rsidRPr="00506990" w:rsidRDefault="00C50EC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Bazar Avenida S.A.</w:t>
            </w:r>
            <w:r w:rsidR="00813740" w:rsidRPr="00506990">
              <w:rPr>
                <w:rFonts w:ascii="Times New Roman" w:hAnsi="Times New Roman"/>
                <w:color w:val="0D0D0D" w:themeColor="text1" w:themeTint="F2"/>
                <w:sz w:val="22"/>
                <w:szCs w:val="22"/>
              </w:rPr>
              <w:t xml:space="preserve"> </w:t>
            </w:r>
            <w:r w:rsidR="00813740" w:rsidRPr="00506990">
              <w:rPr>
                <w:rFonts w:ascii="Times New Roman" w:hAnsi="Times New Roman"/>
                <w:iCs/>
                <w:color w:val="0D0D0D" w:themeColor="text1" w:themeTint="F2"/>
                <w:sz w:val="22"/>
                <w:szCs w:val="22"/>
              </w:rPr>
              <w:t>y Consumo S.A.</w:t>
            </w:r>
          </w:p>
        </w:tc>
      </w:tr>
      <w:tr w:rsidR="00482F96" w:rsidRPr="007616BD" w14:paraId="666DE2E2" w14:textId="77777777">
        <w:trPr>
          <w:cantSplit/>
          <w:trHeight w:val="279"/>
        </w:trPr>
        <w:tc>
          <w:tcPr>
            <w:tcW w:w="2737" w:type="dxa"/>
          </w:tcPr>
          <w:p w14:paraId="0D12D8EA" w14:textId="37659F74"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p>
        </w:tc>
        <w:tc>
          <w:tcPr>
            <w:tcW w:w="6184" w:type="dxa"/>
          </w:tcPr>
          <w:p w14:paraId="2718331F" w14:textId="77777777"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S.A.</w:t>
            </w:r>
          </w:p>
        </w:tc>
      </w:tr>
      <w:tr w:rsidR="000F3020" w:rsidRPr="00506990" w:rsidDel="00BA3476" w14:paraId="21A4CCC2" w14:textId="77777777">
        <w:trPr>
          <w:cantSplit/>
          <w:trHeight w:val="279"/>
        </w:trPr>
        <w:tc>
          <w:tcPr>
            <w:tcW w:w="2737" w:type="dxa"/>
          </w:tcPr>
          <w:p w14:paraId="3E0DC01E" w14:textId="16AF4896"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30900F39" w14:textId="6D6B6E90"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FD08713" w14:textId="77777777">
        <w:trPr>
          <w:cantSplit/>
          <w:trHeight w:val="279"/>
        </w:trPr>
        <w:tc>
          <w:tcPr>
            <w:tcW w:w="2737" w:type="dxa"/>
          </w:tcPr>
          <w:p w14:paraId="021A36F8" w14:textId="0AC57660"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42BB8B01" w14:textId="11C78CAB"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7616BD" w14:paraId="2BE7A689" w14:textId="77777777" w:rsidTr="00F8107E">
        <w:trPr>
          <w:cantSplit/>
          <w:trHeight w:val="419"/>
        </w:trPr>
        <w:tc>
          <w:tcPr>
            <w:tcW w:w="2737" w:type="dxa"/>
          </w:tcPr>
          <w:p w14:paraId="27131FB6"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23B44104" w14:textId="77777777" w:rsidR="00BA3476" w:rsidRPr="00506990" w:rsidRDefault="00BA3476" w:rsidP="006F15A1">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lang w:val="pt-BR"/>
              </w:rPr>
              <w:t>Tinsa S.A (Cobro Express)</w:t>
            </w:r>
          </w:p>
          <w:p w14:paraId="06B6BFC5"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10B0F266" w14:textId="77777777" w:rsidTr="00C666C1">
        <w:trPr>
          <w:cantSplit/>
          <w:trHeight w:val="279"/>
        </w:trPr>
        <w:tc>
          <w:tcPr>
            <w:tcW w:w="2737" w:type="dxa"/>
          </w:tcPr>
          <w:p w14:paraId="104FBA39" w14:textId="77777777" w:rsidR="000F3020" w:rsidRPr="00506990" w:rsidRDefault="000F3020" w:rsidP="00C666C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lastRenderedPageBreak/>
              <w:t>Agente de Custodia</w:t>
            </w:r>
          </w:p>
        </w:tc>
        <w:tc>
          <w:tcPr>
            <w:tcW w:w="6184" w:type="dxa"/>
          </w:tcPr>
          <w:p w14:paraId="5DA7E0E4"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Centibox S.A.</w:t>
            </w:r>
          </w:p>
          <w:p w14:paraId="0C6B6FE9"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3C2AF613" w14:textId="77777777">
        <w:trPr>
          <w:cantSplit/>
          <w:trHeight w:val="279"/>
        </w:trPr>
        <w:tc>
          <w:tcPr>
            <w:tcW w:w="2737" w:type="dxa"/>
          </w:tcPr>
          <w:p w14:paraId="519FDD1F"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7CF2D80F" w14:textId="73644A2D"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 y</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Víctor Lamberti</w:t>
            </w:r>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suplente</w:t>
            </w:r>
            <w:r w:rsidR="003A22B7" w:rsidRPr="00506990">
              <w:rPr>
                <w:rFonts w:ascii="Times New Roman" w:hAnsi="Times New Roman" w:cs="Times New Roman"/>
                <w:color w:val="0D0D0D" w:themeColor="text1" w:themeTint="F2"/>
                <w:sz w:val="22"/>
                <w:szCs w:val="22"/>
              </w:rPr>
              <w:t xml:space="preserve">, ambos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0B57A393"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5E100D01" w14:textId="77777777">
        <w:trPr>
          <w:cantSplit/>
          <w:trHeight w:val="279"/>
        </w:trPr>
        <w:tc>
          <w:tcPr>
            <w:tcW w:w="2737" w:type="dxa"/>
          </w:tcPr>
          <w:p w14:paraId="2BB0DF7B"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3B7A2C0E"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58F8DBAB"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7616BD" w14:paraId="4BDAD728" w14:textId="77777777" w:rsidTr="006F15A1">
        <w:trPr>
          <w:cantSplit/>
          <w:trHeight w:val="279"/>
        </w:trPr>
        <w:tc>
          <w:tcPr>
            <w:tcW w:w="2737" w:type="dxa"/>
          </w:tcPr>
          <w:p w14:paraId="10DE0BED" w14:textId="77D07081"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068588B9" w14:textId="71C693B8"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6DA800C6" w14:textId="77777777" w:rsidTr="006F15A1">
        <w:trPr>
          <w:cantSplit/>
          <w:trHeight w:val="279"/>
        </w:trPr>
        <w:tc>
          <w:tcPr>
            <w:tcW w:w="2737" w:type="dxa"/>
          </w:tcPr>
          <w:p w14:paraId="35E87C69"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32F99A6B"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2CA5BF48"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233A1DC1" w14:textId="77777777" w:rsidTr="00F8107E">
        <w:trPr>
          <w:cantSplit/>
          <w:trHeight w:val="555"/>
        </w:trPr>
        <w:tc>
          <w:tcPr>
            <w:tcW w:w="2737" w:type="dxa"/>
          </w:tcPr>
          <w:p w14:paraId="2DC1046B" w14:textId="07942F90"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60D33F8E" w14:textId="2D7197C3" w:rsidR="00E65461" w:rsidRPr="00506990" w:rsidRDefault="00E6546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INTL Cibsa S.A.</w:t>
            </w:r>
            <w:r w:rsidR="002B53EF" w:rsidRPr="0098446E">
              <w:rPr>
                <w:rFonts w:ascii="Times New Roman" w:hAnsi="Times New Roman"/>
                <w:color w:val="0D0D0D" w:themeColor="text1" w:themeTint="F2"/>
                <w:sz w:val="22"/>
                <w:szCs w:val="22"/>
                <w:lang w:val="es-AR"/>
              </w:rPr>
              <w:t xml:space="preserve"> y</w:t>
            </w:r>
            <w:r w:rsidR="00543E6E" w:rsidRPr="0098446E">
              <w:rPr>
                <w:rFonts w:ascii="Times New Roman" w:hAnsi="Times New Roman"/>
                <w:color w:val="0D0D0D" w:themeColor="text1" w:themeTint="F2"/>
                <w:sz w:val="22"/>
                <w:szCs w:val="22"/>
                <w:lang w:val="es-AR"/>
              </w:rPr>
              <w:t xml:space="preserve"> </w:t>
            </w:r>
            <w:r w:rsidR="00005F07">
              <w:rPr>
                <w:rFonts w:ascii="Times New Roman" w:hAnsi="Times New Roman"/>
                <w:color w:val="0D0D0D" w:themeColor="text1" w:themeTint="F2"/>
                <w:sz w:val="22"/>
                <w:szCs w:val="22"/>
                <w:lang w:val="es-AR"/>
              </w:rPr>
              <w:t>Option Securities</w:t>
            </w:r>
            <w:r w:rsidR="00E23F41" w:rsidRPr="0098446E">
              <w:rPr>
                <w:rFonts w:ascii="Times New Roman" w:hAnsi="Times New Roman"/>
                <w:color w:val="0D0D0D" w:themeColor="text1" w:themeTint="F2"/>
                <w:sz w:val="22"/>
                <w:szCs w:val="22"/>
                <w:lang w:val="es-AR"/>
              </w:rPr>
              <w:t xml:space="preserve"> S.A.</w:t>
            </w:r>
          </w:p>
        </w:tc>
      </w:tr>
      <w:tr w:rsidR="00BA3476" w:rsidRPr="00506990" w14:paraId="555FB901" w14:textId="77777777" w:rsidTr="006F15A1">
        <w:trPr>
          <w:cantSplit/>
          <w:trHeight w:val="1023"/>
        </w:trPr>
        <w:tc>
          <w:tcPr>
            <w:tcW w:w="2737" w:type="dxa"/>
          </w:tcPr>
          <w:p w14:paraId="51B34559" w14:textId="17EF790A"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Relaciones entre las partes</w:t>
            </w:r>
          </w:p>
        </w:tc>
        <w:tc>
          <w:tcPr>
            <w:tcW w:w="6184" w:type="dxa"/>
          </w:tcPr>
          <w:p w14:paraId="0C841AEE"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p>
          <w:p w14:paraId="4309CED0"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05AFA969" w14:textId="4E2CB63C"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p>
          <w:p w14:paraId="47A55529"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7F3A7CAD" w14:textId="5F5D0A0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Bazar Avenida S.A.</w:t>
            </w:r>
            <w:r w:rsidRPr="00506990">
              <w:rPr>
                <w:rFonts w:ascii="Times New Roman" w:hAnsi="Times New Roman"/>
              </w:rPr>
              <w:t xml:space="preserve"> </w:t>
            </w:r>
          </w:p>
          <w:p w14:paraId="48097A33" w14:textId="3D4CBB05" w:rsidR="00813740" w:rsidRPr="00506990" w:rsidRDefault="00813740" w:rsidP="00B62265">
            <w:pPr>
              <w:pStyle w:val="Textonotapie"/>
              <w:suppressAutoHyphens/>
              <w:rPr>
                <w:rFonts w:ascii="Times New Roman" w:hAnsi="Times New Roman"/>
              </w:rPr>
            </w:pPr>
          </w:p>
          <w:p w14:paraId="7803C095" w14:textId="20F1942B"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Consumo S.A.</w:t>
            </w:r>
            <w:r w:rsidRPr="00506990">
              <w:rPr>
                <w:rFonts w:ascii="Times New Roman" w:hAnsi="Times New Roman"/>
              </w:rPr>
              <w:t xml:space="preserve"> </w:t>
            </w:r>
          </w:p>
          <w:p w14:paraId="65785B9E" w14:textId="7C14DE69"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3470DD11" w14:textId="77777777" w:rsidTr="004E4AC6">
        <w:trPr>
          <w:cantSplit/>
          <w:trHeight w:val="444"/>
        </w:trPr>
        <w:tc>
          <w:tcPr>
            <w:tcW w:w="2737" w:type="dxa"/>
          </w:tcPr>
          <w:p w14:paraId="459E0AF8"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5B17A063" w14:textId="12E5932D"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058835B" w14:textId="77777777" w:rsidTr="004E4AC6">
        <w:trPr>
          <w:cantSplit/>
          <w:trHeight w:val="1825"/>
        </w:trPr>
        <w:tc>
          <w:tcPr>
            <w:tcW w:w="2737" w:type="dxa"/>
          </w:tcPr>
          <w:p w14:paraId="28CFD00F"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lastRenderedPageBreak/>
              <w:t>Bienes Fideicomitidos</w:t>
            </w:r>
          </w:p>
        </w:tc>
        <w:tc>
          <w:tcPr>
            <w:tcW w:w="6184" w:type="dxa"/>
          </w:tcPr>
          <w:p w14:paraId="476D8A1E" w14:textId="0F56A861" w:rsidR="00275F22" w:rsidRPr="00506990"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tc>
      </w:tr>
      <w:tr w:rsidR="00482F96" w:rsidRPr="00506990" w14:paraId="76CE55A1" w14:textId="77777777" w:rsidTr="00576A80">
        <w:trPr>
          <w:cantSplit/>
          <w:trHeight w:val="279"/>
        </w:trPr>
        <w:tc>
          <w:tcPr>
            <w:tcW w:w="2737" w:type="dxa"/>
            <w:tcBorders>
              <w:bottom w:val="single" w:sz="6" w:space="0" w:color="auto"/>
            </w:tcBorders>
          </w:tcPr>
          <w:p w14:paraId="28CE7038"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 Deuda Fiduciaria Clase A (“VDFA”)</w:t>
            </w:r>
          </w:p>
        </w:tc>
        <w:tc>
          <w:tcPr>
            <w:tcW w:w="6184" w:type="dxa"/>
            <w:tcBorders>
              <w:bottom w:val="single" w:sz="6" w:space="0" w:color="auto"/>
            </w:tcBorders>
          </w:tcPr>
          <w:p w14:paraId="56ACEC43" w14:textId="2E613D6D"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Valor nominal equivalente al </w:t>
            </w:r>
            <w:r w:rsidR="007733CA">
              <w:rPr>
                <w:rFonts w:ascii="Times New Roman" w:hAnsi="Times New Roman"/>
                <w:iCs/>
                <w:color w:val="0D0D0D" w:themeColor="text1" w:themeTint="F2"/>
                <w:sz w:val="22"/>
                <w:szCs w:val="22"/>
              </w:rPr>
              <w:t>88</w:t>
            </w:r>
            <w:r w:rsidR="00F8622A">
              <w:rPr>
                <w:rFonts w:ascii="Times New Roman" w:hAnsi="Times New Roman"/>
                <w:iCs/>
                <w:color w:val="0D0D0D" w:themeColor="text1" w:themeTint="F2"/>
                <w:sz w:val="22"/>
                <w:szCs w:val="22"/>
              </w:rPr>
              <w:t>,03</w:t>
            </w:r>
            <w:r w:rsidRPr="00506990">
              <w:rPr>
                <w:rFonts w:ascii="Times New Roman" w:hAnsi="Times New Roman"/>
                <w:iCs/>
                <w:color w:val="0D0D0D" w:themeColor="text1" w:themeTint="F2"/>
                <w:sz w:val="22"/>
                <w:szCs w:val="22"/>
              </w:rPr>
              <w:t>% del valor fideicomitido de los Créditos transferidos al Fideicomiso, es decir, $</w:t>
            </w:r>
            <w:r w:rsidR="005769E3">
              <w:rPr>
                <w:rFonts w:ascii="Times New Roman" w:hAnsi="Times New Roman"/>
                <w:iCs/>
                <w:color w:val="0D0D0D" w:themeColor="text1" w:themeTint="F2"/>
                <w:sz w:val="22"/>
                <w:szCs w:val="22"/>
              </w:rPr>
              <w:t>1</w:t>
            </w:r>
            <w:r w:rsidR="007733CA">
              <w:rPr>
                <w:rFonts w:ascii="Times New Roman" w:hAnsi="Times New Roman"/>
                <w:iCs/>
                <w:color w:val="0D0D0D" w:themeColor="text1" w:themeTint="F2"/>
                <w:sz w:val="22"/>
                <w:szCs w:val="22"/>
              </w:rPr>
              <w:t>77</w:t>
            </w:r>
            <w:r w:rsidR="005769E3">
              <w:rPr>
                <w:rFonts w:ascii="Times New Roman" w:hAnsi="Times New Roman"/>
                <w:iCs/>
                <w:color w:val="0D0D0D" w:themeColor="text1" w:themeTint="F2"/>
                <w:sz w:val="22"/>
                <w:szCs w:val="22"/>
              </w:rPr>
              <w:t>.</w:t>
            </w:r>
            <w:r w:rsidR="007733CA">
              <w:rPr>
                <w:rFonts w:ascii="Times New Roman" w:hAnsi="Times New Roman"/>
                <w:iCs/>
                <w:color w:val="0D0D0D" w:themeColor="text1" w:themeTint="F2"/>
                <w:sz w:val="22"/>
                <w:szCs w:val="22"/>
              </w:rPr>
              <w:t>6</w:t>
            </w:r>
            <w:r w:rsidR="005769E3">
              <w:rPr>
                <w:rFonts w:ascii="Times New Roman" w:hAnsi="Times New Roman"/>
                <w:iCs/>
                <w:color w:val="0D0D0D" w:themeColor="text1" w:themeTint="F2"/>
                <w:sz w:val="22"/>
                <w:szCs w:val="22"/>
              </w:rPr>
              <w:t>00.000</w:t>
            </w:r>
            <w:r w:rsidRPr="00506990">
              <w:rPr>
                <w:rFonts w:ascii="Times New Roman" w:hAnsi="Times New Roman"/>
                <w:iCs/>
                <w:color w:val="0D0D0D" w:themeColor="text1" w:themeTint="F2"/>
                <w:sz w:val="22"/>
                <w:szCs w:val="22"/>
              </w:rPr>
              <w:t xml:space="preserve">.- (pesos </w:t>
            </w:r>
            <w:r w:rsidR="007733CA">
              <w:rPr>
                <w:rFonts w:ascii="Times New Roman" w:hAnsi="Times New Roman"/>
                <w:iCs/>
                <w:color w:val="0D0D0D" w:themeColor="text1" w:themeTint="F2"/>
                <w:sz w:val="22"/>
                <w:szCs w:val="22"/>
              </w:rPr>
              <w:t>ciento setenta y siete</w:t>
            </w:r>
            <w:r w:rsidR="00D447FE">
              <w:rPr>
                <w:rFonts w:ascii="Times New Roman" w:hAnsi="Times New Roman"/>
                <w:iCs/>
                <w:color w:val="0D0D0D" w:themeColor="text1" w:themeTint="F2"/>
                <w:sz w:val="22"/>
                <w:szCs w:val="22"/>
              </w:rPr>
              <w:t xml:space="preserve"> millones</w:t>
            </w:r>
            <w:r w:rsidR="007733CA">
              <w:rPr>
                <w:rFonts w:ascii="Times New Roman" w:hAnsi="Times New Roman"/>
                <w:iCs/>
                <w:color w:val="0D0D0D" w:themeColor="text1" w:themeTint="F2"/>
                <w:sz w:val="22"/>
                <w:szCs w:val="22"/>
              </w:rPr>
              <w:t xml:space="preserve"> seiscientos mil</w:t>
            </w:r>
            <w:r w:rsidRPr="00506990">
              <w:rPr>
                <w:rFonts w:ascii="Times New Roman" w:hAnsi="Times New Roman"/>
                <w:iCs/>
                <w:color w:val="0D0D0D" w:themeColor="text1" w:themeTint="F2"/>
                <w:sz w:val="22"/>
                <w:szCs w:val="22"/>
              </w:rPr>
              <w:t>) con derecho a pagos mensuales de los siguientes Servicios, una vez deducidas las contribuciones al Fondo de Gastos - de corresponder-: (i) en concepto de interés, una tasa</w:t>
            </w:r>
            <w:r w:rsidRPr="0098446E">
              <w:rPr>
                <w:rFonts w:ascii="Times New Roman" w:hAnsi="Times New Roman"/>
              </w:rPr>
              <w:t xml:space="preserve"> </w:t>
            </w:r>
            <w:r w:rsidRPr="00506990">
              <w:rPr>
                <w:rFonts w:ascii="Times New Roman" w:hAnsi="Times New Roman"/>
                <w:iCs/>
                <w:color w:val="0D0D0D" w:themeColor="text1" w:themeTint="F2"/>
                <w:sz w:val="22"/>
                <w:szCs w:val="22"/>
              </w:rPr>
              <w:t xml:space="preserve">variable equivalente a la Tasa BADLAR  </w:t>
            </w:r>
            <w:r w:rsidRPr="000824A0">
              <w:rPr>
                <w:rFonts w:ascii="Times New Roman" w:hAnsi="Times New Roman"/>
                <w:iCs/>
                <w:color w:val="0D0D0D" w:themeColor="text1" w:themeTint="F2"/>
                <w:sz w:val="22"/>
                <w:szCs w:val="22"/>
              </w:rPr>
              <w:t xml:space="preserve">más </w:t>
            </w:r>
            <w:r w:rsidR="000824A0" w:rsidRPr="0067364E">
              <w:rPr>
                <w:rFonts w:ascii="Times New Roman" w:hAnsi="Times New Roman"/>
                <w:b/>
                <w:bCs/>
                <w:iCs/>
                <w:color w:val="0D0D0D" w:themeColor="text1" w:themeTint="F2"/>
                <w:sz w:val="22"/>
                <w:szCs w:val="22"/>
              </w:rPr>
              <w:t>100</w:t>
            </w:r>
            <w:r w:rsidRPr="00506990">
              <w:rPr>
                <w:rFonts w:ascii="Times New Roman" w:hAnsi="Times New Roman"/>
                <w:iCs/>
                <w:color w:val="0D0D0D" w:themeColor="text1" w:themeTint="F2"/>
                <w:sz w:val="22"/>
                <w:szCs w:val="22"/>
              </w:rPr>
              <w:t xml:space="preserve"> puntos básicos anuales, con un mínimo de </w:t>
            </w:r>
            <w:r w:rsidR="000824A0" w:rsidRPr="0067364E">
              <w:rPr>
                <w:rFonts w:ascii="Times New Roman" w:hAnsi="Times New Roman"/>
                <w:b/>
                <w:bCs/>
                <w:iCs/>
                <w:color w:val="0D0D0D" w:themeColor="text1" w:themeTint="F2"/>
                <w:sz w:val="22"/>
                <w:szCs w:val="22"/>
              </w:rPr>
              <w:t>33</w:t>
            </w:r>
            <w:r w:rsidRPr="00506990">
              <w:rPr>
                <w:rFonts w:ascii="Times New Roman" w:hAnsi="Times New Roman"/>
                <w:iCs/>
                <w:color w:val="0D0D0D" w:themeColor="text1" w:themeTint="F2"/>
                <w:sz w:val="22"/>
                <w:szCs w:val="22"/>
              </w:rPr>
              <w:t xml:space="preserve">% nominal anual y con un máximo de </w:t>
            </w:r>
            <w:r w:rsidR="000824A0" w:rsidRPr="0067364E">
              <w:rPr>
                <w:rFonts w:ascii="Times New Roman" w:hAnsi="Times New Roman"/>
                <w:b/>
                <w:bCs/>
                <w:iCs/>
                <w:color w:val="0D0D0D" w:themeColor="text1" w:themeTint="F2"/>
                <w:sz w:val="22"/>
                <w:szCs w:val="22"/>
              </w:rPr>
              <w:t>43</w:t>
            </w:r>
            <w:r w:rsidRPr="00506990">
              <w:rPr>
                <w:rFonts w:ascii="Times New Roman" w:hAnsi="Times New Roman"/>
                <w:iCs/>
                <w:color w:val="0D0D0D" w:themeColor="text1" w:themeTint="F2"/>
                <w:sz w:val="22"/>
                <w:szCs w:val="22"/>
              </w:rPr>
              <w:t xml:space="preserve">% nominal anual, devengado durante el Período de Devengamiento, y (ii) en concepto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 </w:t>
            </w:r>
          </w:p>
          <w:p w14:paraId="1DAFA80A" w14:textId="42F09AA2" w:rsidR="007224C7" w:rsidRPr="00506990" w:rsidRDefault="00B37B6D" w:rsidP="0098446E">
            <w:pPr>
              <w:widowControl w:val="0"/>
              <w:suppressAutoHyphens/>
              <w:autoSpaceDE w:val="0"/>
              <w:autoSpaceDN w:val="0"/>
              <w:rPr>
                <w:rFonts w:ascii="Times New Roman" w:hAnsi="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 en alguna Fecha de Pago de Servicios en la cual corresponda pagar a los VDFA no existieren fondos suficientes para el pago total de los intereses devengados de dicha clase, los intereses devengados impagos se sumarán al saldo impago de capital de los VDFA conforme al art 770 del Código Civil y Comercial de la Nación</w:t>
            </w:r>
          </w:p>
        </w:tc>
      </w:tr>
      <w:tr w:rsidR="00482F96" w:rsidRPr="00506990" w14:paraId="5DFD2AED" w14:textId="77777777" w:rsidTr="00F8107E">
        <w:trPr>
          <w:cantSplit/>
          <w:trHeight w:val="3485"/>
        </w:trPr>
        <w:tc>
          <w:tcPr>
            <w:tcW w:w="2737" w:type="dxa"/>
            <w:tcBorders>
              <w:bottom w:val="single" w:sz="4" w:space="0" w:color="auto"/>
            </w:tcBorders>
          </w:tcPr>
          <w:p w14:paraId="64B8050F"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74AC1627" w14:textId="0AA4C6E9"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Valor nominal equivalente al </w:t>
            </w:r>
            <w:r w:rsidR="00F8622A">
              <w:rPr>
                <w:rFonts w:ascii="Times New Roman" w:hAnsi="Times New Roman"/>
                <w:iCs/>
                <w:color w:val="0D0D0D" w:themeColor="text1" w:themeTint="F2"/>
                <w:sz w:val="22"/>
                <w:szCs w:val="22"/>
              </w:rPr>
              <w:t>11,97</w:t>
            </w:r>
            <w:r w:rsidRPr="00506990">
              <w:rPr>
                <w:rFonts w:ascii="Times New Roman" w:hAnsi="Times New Roman"/>
                <w:iCs/>
                <w:color w:val="0D0D0D" w:themeColor="text1" w:themeTint="F2"/>
                <w:sz w:val="22"/>
                <w:szCs w:val="22"/>
              </w:rPr>
              <w:t xml:space="preserve">% del valor fideicomitido de los Créditos transferidos al Fideicomiso, es decir </w:t>
            </w:r>
            <w:r w:rsidR="00A03450">
              <w:rPr>
                <w:rFonts w:ascii="Times New Roman" w:hAnsi="Times New Roman"/>
                <w:iCs/>
                <w:color w:val="0D0D0D" w:themeColor="text1" w:themeTint="F2"/>
                <w:sz w:val="22"/>
                <w:szCs w:val="22"/>
              </w:rPr>
              <w:t xml:space="preserve">$ </w:t>
            </w:r>
            <w:r w:rsidR="007733CA">
              <w:rPr>
                <w:rFonts w:ascii="Times New Roman" w:hAnsi="Times New Roman"/>
                <w:iCs/>
                <w:color w:val="0D0D0D" w:themeColor="text1" w:themeTint="F2"/>
                <w:sz w:val="22"/>
                <w:szCs w:val="22"/>
              </w:rPr>
              <w:t>24</w:t>
            </w:r>
            <w:r w:rsidR="005769E3">
              <w:rPr>
                <w:rFonts w:ascii="Times New Roman" w:hAnsi="Times New Roman"/>
                <w:iCs/>
                <w:color w:val="0D0D0D" w:themeColor="text1" w:themeTint="F2"/>
                <w:sz w:val="22"/>
                <w:szCs w:val="22"/>
              </w:rPr>
              <w:t>.</w:t>
            </w:r>
            <w:r w:rsidR="007733CA">
              <w:rPr>
                <w:rFonts w:ascii="Times New Roman" w:hAnsi="Times New Roman"/>
                <w:iCs/>
                <w:color w:val="0D0D0D" w:themeColor="text1" w:themeTint="F2"/>
                <w:sz w:val="22"/>
                <w:szCs w:val="22"/>
              </w:rPr>
              <w:t>1</w:t>
            </w:r>
            <w:r w:rsidR="00D447FE">
              <w:rPr>
                <w:rFonts w:ascii="Times New Roman" w:hAnsi="Times New Roman"/>
                <w:iCs/>
                <w:color w:val="0D0D0D" w:themeColor="text1" w:themeTint="F2"/>
                <w:sz w:val="22"/>
                <w:szCs w:val="22"/>
              </w:rPr>
              <w:t>44</w:t>
            </w:r>
            <w:r w:rsidR="005769E3">
              <w:rPr>
                <w:rFonts w:ascii="Times New Roman" w:hAnsi="Times New Roman"/>
                <w:iCs/>
                <w:color w:val="0D0D0D" w:themeColor="text1" w:themeTint="F2"/>
                <w:sz w:val="22"/>
                <w:szCs w:val="22"/>
              </w:rPr>
              <w:t>.</w:t>
            </w:r>
            <w:r w:rsidR="00D447FE">
              <w:rPr>
                <w:rFonts w:ascii="Times New Roman" w:hAnsi="Times New Roman"/>
                <w:iCs/>
                <w:color w:val="0D0D0D" w:themeColor="text1" w:themeTint="F2"/>
                <w:sz w:val="22"/>
                <w:szCs w:val="22"/>
              </w:rPr>
              <w:t>110</w:t>
            </w:r>
            <w:r w:rsidRPr="00506990">
              <w:rPr>
                <w:rFonts w:ascii="Times New Roman" w:hAnsi="Times New Roman"/>
                <w:bCs/>
                <w:iCs/>
                <w:color w:val="0D0D0D" w:themeColor="text1" w:themeTint="F2"/>
                <w:sz w:val="22"/>
                <w:szCs w:val="22"/>
              </w:rPr>
              <w:t>.</w:t>
            </w:r>
            <w:r w:rsidRPr="00506990">
              <w:rPr>
                <w:rFonts w:ascii="Times New Roman" w:hAnsi="Times New Roman"/>
                <w:iCs/>
                <w:color w:val="0D0D0D" w:themeColor="text1" w:themeTint="F2"/>
                <w:sz w:val="22"/>
                <w:szCs w:val="22"/>
              </w:rPr>
              <w:t xml:space="preserve">- (pesos </w:t>
            </w:r>
            <w:r w:rsidR="007733CA">
              <w:rPr>
                <w:rFonts w:ascii="Times New Roman" w:hAnsi="Times New Roman"/>
                <w:iCs/>
                <w:color w:val="0D0D0D" w:themeColor="text1" w:themeTint="F2"/>
                <w:sz w:val="22"/>
                <w:szCs w:val="22"/>
              </w:rPr>
              <w:t>veinticuatro millones ciento</w:t>
            </w:r>
            <w:r w:rsidR="00D447FE">
              <w:rPr>
                <w:rFonts w:ascii="Times New Roman" w:hAnsi="Times New Roman"/>
                <w:iCs/>
                <w:color w:val="0D0D0D" w:themeColor="text1" w:themeTint="F2"/>
                <w:sz w:val="22"/>
                <w:szCs w:val="22"/>
              </w:rPr>
              <w:t xml:space="preserve"> cuarenta y cuatro mil ciento diez</w:t>
            </w:r>
            <w:r w:rsidRPr="00506990">
              <w:rPr>
                <w:rFonts w:ascii="Times New Roman" w:hAnsi="Times New Roman"/>
                <w:iCs/>
                <w:color w:val="0D0D0D" w:themeColor="text1" w:themeTint="F2"/>
                <w:sz w:val="22"/>
                <w:szCs w:val="22"/>
              </w:rPr>
              <w:t>) con derecho a pagos de Servicios mensuales una vez cancelados íntegramente los Servicios de los Valores de Deuda Fiduciaria Clase A y una vez deducidas las contribuciones la Fondo de Gastos - de corresponder-: (i) en concepto de interés, una tasa</w:t>
            </w:r>
            <w:r w:rsidRPr="0098446E">
              <w:rPr>
                <w:rFonts w:ascii="Times New Roman" w:hAnsi="Times New Roman"/>
              </w:rPr>
              <w:t xml:space="preserve"> </w:t>
            </w:r>
            <w:r w:rsidRPr="00506990">
              <w:rPr>
                <w:rFonts w:ascii="Times New Roman" w:hAnsi="Times New Roman"/>
                <w:iCs/>
                <w:color w:val="0D0D0D" w:themeColor="text1" w:themeTint="F2"/>
                <w:sz w:val="22"/>
                <w:szCs w:val="22"/>
              </w:rPr>
              <w:t xml:space="preserve">variable equivalente a la Tasa BADLAR  más </w:t>
            </w:r>
            <w:r w:rsidR="000824A0" w:rsidRPr="001E47E3">
              <w:rPr>
                <w:rFonts w:ascii="Times New Roman" w:hAnsi="Times New Roman"/>
                <w:b/>
                <w:iCs/>
                <w:color w:val="0D0D0D" w:themeColor="text1" w:themeTint="F2"/>
                <w:sz w:val="22"/>
                <w:szCs w:val="22"/>
              </w:rPr>
              <w:t>300</w:t>
            </w:r>
            <w:r w:rsidRPr="00506990">
              <w:rPr>
                <w:rFonts w:ascii="Times New Roman" w:hAnsi="Times New Roman"/>
                <w:iCs/>
                <w:color w:val="0D0D0D" w:themeColor="text1" w:themeTint="F2"/>
                <w:sz w:val="22"/>
                <w:szCs w:val="22"/>
              </w:rPr>
              <w:t xml:space="preserve"> puntos básicos anuales, con un mínimo de </w:t>
            </w:r>
            <w:r w:rsidR="000824A0" w:rsidRPr="001E47E3">
              <w:rPr>
                <w:rFonts w:ascii="Times New Roman" w:hAnsi="Times New Roman"/>
                <w:b/>
                <w:iCs/>
                <w:color w:val="0D0D0D" w:themeColor="text1" w:themeTint="F2"/>
                <w:sz w:val="22"/>
                <w:szCs w:val="22"/>
              </w:rPr>
              <w:t>34</w:t>
            </w:r>
            <w:r w:rsidRPr="001E47E3">
              <w:rPr>
                <w:rFonts w:ascii="Times New Roman" w:hAnsi="Times New Roman"/>
                <w:b/>
                <w:iCs/>
                <w:color w:val="0D0D0D" w:themeColor="text1" w:themeTint="F2"/>
                <w:sz w:val="22"/>
                <w:szCs w:val="22"/>
              </w:rPr>
              <w:t>%</w:t>
            </w:r>
            <w:r w:rsidRPr="00506990">
              <w:rPr>
                <w:rFonts w:ascii="Times New Roman" w:hAnsi="Times New Roman"/>
                <w:iCs/>
                <w:color w:val="0D0D0D" w:themeColor="text1" w:themeTint="F2"/>
                <w:sz w:val="22"/>
                <w:szCs w:val="22"/>
              </w:rPr>
              <w:t xml:space="preserve"> nominal anual y con un máximo de </w:t>
            </w:r>
            <w:r w:rsidR="000824A0" w:rsidRPr="001E47E3">
              <w:rPr>
                <w:rFonts w:ascii="Times New Roman" w:hAnsi="Times New Roman"/>
                <w:b/>
                <w:iCs/>
                <w:color w:val="0D0D0D" w:themeColor="text1" w:themeTint="F2"/>
                <w:sz w:val="22"/>
                <w:szCs w:val="22"/>
              </w:rPr>
              <w:t>44</w:t>
            </w:r>
            <w:r w:rsidRPr="001E47E3">
              <w:rPr>
                <w:rFonts w:ascii="Times New Roman" w:hAnsi="Times New Roman"/>
                <w:b/>
                <w:iCs/>
                <w:color w:val="0D0D0D" w:themeColor="text1" w:themeTint="F2"/>
                <w:sz w:val="22"/>
                <w:szCs w:val="22"/>
              </w:rPr>
              <w:t>%</w:t>
            </w:r>
            <w:r w:rsidRPr="00506990">
              <w:rPr>
                <w:rFonts w:ascii="Times New Roman" w:hAnsi="Times New Roman"/>
                <w:iCs/>
                <w:color w:val="0D0D0D" w:themeColor="text1" w:themeTint="F2"/>
                <w:sz w:val="22"/>
                <w:szCs w:val="22"/>
              </w:rPr>
              <w:t xml:space="preserve"> nominal anual, devengado durante el Período de Devengamiento, y (ii) en concepto de amortización, la Cobranza percibida durante el Período de Devengamiento correspondiente, luego de deducir el interés de la propia Clase. El rendimiento se calculará sobre el valor residual de los VDFB considerando para su cálculo como base un año de 360 días (12 meses de 30 días). </w:t>
            </w:r>
          </w:p>
          <w:p w14:paraId="02A70F28" w14:textId="08DACD75"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Si en alguna Fecha de Pago de Servicios en la cual corresponda pagar a los VDFB no existieren fondos suficientes para el pago total de los intereses devengados de dicha clase, los intereses devengados impagos se sumarán al saldo impago de capital de los VDFB conforme al art 770 del Código Civil y Comercial de la Nación.</w:t>
            </w:r>
            <w:r w:rsidRPr="00506990" w:rsidDel="0052112F">
              <w:rPr>
                <w:rFonts w:ascii="Times New Roman" w:hAnsi="Times New Roman"/>
                <w:iCs/>
                <w:color w:val="0D0D0D" w:themeColor="text1" w:themeTint="F2"/>
                <w:sz w:val="22"/>
                <w:szCs w:val="22"/>
              </w:rPr>
              <w:t xml:space="preserve">  </w:t>
            </w:r>
          </w:p>
        </w:tc>
      </w:tr>
      <w:tr w:rsidR="00F73AF2" w:rsidRPr="003A006D" w14:paraId="11148194" w14:textId="77777777" w:rsidTr="00F73AF2">
        <w:trPr>
          <w:cantSplit/>
          <w:trHeight w:val="287"/>
        </w:trPr>
        <w:tc>
          <w:tcPr>
            <w:tcW w:w="2737" w:type="dxa"/>
          </w:tcPr>
          <w:p w14:paraId="2DAF7BAA"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lastRenderedPageBreak/>
              <w:t>Tasa BADLAR para Bancos Privados o Tasa BADLAR</w:t>
            </w:r>
          </w:p>
        </w:tc>
        <w:tc>
          <w:tcPr>
            <w:tcW w:w="6184" w:type="dxa"/>
          </w:tcPr>
          <w:p w14:paraId="4027F52F" w14:textId="77777777"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Publicaciones y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57F5F067"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7D986DC5" w14:textId="77777777" w:rsidTr="00F8107E">
        <w:trPr>
          <w:cantSplit/>
          <w:trHeight w:val="1919"/>
        </w:trPr>
        <w:tc>
          <w:tcPr>
            <w:tcW w:w="2737" w:type="dxa"/>
          </w:tcPr>
          <w:p w14:paraId="1278EAB2"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5136C5EA" w14:textId="72DD3E0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47F0D7ED" w14:textId="413C4D6C"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s el período transcurrido entre la Fecha de Corte (exclusive) –para el primer Servicio- o desde el primero de mes –para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6E56F2D" w14:textId="77777777">
        <w:trPr>
          <w:cantSplit/>
          <w:trHeight w:val="287"/>
        </w:trPr>
        <w:tc>
          <w:tcPr>
            <w:tcW w:w="2737" w:type="dxa"/>
          </w:tcPr>
          <w:p w14:paraId="568CBE80" w14:textId="4C101C64"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0750DE3"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5A2B20D"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D958ED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1F9BAC0" w14:textId="13FE8E1D"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221B1EBF"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279E9DD1"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0B192602"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747E2885" w14:textId="05B594D3"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2A0CE0E4" w14:textId="77777777" w:rsidTr="006F15A1">
        <w:trPr>
          <w:cantSplit/>
          <w:trHeight w:val="694"/>
        </w:trPr>
        <w:tc>
          <w:tcPr>
            <w:tcW w:w="2737" w:type="dxa"/>
          </w:tcPr>
          <w:p w14:paraId="675EA813" w14:textId="5ED3CE5A" w:rsidR="000157B5" w:rsidRPr="00506990" w:rsidRDefault="000157B5"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Corte</w:t>
            </w:r>
          </w:p>
        </w:tc>
        <w:tc>
          <w:tcPr>
            <w:tcW w:w="6184" w:type="dxa"/>
          </w:tcPr>
          <w:p w14:paraId="3562CADA" w14:textId="6BB662D6" w:rsidR="000157B5" w:rsidRPr="00D840E6" w:rsidRDefault="009462B4" w:rsidP="0067033B">
            <w:pPr>
              <w:suppressAutoHyphens/>
              <w:rPr>
                <w:rStyle w:val="Textoennegrita"/>
                <w:rFonts w:ascii="Times New Roman" w:hAnsi="Times New Roman"/>
                <w:iCs/>
                <w:color w:val="0D0D0D" w:themeColor="text1" w:themeTint="F2"/>
                <w:sz w:val="22"/>
                <w:szCs w:val="22"/>
              </w:rPr>
            </w:pPr>
            <w:r w:rsidRPr="001E47E3">
              <w:rPr>
                <w:rFonts w:ascii="Times New Roman" w:hAnsi="Times New Roman" w:cs="Times New Roman"/>
                <w:bCs/>
                <w:iCs/>
                <w:color w:val="0D0D0D" w:themeColor="text1" w:themeTint="F2"/>
                <w:sz w:val="22"/>
                <w:szCs w:val="22"/>
              </w:rPr>
              <w:t>31</w:t>
            </w:r>
            <w:r w:rsidR="00AC693D" w:rsidRPr="00A03450">
              <w:rPr>
                <w:rFonts w:ascii="Times New Roman" w:hAnsi="Times New Roman" w:cs="Times New Roman"/>
                <w:bCs/>
                <w:iCs/>
                <w:color w:val="0D0D0D" w:themeColor="text1" w:themeTint="F2"/>
                <w:sz w:val="22"/>
                <w:szCs w:val="22"/>
              </w:rPr>
              <w:t xml:space="preserve"> </w:t>
            </w:r>
            <w:r w:rsidR="004D7449" w:rsidRPr="00A03450">
              <w:rPr>
                <w:rFonts w:ascii="Times New Roman" w:hAnsi="Times New Roman" w:cs="Times New Roman"/>
                <w:bCs/>
                <w:iCs/>
                <w:color w:val="0D0D0D" w:themeColor="text1" w:themeTint="F2"/>
                <w:sz w:val="22"/>
                <w:szCs w:val="22"/>
              </w:rPr>
              <w:t xml:space="preserve">de </w:t>
            </w:r>
            <w:r w:rsidRPr="001E47E3">
              <w:rPr>
                <w:rFonts w:ascii="Times New Roman" w:hAnsi="Times New Roman" w:cs="Times New Roman"/>
                <w:bCs/>
                <w:iCs/>
                <w:color w:val="0D0D0D" w:themeColor="text1" w:themeTint="F2"/>
                <w:sz w:val="22"/>
                <w:szCs w:val="22"/>
              </w:rPr>
              <w:t>marzo</w:t>
            </w:r>
            <w:r w:rsidR="00AC693D" w:rsidRPr="00A03450">
              <w:rPr>
                <w:rFonts w:ascii="Times New Roman" w:hAnsi="Times New Roman" w:cs="Times New Roman"/>
                <w:bCs/>
                <w:iCs/>
                <w:color w:val="0D0D0D" w:themeColor="text1" w:themeTint="F2"/>
                <w:sz w:val="22"/>
                <w:szCs w:val="22"/>
              </w:rPr>
              <w:t xml:space="preserve"> </w:t>
            </w:r>
            <w:r w:rsidR="004D7449" w:rsidRPr="00A03450">
              <w:rPr>
                <w:rFonts w:ascii="Times New Roman" w:hAnsi="Times New Roman" w:cs="Times New Roman"/>
                <w:bCs/>
                <w:iCs/>
                <w:color w:val="0D0D0D" w:themeColor="text1" w:themeTint="F2"/>
                <w:sz w:val="22"/>
                <w:szCs w:val="22"/>
              </w:rPr>
              <w:t>de 20</w:t>
            </w:r>
            <w:r w:rsidR="00656C52" w:rsidRPr="00A03450">
              <w:rPr>
                <w:rFonts w:ascii="Times New Roman" w:hAnsi="Times New Roman" w:cs="Times New Roman"/>
                <w:bCs/>
                <w:iCs/>
                <w:color w:val="0D0D0D" w:themeColor="text1" w:themeTint="F2"/>
                <w:sz w:val="22"/>
                <w:szCs w:val="22"/>
              </w:rPr>
              <w:t>20</w:t>
            </w:r>
          </w:p>
        </w:tc>
      </w:tr>
      <w:tr w:rsidR="000157B5" w:rsidRPr="00506990" w14:paraId="0AA012AF" w14:textId="77777777" w:rsidTr="006F15A1">
        <w:trPr>
          <w:cantSplit/>
          <w:trHeight w:val="1818"/>
        </w:trPr>
        <w:tc>
          <w:tcPr>
            <w:tcW w:w="2737" w:type="dxa"/>
          </w:tcPr>
          <w:p w14:paraId="364FA2BB" w14:textId="4F112F5B" w:rsidR="000157B5" w:rsidRPr="00506990" w:rsidRDefault="000157B5">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representados </w:t>
            </w:r>
            <w:r w:rsidRPr="00506990">
              <w:rPr>
                <w:rFonts w:ascii="Times New Roman" w:hAnsi="Times New Roman" w:cs="Times New Roman"/>
                <w:b/>
                <w:bCs/>
                <w:iCs/>
                <w:color w:val="0D0D0D" w:themeColor="text1" w:themeTint="F2"/>
                <w:sz w:val="22"/>
                <w:szCs w:val="22"/>
              </w:rPr>
              <w:t xml:space="preserve">los Valores </w:t>
            </w:r>
            <w:r w:rsidR="00C1102A" w:rsidRPr="00B43F7C">
              <w:rPr>
                <w:rFonts w:ascii="Times New Roman" w:hAnsi="Times New Roman" w:cs="Times New Roman"/>
                <w:b/>
                <w:iCs/>
                <w:color w:val="0D0D0D" w:themeColor="text1" w:themeTint="F2"/>
                <w:sz w:val="22"/>
                <w:szCs w:val="22"/>
                <w:lang w:val="es-AR"/>
              </w:rPr>
              <w:t xml:space="preserve">de Deuda </w:t>
            </w:r>
            <w:r w:rsidR="00B866EE" w:rsidRPr="00B43F7C">
              <w:rPr>
                <w:rFonts w:ascii="Times New Roman" w:hAnsi="Times New Roman" w:cs="Times New Roman"/>
                <w:b/>
                <w:bCs/>
                <w:iCs/>
                <w:color w:val="0D0D0D" w:themeColor="text1" w:themeTint="F2"/>
                <w:sz w:val="22"/>
                <w:szCs w:val="22"/>
                <w:lang w:val="es-AR"/>
              </w:rPr>
              <w:t>Fiduciari</w:t>
            </w:r>
            <w:r w:rsidR="00C1102A" w:rsidRPr="00B43F7C">
              <w:rPr>
                <w:rFonts w:ascii="Times New Roman" w:hAnsi="Times New Roman" w:cs="Times New Roman"/>
                <w:b/>
                <w:bCs/>
                <w:iCs/>
                <w:color w:val="0D0D0D" w:themeColor="text1" w:themeTint="F2"/>
                <w:sz w:val="22"/>
                <w:szCs w:val="22"/>
                <w:lang w:val="es-AR"/>
              </w:rPr>
              <w:t>a</w:t>
            </w:r>
          </w:p>
        </w:tc>
        <w:tc>
          <w:tcPr>
            <w:tcW w:w="6184" w:type="dxa"/>
          </w:tcPr>
          <w:p w14:paraId="2822BA39" w14:textId="77777777"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Certificados Globales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574EF1D3"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2E5B16A" w14:textId="77777777" w:rsidTr="00BD6597">
        <w:trPr>
          <w:cantSplit/>
          <w:trHeight w:val="1559"/>
        </w:trPr>
        <w:tc>
          <w:tcPr>
            <w:tcW w:w="2737" w:type="dxa"/>
          </w:tcPr>
          <w:p w14:paraId="55EC4297" w14:textId="77777777"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r w:rsidR="00747260" w:rsidRPr="00506990">
              <w:rPr>
                <w:rFonts w:ascii="Times New Roman" w:hAnsi="Times New Roman" w:cs="Times New Roman"/>
                <w:b/>
                <w:bCs/>
                <w:iCs/>
                <w:color w:val="0D0D0D" w:themeColor="text1" w:themeTint="F2"/>
                <w:sz w:val="22"/>
                <w:szCs w:val="22"/>
              </w:rPr>
              <w:t>Colocación</w:t>
            </w:r>
            <w:r w:rsidR="00747260" w:rsidRPr="00506990">
              <w:rPr>
                <w:rFonts w:ascii="Times New Roman" w:hAnsi="Times New Roman" w:cs="Times New Roman"/>
                <w:b/>
                <w:color w:val="0D0D0D" w:themeColor="text1" w:themeTint="F2"/>
                <w:sz w:val="22"/>
                <w:szCs w:val="22"/>
              </w:rPr>
              <w:t xml:space="preserve"> </w:t>
            </w:r>
          </w:p>
          <w:p w14:paraId="609971B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9AC1D8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AF55F5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25684C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C2FFA9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7AE47B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401A91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EC0DC5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7D2526B"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AB0B81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893802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DA7652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9E069F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14E69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2D3B4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A47DD7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2092E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552441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00B6B9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12A768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B051EC" w14:textId="63C390DE"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3ABC349E" w14:textId="4DB0D7CB"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Valores </w:t>
            </w:r>
            <w:r w:rsidRPr="00B43F7C">
              <w:rPr>
                <w:rFonts w:ascii="Times New Roman" w:hAnsi="Times New Roman" w:cs="Times New Roman"/>
                <w:iCs/>
                <w:color w:val="0D0D0D" w:themeColor="text1" w:themeTint="F2"/>
                <w:sz w:val="22"/>
                <w:szCs w:val="22"/>
                <w:lang w:val="es-AR"/>
              </w:rPr>
              <w:t xml:space="preserve">de Deuda </w:t>
            </w:r>
            <w:r w:rsidRPr="00B43F7C">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005F07">
              <w:rPr>
                <w:rFonts w:ascii="Times New Roman" w:hAnsi="Times New Roman" w:cs="Times New Roman"/>
                <w:color w:val="0D0D0D" w:themeColor="text1" w:themeTint="F2"/>
                <w:sz w:val="22"/>
                <w:szCs w:val="22"/>
                <w:lang w:val="es-AR"/>
              </w:rPr>
              <w:t>Option</w:t>
            </w:r>
            <w:r w:rsidR="00E23F41"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FD58C4" w:rsidRPr="00506990">
              <w:rPr>
                <w:rFonts w:ascii="Times New Roman" w:hAnsi="Times New Roman" w:cs="Times New Roman"/>
                <w:color w:val="0D0D0D" w:themeColor="text1" w:themeTint="F2"/>
                <w:sz w:val="22"/>
                <w:szCs w:val="22"/>
                <w:lang w:val="es-AR"/>
              </w:rPr>
              <w:t xml:space="preserve"> </w:t>
            </w:r>
            <w:r w:rsidRPr="00506990">
              <w:rPr>
                <w:rFonts w:ascii="Times New Roman" w:hAnsi="Times New Roman" w:cs="Times New Roman"/>
                <w:color w:val="0D0D0D" w:themeColor="text1" w:themeTint="F2"/>
                <w:sz w:val="22"/>
                <w:szCs w:val="22"/>
                <w:lang w:val="es-AR"/>
              </w:rPr>
              <w:t>e INTL CIBSA S.A.,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xml:space="preserve">, como resultado de aplicar el procedimiento denominado “Subasta Holandesa Modificada”. El Mercado Argentino de Valores de S.A. actuará exclusivamente en carácter de Organizador de la Colocación y administrador del sistema 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Valores </w:t>
            </w:r>
            <w:r w:rsidRPr="00B43F7C">
              <w:rPr>
                <w:rFonts w:ascii="Times New Roman" w:hAnsi="Times New Roman" w:cs="Times New Roman"/>
                <w:iCs/>
                <w:color w:val="0D0D0D" w:themeColor="text1" w:themeTint="F2"/>
                <w:sz w:val="22"/>
                <w:szCs w:val="22"/>
                <w:lang w:val="es-AR"/>
              </w:rPr>
              <w:t xml:space="preserve">de Deuda </w:t>
            </w:r>
            <w:r w:rsidRPr="00463985">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NEGOCIACIÓN DE LOS VALORES DE DEUDA </w:t>
            </w:r>
            <w:r w:rsidRPr="00B43F7C">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w:t>
            </w:r>
          </w:p>
          <w:p w14:paraId="45115B74"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16F8BCF5"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1D30D372" w14:textId="6374E818"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45EE3F24"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58438F84"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7C22AC45" w14:textId="77777777" w:rsidTr="00BD6597">
        <w:trPr>
          <w:cantSplit/>
          <w:trHeight w:val="1107"/>
        </w:trPr>
        <w:tc>
          <w:tcPr>
            <w:tcW w:w="2737" w:type="dxa"/>
          </w:tcPr>
          <w:p w14:paraId="3E107B42" w14:textId="706114D4"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14:paraId="1955657A" w14:textId="4259F200" w:rsidR="00BD6597" w:rsidRPr="00506990" w:rsidRDefault="00BD6597">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463985">
              <w:rPr>
                <w:rFonts w:ascii="Times New Roman" w:hAnsi="Times New Roman" w:cs="Times New Roman"/>
                <w:bCs/>
                <w:iCs/>
                <w:color w:val="0D0D0D" w:themeColor="text1" w:themeTint="F2"/>
                <w:sz w:val="22"/>
                <w:szCs w:val="22"/>
                <w:lang w:val="es-AR"/>
              </w:rPr>
              <w:t>Fiduciari</w:t>
            </w:r>
            <w:r w:rsidR="00C1102A"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46D96BAC" w14:textId="77777777" w:rsidTr="00BD6597">
        <w:trPr>
          <w:cantSplit/>
          <w:trHeight w:val="1107"/>
        </w:trPr>
        <w:tc>
          <w:tcPr>
            <w:tcW w:w="2737" w:type="dxa"/>
          </w:tcPr>
          <w:p w14:paraId="3C305DF9" w14:textId="4598385D"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2691EA62" w14:textId="0FA5BF20" w:rsidR="00747260" w:rsidRPr="00506990" w:rsidRDefault="0074726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463985">
              <w:rPr>
                <w:rFonts w:ascii="Times New Roman" w:hAnsi="Times New Roman" w:cs="Times New Roman"/>
                <w:bCs/>
                <w:iCs/>
                <w:color w:val="0D0D0D" w:themeColor="text1" w:themeTint="F2"/>
                <w:sz w:val="22"/>
                <w:szCs w:val="22"/>
                <w:lang w:val="es-AR"/>
              </w:rPr>
              <w:t>Fiduciari</w:t>
            </w:r>
            <w:r w:rsidR="00C1102A"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52726352" w14:textId="77777777">
        <w:trPr>
          <w:cantSplit/>
          <w:trHeight w:val="2246"/>
        </w:trPr>
        <w:tc>
          <w:tcPr>
            <w:tcW w:w="2737" w:type="dxa"/>
          </w:tcPr>
          <w:p w14:paraId="2351305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del Fideicomiso</w:t>
            </w:r>
          </w:p>
        </w:tc>
        <w:tc>
          <w:tcPr>
            <w:tcW w:w="6184" w:type="dxa"/>
          </w:tcPr>
          <w:p w14:paraId="29817299" w14:textId="64A1DFED"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B43F7C">
              <w:rPr>
                <w:rFonts w:ascii="Times New Roman" w:hAnsi="Times New Roman" w:cs="Times New Roman"/>
                <w:bCs/>
                <w:iCs/>
                <w:color w:val="0D0D0D" w:themeColor="text1" w:themeTint="F2"/>
                <w:sz w:val="22"/>
                <w:szCs w:val="22"/>
                <w:lang w:val="es-AR"/>
              </w:rPr>
              <w:t>Fiduciari</w:t>
            </w:r>
            <w:r w:rsidR="00C1102A" w:rsidRPr="00B43F7C">
              <w:rPr>
                <w:rFonts w:ascii="Times New Roman" w:hAnsi="Times New Roman" w:cs="Times New Roman"/>
                <w:bCs/>
                <w:iCs/>
                <w:color w:val="0D0D0D" w:themeColor="text1" w:themeTint="F2"/>
                <w:sz w:val="22"/>
                <w:szCs w:val="22"/>
                <w:lang w:val="es-AR"/>
              </w:rPr>
              <w:t>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7CB8A3D7" w14:textId="65C61F2E" w:rsidR="00F551BF" w:rsidRPr="00506990" w:rsidRDefault="00F551BF" w:rsidP="005B0DDC">
            <w:pPr>
              <w:suppressAutoHyphens/>
              <w:rPr>
                <w:rFonts w:ascii="Times New Roman" w:hAnsi="Times New Roman" w:cs="Times New Roman"/>
                <w:iCs/>
                <w:color w:val="0D0D0D" w:themeColor="text1" w:themeTint="F2"/>
                <w:sz w:val="22"/>
                <w:szCs w:val="22"/>
              </w:rPr>
            </w:pPr>
          </w:p>
        </w:tc>
      </w:tr>
      <w:tr w:rsidR="000157B5" w:rsidRPr="00506990" w14:paraId="6BEA5F1A" w14:textId="77777777" w:rsidTr="00F8107E">
        <w:trPr>
          <w:cantSplit/>
          <w:trHeight w:val="1450"/>
        </w:trPr>
        <w:tc>
          <w:tcPr>
            <w:tcW w:w="2737" w:type="dxa"/>
          </w:tcPr>
          <w:p w14:paraId="4C39BFCD" w14:textId="3BCDD0FD" w:rsidR="000157B5" w:rsidRPr="00506990" w:rsidRDefault="000157B5" w:rsidP="00001A9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Plazo de los Valores  Fiduciari</w:t>
            </w:r>
            <w:r w:rsidR="00001A96" w:rsidRPr="00506990">
              <w:rPr>
                <w:rFonts w:ascii="Times New Roman" w:hAnsi="Times New Roman" w:cs="Times New Roman"/>
                <w:b/>
                <w:bCs/>
                <w:iCs/>
                <w:color w:val="0D0D0D" w:themeColor="text1" w:themeTint="F2"/>
                <w:sz w:val="22"/>
                <w:szCs w:val="22"/>
              </w:rPr>
              <w:t>os</w:t>
            </w:r>
          </w:p>
        </w:tc>
        <w:tc>
          <w:tcPr>
            <w:tcW w:w="6184" w:type="dxa"/>
          </w:tcPr>
          <w:p w14:paraId="6D1579B1" w14:textId="12484676" w:rsidR="000157B5" w:rsidRPr="00506990" w:rsidRDefault="00B866E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p>
        </w:tc>
      </w:tr>
      <w:tr w:rsidR="00482F96" w:rsidRPr="00506990" w14:paraId="00E71ABC" w14:textId="77777777">
        <w:trPr>
          <w:cantSplit/>
          <w:trHeight w:val="692"/>
        </w:trPr>
        <w:tc>
          <w:tcPr>
            <w:tcW w:w="2737" w:type="dxa"/>
          </w:tcPr>
          <w:p w14:paraId="2A647A61"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6BB7AFFB"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0E18F874" w14:textId="77777777" w:rsidTr="00BD6597">
        <w:trPr>
          <w:cantSplit/>
          <w:trHeight w:val="986"/>
        </w:trPr>
        <w:tc>
          <w:tcPr>
            <w:tcW w:w="2737" w:type="dxa"/>
          </w:tcPr>
          <w:p w14:paraId="64D36EC3" w14:textId="075F3D01" w:rsidR="00BD6597" w:rsidRPr="00506990" w:rsidRDefault="00BD6597" w:rsidP="005B1FC2">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Listado</w:t>
            </w:r>
            <w:r w:rsidR="0024476E" w:rsidRPr="00506990">
              <w:rPr>
                <w:rFonts w:ascii="Times New Roman" w:hAnsi="Times New Roman" w:cs="Times New Roman"/>
                <w:b/>
                <w:bCs/>
                <w:iCs/>
                <w:color w:val="0D0D0D" w:themeColor="text1" w:themeTint="F2"/>
                <w:sz w:val="22"/>
                <w:szCs w:val="22"/>
              </w:rPr>
              <w:t xml:space="preserve"> y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1E4D1485" w14:textId="79C3E039" w:rsidR="00BD6597" w:rsidRPr="00506990" w:rsidRDefault="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hAnsi="Times New Roman" w:cs="Times New Roman"/>
                <w:iCs/>
                <w:color w:val="0D0D0D" w:themeColor="text1" w:themeTint="F2"/>
                <w:sz w:val="22"/>
                <w:szCs w:val="22"/>
              </w:rPr>
              <w:t>Fiduciari</w:t>
            </w:r>
            <w:r w:rsidR="00C1102A"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59FF81E" w14:textId="77777777" w:rsidTr="004B600D">
        <w:trPr>
          <w:cantSplit/>
          <w:trHeight w:val="1320"/>
        </w:trPr>
        <w:tc>
          <w:tcPr>
            <w:tcW w:w="2737" w:type="dxa"/>
          </w:tcPr>
          <w:p w14:paraId="20C89862"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4A8AAEB5"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252272EF" w14:textId="69E44D4D" w:rsidR="00747260" w:rsidRPr="00506990" w:rsidRDefault="00747260" w:rsidP="00042BD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hAnsi="Times New Roman" w:cs="Times New Roman"/>
                <w:iCs/>
                <w:color w:val="0D0D0D" w:themeColor="text1" w:themeTint="F2"/>
                <w:sz w:val="22"/>
                <w:szCs w:val="22"/>
              </w:rPr>
              <w:t>Fiduciari</w:t>
            </w:r>
            <w:r w:rsidR="00C1102A"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7437BCDE" w14:textId="77777777">
        <w:trPr>
          <w:cantSplit/>
          <w:trHeight w:val="1592"/>
        </w:trPr>
        <w:tc>
          <w:tcPr>
            <w:tcW w:w="2737" w:type="dxa"/>
          </w:tcPr>
          <w:p w14:paraId="024EB298" w14:textId="09FB0A4C"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14:paraId="39A2A113" w14:textId="7A24C0FF" w:rsidR="00BD6597" w:rsidRPr="00506990" w:rsidRDefault="00BD6597" w:rsidP="00BD6597">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bCs/>
                <w:iCs/>
                <w:color w:val="0D0D0D" w:themeColor="text1" w:themeTint="F2"/>
                <w:sz w:val="22"/>
                <w:szCs w:val="22"/>
              </w:rPr>
              <w:t xml:space="preserve">El </w:t>
            </w:r>
            <w:r w:rsidRPr="00A03450">
              <w:rPr>
                <w:rFonts w:ascii="Times New Roman" w:hAnsi="Times New Roman" w:cs="Times New Roman"/>
                <w:bCs/>
                <w:iCs/>
                <w:color w:val="0D0D0D" w:themeColor="text1" w:themeTint="F2"/>
                <w:sz w:val="22"/>
                <w:szCs w:val="22"/>
              </w:rPr>
              <w:t>día</w:t>
            </w:r>
            <w:r w:rsidR="00BA00CB" w:rsidRPr="00A03450">
              <w:rPr>
                <w:rFonts w:ascii="Times New Roman" w:hAnsi="Times New Roman" w:cs="Times New Roman"/>
                <w:bCs/>
                <w:iCs/>
                <w:color w:val="0D0D0D" w:themeColor="text1" w:themeTint="F2"/>
                <w:sz w:val="22"/>
                <w:szCs w:val="22"/>
              </w:rPr>
              <w:t xml:space="preserve"> </w:t>
            </w:r>
            <w:r w:rsidR="00A03450" w:rsidRPr="001E47E3">
              <w:rPr>
                <w:rFonts w:ascii="Times New Roman" w:hAnsi="Times New Roman" w:cs="Times New Roman"/>
                <w:bCs/>
                <w:iCs/>
                <w:color w:val="0D0D0D" w:themeColor="text1" w:themeTint="F2"/>
                <w:sz w:val="22"/>
                <w:szCs w:val="22"/>
              </w:rPr>
              <w:t>04</w:t>
            </w:r>
            <w:r w:rsidR="00A03450" w:rsidRPr="00A03450">
              <w:rPr>
                <w:rFonts w:ascii="Times New Roman" w:hAnsi="Times New Roman" w:cs="Times New Roman"/>
                <w:bCs/>
                <w:iCs/>
                <w:color w:val="0D0D0D" w:themeColor="text1" w:themeTint="F2"/>
                <w:sz w:val="22"/>
                <w:szCs w:val="22"/>
              </w:rPr>
              <w:t xml:space="preserve"> </w:t>
            </w:r>
            <w:r w:rsidR="00BA00CB" w:rsidRPr="00A03450">
              <w:rPr>
                <w:rFonts w:ascii="Times New Roman" w:hAnsi="Times New Roman" w:cs="Times New Roman"/>
                <w:bCs/>
                <w:iCs/>
                <w:color w:val="0D0D0D" w:themeColor="text1" w:themeTint="F2"/>
                <w:sz w:val="22"/>
                <w:szCs w:val="22"/>
              </w:rPr>
              <w:t xml:space="preserve">de </w:t>
            </w:r>
            <w:r w:rsidR="00A03450" w:rsidRPr="001E47E3">
              <w:rPr>
                <w:rFonts w:ascii="Times New Roman" w:hAnsi="Times New Roman" w:cs="Times New Roman"/>
                <w:bCs/>
                <w:iCs/>
                <w:color w:val="0D0D0D" w:themeColor="text1" w:themeTint="F2"/>
                <w:sz w:val="22"/>
                <w:szCs w:val="22"/>
              </w:rPr>
              <w:t>Marzo</w:t>
            </w:r>
            <w:r w:rsidR="004568CD" w:rsidRPr="001E47E3">
              <w:rPr>
                <w:rFonts w:ascii="Times New Roman" w:hAnsi="Times New Roman" w:cs="Times New Roman"/>
                <w:bCs/>
                <w:iCs/>
                <w:color w:val="0D0D0D" w:themeColor="text1" w:themeTint="F2"/>
                <w:sz w:val="22"/>
                <w:szCs w:val="22"/>
              </w:rPr>
              <w:t xml:space="preserve"> </w:t>
            </w:r>
            <w:r w:rsidRPr="00A03450">
              <w:rPr>
                <w:rFonts w:ascii="Times New Roman" w:hAnsi="Times New Roman" w:cs="Times New Roman"/>
                <w:color w:val="0D0D0D" w:themeColor="text1" w:themeTint="F2"/>
                <w:sz w:val="22"/>
                <w:szCs w:val="22"/>
                <w:lang w:val="es-ES"/>
              </w:rPr>
              <w:t xml:space="preserve">de </w:t>
            </w:r>
            <w:r w:rsidRPr="00506990">
              <w:rPr>
                <w:rFonts w:ascii="Times New Roman" w:hAnsi="Times New Roman" w:cs="Times New Roman"/>
                <w:color w:val="0D0D0D" w:themeColor="text1" w:themeTint="F2"/>
                <w:sz w:val="22"/>
                <w:szCs w:val="22"/>
                <w:lang w:val="es-ES"/>
              </w:rPr>
              <w:t>20</w:t>
            </w:r>
            <w:r w:rsidR="0067033B">
              <w:rPr>
                <w:rFonts w:ascii="Times New Roman" w:hAnsi="Times New Roman" w:cs="Times New Roman"/>
                <w:color w:val="0D0D0D" w:themeColor="text1" w:themeTint="F2"/>
                <w:sz w:val="22"/>
                <w:szCs w:val="22"/>
                <w:lang w:val="es-ES"/>
              </w:rPr>
              <w:t>20</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FIX SCR S.A Agente de Calificación de Riesgo “Afiliada de Fitch Ratings” - Reg. CNV N° 9,</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color w:val="0D0D0D" w:themeColor="text1" w:themeTint="F2"/>
                <w:sz w:val="22"/>
                <w:szCs w:val="22"/>
                <w:lang w:val="es-ES"/>
              </w:rPr>
              <w:t>emitió un informe de calificación mediante el cual se otorgaron las siguientes notas</w:t>
            </w:r>
          </w:p>
          <w:p w14:paraId="2F0A3A15" w14:textId="77777777" w:rsidR="00BD6597" w:rsidRPr="00506990" w:rsidRDefault="00BD6597" w:rsidP="00BD6597">
            <w:pPr>
              <w:suppressAutoHyphens/>
              <w:rPr>
                <w:rFonts w:ascii="Times New Roman" w:hAnsi="Times New Roman" w:cs="Times New Roman"/>
                <w:b/>
                <w:bCs/>
                <w:iCs/>
                <w:color w:val="0D0D0D" w:themeColor="text1" w:themeTint="F2"/>
                <w:sz w:val="22"/>
                <w:szCs w:val="22"/>
              </w:rPr>
            </w:pPr>
          </w:p>
          <w:p w14:paraId="521690E8" w14:textId="3F99E62C" w:rsidR="004568CD" w:rsidRPr="00C91547" w:rsidRDefault="006F15A1" w:rsidP="004568CD">
            <w:pPr>
              <w:pStyle w:val="Default0"/>
              <w:jc w:val="both"/>
              <w:rPr>
                <w:bCs/>
                <w:iCs/>
                <w:color w:val="0D0D0D" w:themeColor="text1" w:themeTint="F2"/>
                <w:sz w:val="22"/>
                <w:szCs w:val="22"/>
              </w:rPr>
            </w:pPr>
            <w:r w:rsidRPr="00506990">
              <w:rPr>
                <w:b/>
                <w:bCs/>
                <w:iCs/>
                <w:color w:val="0D0D0D" w:themeColor="text1" w:themeTint="F2"/>
                <w:sz w:val="22"/>
                <w:szCs w:val="22"/>
              </w:rPr>
              <w:t xml:space="preserve">VDFA: </w:t>
            </w:r>
            <w:r w:rsidR="00D840E6">
              <w:rPr>
                <w:b/>
                <w:bCs/>
                <w:iCs/>
                <w:color w:val="0D0D0D" w:themeColor="text1" w:themeTint="F2"/>
                <w:sz w:val="22"/>
                <w:szCs w:val="22"/>
              </w:rPr>
              <w:t xml:space="preserve">“AAAsf(arg)”: </w:t>
            </w:r>
            <w:r w:rsidR="00A03450" w:rsidRPr="00A03450">
              <w:rPr>
                <w:b/>
                <w:bCs/>
                <w:iCs/>
                <w:color w:val="0D0D0D" w:themeColor="text1" w:themeTint="F2"/>
                <w:sz w:val="22"/>
                <w:szCs w:val="22"/>
              </w:rPr>
              <w:t xml:space="preserve">Categoría AAAsf(arg): “AAA” nacional </w:t>
            </w:r>
            <w:r w:rsidR="00A03450" w:rsidRPr="001E47E3">
              <w:rPr>
                <w:bCs/>
                <w:iCs/>
                <w:color w:val="0D0D0D" w:themeColor="text1" w:themeTint="F2"/>
                <w:sz w:val="22"/>
                <w:szCs w:val="22"/>
              </w:rPr>
              <w:t>implica la máxima calificación asignada por FIX en su escala de calificaciones nacionales del país. Esta calificación se asigna al mejor crédito respecto de otros emisores o emisiones del país</w:t>
            </w:r>
            <w:r w:rsidR="00A03450" w:rsidRPr="00A03450">
              <w:rPr>
                <w:b/>
                <w:bCs/>
                <w:iCs/>
                <w:color w:val="0D0D0D" w:themeColor="text1" w:themeTint="F2"/>
                <w:sz w:val="22"/>
                <w:szCs w:val="22"/>
              </w:rPr>
              <w:t>.</w:t>
            </w:r>
          </w:p>
          <w:p w14:paraId="1863123D" w14:textId="77777777" w:rsidR="004568CD" w:rsidRDefault="004568CD" w:rsidP="00892BBE">
            <w:pPr>
              <w:pStyle w:val="Default0"/>
              <w:jc w:val="both"/>
              <w:rPr>
                <w:b/>
                <w:bCs/>
                <w:iCs/>
                <w:color w:val="0D0D0D" w:themeColor="text1" w:themeTint="F2"/>
                <w:sz w:val="22"/>
                <w:szCs w:val="22"/>
              </w:rPr>
            </w:pPr>
          </w:p>
          <w:p w14:paraId="1DA233EC" w14:textId="69B21ED7" w:rsidR="00A03450" w:rsidRDefault="006F15A1" w:rsidP="00A03450">
            <w:pPr>
              <w:pStyle w:val="Default0"/>
              <w:jc w:val="both"/>
              <w:rPr>
                <w:sz w:val="18"/>
                <w:szCs w:val="18"/>
              </w:rPr>
            </w:pPr>
            <w:r w:rsidRPr="00506990">
              <w:rPr>
                <w:b/>
                <w:bCs/>
                <w:iCs/>
                <w:color w:val="0D0D0D" w:themeColor="text1" w:themeTint="F2"/>
                <w:sz w:val="22"/>
                <w:szCs w:val="22"/>
              </w:rPr>
              <w:t xml:space="preserve">VDFB: </w:t>
            </w:r>
            <w:r w:rsidR="00D840E6">
              <w:rPr>
                <w:b/>
                <w:bCs/>
                <w:iCs/>
                <w:color w:val="0D0D0D" w:themeColor="text1" w:themeTint="F2"/>
                <w:sz w:val="22"/>
                <w:szCs w:val="22"/>
              </w:rPr>
              <w:t xml:space="preserve">“A+sf(arg)”: </w:t>
            </w:r>
            <w:r w:rsidR="00A03450" w:rsidRPr="001E47E3">
              <w:rPr>
                <w:b/>
                <w:bCs/>
                <w:iCs/>
                <w:color w:val="0D0D0D" w:themeColor="text1" w:themeTint="F2"/>
                <w:sz w:val="22"/>
                <w:szCs w:val="22"/>
              </w:rPr>
              <w:t>Categoría Asf(arg): “A” nacional</w:t>
            </w:r>
            <w:r w:rsidR="00A03450" w:rsidRPr="001E47E3">
              <w:rPr>
                <w:bCs/>
                <w:iCs/>
                <w:color w:val="0D0D0D" w:themeColor="text1" w:themeTint="F2"/>
                <w:sz w:val="22"/>
                <w:szCs w:val="22"/>
              </w:rPr>
              <w:t xml:space="preserve">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w:t>
            </w:r>
            <w:r w:rsidR="00A03450">
              <w:rPr>
                <w:sz w:val="18"/>
                <w:szCs w:val="18"/>
              </w:rPr>
              <w:t xml:space="preserve"> </w:t>
            </w:r>
          </w:p>
          <w:p w14:paraId="32E37552" w14:textId="0F3549C7" w:rsidR="00F551BF" w:rsidRDefault="00F551BF" w:rsidP="00A03450">
            <w:pPr>
              <w:pStyle w:val="Default0"/>
              <w:jc w:val="both"/>
              <w:rPr>
                <w:bCs/>
                <w:iCs/>
                <w:color w:val="0D0D0D" w:themeColor="text1" w:themeTint="F2"/>
                <w:sz w:val="22"/>
                <w:szCs w:val="22"/>
              </w:rPr>
            </w:pPr>
          </w:p>
          <w:p w14:paraId="20263123" w14:textId="3E3EDCC0" w:rsidR="00A03450" w:rsidRPr="00506990" w:rsidRDefault="00A03450" w:rsidP="00A03450">
            <w:pPr>
              <w:pStyle w:val="Default0"/>
              <w:jc w:val="both"/>
              <w:rPr>
                <w:color w:val="0D0D0D" w:themeColor="text1" w:themeTint="F2"/>
                <w:sz w:val="22"/>
                <w:szCs w:val="22"/>
              </w:rPr>
            </w:pPr>
            <w:r>
              <w:rPr>
                <w:color w:val="0D0D0D" w:themeColor="text1" w:themeTint="F2"/>
                <w:sz w:val="22"/>
                <w:szCs w:val="22"/>
              </w:rPr>
              <w:t>L</w:t>
            </w:r>
            <w:r w:rsidRPr="00A03450">
              <w:rPr>
                <w:color w:val="0D0D0D" w:themeColor="text1" w:themeTint="F2"/>
                <w:sz w:val="22"/>
                <w:szCs w:val="22"/>
              </w:rPr>
              <w:t>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0FA82A32" w14:textId="77777777">
        <w:trPr>
          <w:cantSplit/>
          <w:trHeight w:val="2073"/>
        </w:trPr>
        <w:tc>
          <w:tcPr>
            <w:tcW w:w="2737" w:type="dxa"/>
          </w:tcPr>
          <w:p w14:paraId="3B10D220" w14:textId="4D4AEB43"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60" w:name="_Toc506982480"/>
            <w:bookmarkStart w:id="61" w:name="_Toc521424865"/>
            <w:bookmarkStart w:id="62" w:name="_Toc20409081"/>
            <w:r w:rsidRPr="00506990">
              <w:rPr>
                <w:rFonts w:ascii="Times New Roman" w:hAnsi="Times New Roman"/>
                <w:iCs/>
                <w:color w:val="0D0D0D" w:themeColor="text1" w:themeTint="F2"/>
                <w:sz w:val="22"/>
                <w:szCs w:val="22"/>
                <w:u w:val="none"/>
              </w:rPr>
              <w:lastRenderedPageBreak/>
              <w:t>Resoluciones Sociales</w:t>
            </w:r>
            <w:bookmarkEnd w:id="60"/>
            <w:bookmarkEnd w:id="61"/>
            <w:bookmarkEnd w:id="62"/>
          </w:p>
          <w:p w14:paraId="5E1A4D2B"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2E98B453" w14:textId="46AE2541" w:rsidR="000157B5" w:rsidRPr="009642D9"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reunión del </w:t>
            </w:r>
            <w:r w:rsidR="002B48F2" w:rsidRPr="00506990">
              <w:rPr>
                <w:rFonts w:ascii="Times New Roman" w:hAnsi="Times New Roman" w:cs="Times New Roman"/>
                <w:iCs/>
                <w:color w:val="0D0D0D" w:themeColor="text1" w:themeTint="F2"/>
                <w:sz w:val="22"/>
                <w:szCs w:val="22"/>
              </w:rPr>
              <w:t>16</w:t>
            </w:r>
            <w:r w:rsidRPr="00506990">
              <w:rPr>
                <w:rFonts w:ascii="Times New Roman" w:hAnsi="Times New Roman" w:cs="Times New Roman"/>
                <w:iCs/>
                <w:color w:val="0D0D0D" w:themeColor="text1" w:themeTint="F2"/>
                <w:sz w:val="22"/>
                <w:szCs w:val="22"/>
              </w:rPr>
              <w:t xml:space="preserve"> de </w:t>
            </w:r>
            <w:r w:rsidR="002B48F2" w:rsidRPr="00506990">
              <w:rPr>
                <w:rFonts w:ascii="Times New Roman" w:hAnsi="Times New Roman" w:cs="Times New Roman"/>
                <w:iCs/>
                <w:color w:val="0D0D0D" w:themeColor="text1" w:themeTint="F2"/>
                <w:sz w:val="22"/>
                <w:szCs w:val="22"/>
              </w:rPr>
              <w:t>noviembre</w:t>
            </w:r>
            <w:r w:rsidRPr="00506990">
              <w:rPr>
                <w:rFonts w:ascii="Times New Roman" w:hAnsi="Times New Roman" w:cs="Times New Roman"/>
                <w:iCs/>
                <w:color w:val="0D0D0D" w:themeColor="text1" w:themeTint="F2"/>
                <w:sz w:val="22"/>
                <w:szCs w:val="22"/>
              </w:rPr>
              <w:t xml:space="preserve"> de 201</w:t>
            </w:r>
            <w:r w:rsidR="002B48F2" w:rsidRPr="00506990">
              <w:rPr>
                <w:rFonts w:ascii="Times New Roman" w:hAnsi="Times New Roman" w:cs="Times New Roman"/>
                <w:iCs/>
                <w:color w:val="0D0D0D" w:themeColor="text1" w:themeTint="F2"/>
                <w:sz w:val="22"/>
                <w:szCs w:val="22"/>
              </w:rPr>
              <w:t>8</w:t>
            </w:r>
            <w:r w:rsidRPr="00506990">
              <w:rPr>
                <w:rFonts w:ascii="Times New Roman" w:hAnsi="Times New Roman" w:cs="Times New Roman"/>
                <w:iCs/>
                <w:color w:val="0D0D0D" w:themeColor="text1" w:themeTint="F2"/>
                <w:sz w:val="22"/>
                <w:szCs w:val="22"/>
              </w:rPr>
              <w:t xml:space="preserve"> y sus condiciones de emisión fueron ratificadas por sus apoderados mediante nota del </w:t>
            </w:r>
            <w:r w:rsidRPr="00C833C1">
              <w:rPr>
                <w:rFonts w:ascii="Times New Roman" w:hAnsi="Times New Roman" w:cs="Times New Roman"/>
                <w:iCs/>
                <w:color w:val="0D0D0D" w:themeColor="text1" w:themeTint="F2"/>
                <w:sz w:val="22"/>
                <w:szCs w:val="22"/>
              </w:rPr>
              <w:t xml:space="preserve">día </w:t>
            </w:r>
            <w:r w:rsidR="00C833C1" w:rsidRPr="001E47E3">
              <w:rPr>
                <w:rFonts w:ascii="Times New Roman" w:hAnsi="Times New Roman" w:cs="Times New Roman"/>
                <w:bCs/>
                <w:iCs/>
                <w:color w:val="0D0D0D" w:themeColor="text1" w:themeTint="F2"/>
                <w:sz w:val="22"/>
                <w:szCs w:val="22"/>
              </w:rPr>
              <w:t>04</w:t>
            </w:r>
            <w:r w:rsidR="00C833C1" w:rsidRPr="00C833C1">
              <w:rPr>
                <w:rFonts w:ascii="Times New Roman" w:hAnsi="Times New Roman" w:cs="Times New Roman"/>
                <w:iCs/>
                <w:color w:val="0D0D0D" w:themeColor="text1" w:themeTint="F2"/>
                <w:sz w:val="22"/>
                <w:szCs w:val="22"/>
              </w:rPr>
              <w:t xml:space="preserve"> </w:t>
            </w:r>
            <w:r w:rsidRPr="009642D9">
              <w:rPr>
                <w:rFonts w:ascii="Times New Roman" w:hAnsi="Times New Roman" w:cs="Times New Roman"/>
                <w:iCs/>
                <w:color w:val="0D0D0D" w:themeColor="text1" w:themeTint="F2"/>
                <w:sz w:val="22"/>
                <w:szCs w:val="22"/>
              </w:rPr>
              <w:t xml:space="preserve">de </w:t>
            </w:r>
            <w:r w:rsidR="00C833C1" w:rsidRPr="001E47E3">
              <w:rPr>
                <w:rFonts w:ascii="Times New Roman" w:hAnsi="Times New Roman" w:cs="Times New Roman"/>
                <w:bCs/>
                <w:iCs/>
                <w:color w:val="0D0D0D" w:themeColor="text1" w:themeTint="F2"/>
                <w:sz w:val="22"/>
                <w:szCs w:val="22"/>
              </w:rPr>
              <w:t>Marzo</w:t>
            </w:r>
            <w:r w:rsidR="00FF3C64" w:rsidRPr="00C833C1">
              <w:rPr>
                <w:rFonts w:ascii="Times New Roman" w:hAnsi="Times New Roman" w:cs="Times New Roman"/>
                <w:bCs/>
                <w:iCs/>
                <w:color w:val="0D0D0D" w:themeColor="text1" w:themeTint="F2"/>
                <w:sz w:val="22"/>
                <w:szCs w:val="22"/>
              </w:rPr>
              <w:t xml:space="preserve"> </w:t>
            </w:r>
            <w:r w:rsidRPr="009642D9">
              <w:rPr>
                <w:rFonts w:ascii="Times New Roman" w:hAnsi="Times New Roman" w:cs="Times New Roman"/>
                <w:iCs/>
                <w:color w:val="0D0D0D" w:themeColor="text1" w:themeTint="F2"/>
                <w:sz w:val="22"/>
                <w:szCs w:val="22"/>
              </w:rPr>
              <w:t xml:space="preserve">de </w:t>
            </w:r>
            <w:r w:rsidR="00FF3C64" w:rsidRPr="009642D9">
              <w:rPr>
                <w:rFonts w:ascii="Times New Roman" w:hAnsi="Times New Roman" w:cs="Times New Roman"/>
                <w:iCs/>
                <w:color w:val="0D0D0D" w:themeColor="text1" w:themeTint="F2"/>
                <w:sz w:val="22"/>
                <w:szCs w:val="22"/>
              </w:rPr>
              <w:t>2020</w:t>
            </w:r>
            <w:r w:rsidR="00FF3C64" w:rsidRPr="00506990">
              <w:rPr>
                <w:rFonts w:ascii="Times New Roman" w:hAnsi="Times New Roman" w:cs="Times New Roman"/>
                <w:iCs/>
                <w:color w:val="0D0D0D" w:themeColor="text1" w:themeTint="F2"/>
                <w:sz w:val="22"/>
                <w:szCs w:val="22"/>
              </w:rPr>
              <w:t xml:space="preserve"> </w:t>
            </w:r>
            <w:r w:rsidR="00813740" w:rsidRPr="00506990">
              <w:rPr>
                <w:rFonts w:ascii="Times New Roman" w:hAnsi="Times New Roman" w:cs="Times New Roman"/>
                <w:iCs/>
                <w:color w:val="0D0D0D" w:themeColor="text1" w:themeTint="F2"/>
                <w:sz w:val="22"/>
                <w:szCs w:val="22"/>
              </w:rPr>
              <w:t xml:space="preserve">y por el directorio de Consumo S.A. en su reunión del </w:t>
            </w:r>
            <w:r w:rsidR="006275F6">
              <w:rPr>
                <w:rFonts w:ascii="Times New Roman" w:hAnsi="Times New Roman" w:cs="Times New Roman"/>
                <w:bCs/>
                <w:iCs/>
                <w:color w:val="0D0D0D" w:themeColor="text1" w:themeTint="F2"/>
                <w:sz w:val="22"/>
                <w:szCs w:val="22"/>
              </w:rPr>
              <w:t xml:space="preserve">16 </w:t>
            </w:r>
            <w:r w:rsidR="00813740" w:rsidRPr="00506990">
              <w:rPr>
                <w:rFonts w:ascii="Times New Roman" w:hAnsi="Times New Roman" w:cs="Times New Roman"/>
                <w:iCs/>
                <w:color w:val="0D0D0D" w:themeColor="text1" w:themeTint="F2"/>
                <w:sz w:val="22"/>
                <w:szCs w:val="22"/>
              </w:rPr>
              <w:t xml:space="preserve">de </w:t>
            </w:r>
            <w:r w:rsidR="006275F6">
              <w:rPr>
                <w:rFonts w:ascii="Times New Roman" w:hAnsi="Times New Roman" w:cs="Times New Roman"/>
                <w:bCs/>
                <w:iCs/>
                <w:color w:val="0D0D0D" w:themeColor="text1" w:themeTint="F2"/>
                <w:sz w:val="22"/>
                <w:szCs w:val="22"/>
              </w:rPr>
              <w:t>noviembre</w:t>
            </w:r>
            <w:r w:rsidR="00813740" w:rsidRPr="00506990">
              <w:rPr>
                <w:rFonts w:ascii="Times New Roman" w:hAnsi="Times New Roman" w:cs="Times New Roman"/>
                <w:iCs/>
                <w:color w:val="0D0D0D" w:themeColor="text1" w:themeTint="F2"/>
                <w:sz w:val="22"/>
                <w:szCs w:val="22"/>
              </w:rPr>
              <w:t xml:space="preserve"> de 2018 y sus condiciones de emisión fueron ratificadas por sus apoderados mediante nota del día </w:t>
            </w:r>
            <w:r w:rsidR="00C833C1" w:rsidRPr="001E47E3">
              <w:rPr>
                <w:rFonts w:ascii="Times New Roman" w:hAnsi="Times New Roman" w:cs="Times New Roman"/>
                <w:bCs/>
                <w:iCs/>
                <w:color w:val="0D0D0D" w:themeColor="text1" w:themeTint="F2"/>
                <w:sz w:val="22"/>
                <w:szCs w:val="22"/>
              </w:rPr>
              <w:t xml:space="preserve">04 </w:t>
            </w:r>
            <w:r w:rsidR="00813740" w:rsidRPr="00C833C1">
              <w:rPr>
                <w:rFonts w:ascii="Times New Roman" w:hAnsi="Times New Roman" w:cs="Times New Roman"/>
                <w:iCs/>
                <w:color w:val="0D0D0D" w:themeColor="text1" w:themeTint="F2"/>
                <w:sz w:val="22"/>
                <w:szCs w:val="22"/>
              </w:rPr>
              <w:t xml:space="preserve">de </w:t>
            </w:r>
            <w:r w:rsidR="00C833C1" w:rsidRPr="001E47E3">
              <w:rPr>
                <w:rFonts w:ascii="Times New Roman" w:hAnsi="Times New Roman" w:cs="Times New Roman"/>
                <w:bCs/>
                <w:iCs/>
                <w:color w:val="0D0D0D" w:themeColor="text1" w:themeTint="F2"/>
                <w:sz w:val="22"/>
                <w:szCs w:val="22"/>
              </w:rPr>
              <w:t>Marzo</w:t>
            </w:r>
            <w:r w:rsidR="00813740" w:rsidRPr="00C833C1">
              <w:rPr>
                <w:rFonts w:ascii="Times New Roman" w:hAnsi="Times New Roman" w:cs="Times New Roman"/>
                <w:bCs/>
                <w:iCs/>
                <w:color w:val="0D0D0D" w:themeColor="text1" w:themeTint="F2"/>
                <w:sz w:val="22"/>
                <w:szCs w:val="22"/>
              </w:rPr>
              <w:t xml:space="preserve"> </w:t>
            </w:r>
            <w:r w:rsidR="00813740" w:rsidRPr="00C833C1">
              <w:rPr>
                <w:rFonts w:ascii="Times New Roman" w:hAnsi="Times New Roman" w:cs="Times New Roman"/>
                <w:iCs/>
                <w:color w:val="0D0D0D" w:themeColor="text1" w:themeTint="F2"/>
                <w:sz w:val="22"/>
                <w:szCs w:val="22"/>
              </w:rPr>
              <w:t>de 20</w:t>
            </w:r>
            <w:r w:rsidR="0067033B" w:rsidRPr="00C833C1">
              <w:rPr>
                <w:rFonts w:ascii="Times New Roman" w:hAnsi="Times New Roman" w:cs="Times New Roman"/>
                <w:iCs/>
                <w:color w:val="0D0D0D" w:themeColor="text1" w:themeTint="F2"/>
                <w:sz w:val="22"/>
                <w:szCs w:val="22"/>
              </w:rPr>
              <w:t>20</w:t>
            </w:r>
            <w:r w:rsidR="00813740" w:rsidRPr="009642D9">
              <w:rPr>
                <w:rFonts w:ascii="Times New Roman" w:hAnsi="Times New Roman" w:cs="Times New Roman"/>
                <w:iCs/>
                <w:color w:val="0D0D0D" w:themeColor="text1" w:themeTint="F2"/>
                <w:sz w:val="22"/>
                <w:szCs w:val="22"/>
              </w:rPr>
              <w:t>.</w:t>
            </w:r>
          </w:p>
          <w:p w14:paraId="334AACDE" w14:textId="77777777" w:rsidR="000157B5" w:rsidRPr="00506990" w:rsidRDefault="000157B5" w:rsidP="000157B5">
            <w:pPr>
              <w:suppressAutoHyphens/>
              <w:rPr>
                <w:rFonts w:ascii="Times New Roman" w:hAnsi="Times New Roman" w:cs="Times New Roman"/>
                <w:iCs/>
                <w:color w:val="0D0D0D" w:themeColor="text1" w:themeTint="F2"/>
                <w:sz w:val="22"/>
                <w:szCs w:val="22"/>
              </w:rPr>
            </w:pPr>
          </w:p>
          <w:p w14:paraId="52D69CE2" w14:textId="21D81977" w:rsidR="000157B5" w:rsidRPr="0063309F"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su reunión </w:t>
            </w:r>
            <w:r w:rsidRPr="00D840E6">
              <w:rPr>
                <w:rFonts w:ascii="Times New Roman" w:hAnsi="Times New Roman" w:cs="Times New Roman"/>
                <w:iCs/>
                <w:color w:val="0D0D0D" w:themeColor="text1" w:themeTint="F2"/>
                <w:sz w:val="22"/>
                <w:szCs w:val="22"/>
              </w:rPr>
              <w:t>del</w:t>
            </w:r>
            <w:r w:rsidRPr="001E47E3">
              <w:rPr>
                <w:rFonts w:ascii="Times New Roman" w:hAnsi="Times New Roman" w:cs="Times New Roman"/>
                <w:iCs/>
                <w:color w:val="0D0D0D" w:themeColor="text1" w:themeTint="F2"/>
                <w:sz w:val="22"/>
                <w:szCs w:val="22"/>
              </w:rPr>
              <w:t xml:space="preserve"> </w:t>
            </w:r>
            <w:r w:rsidR="00FF3C64" w:rsidRPr="001E47E3">
              <w:rPr>
                <w:rFonts w:ascii="Times New Roman" w:hAnsi="Times New Roman" w:cs="Times New Roman"/>
                <w:bCs/>
                <w:iCs/>
                <w:color w:val="0D0D0D" w:themeColor="text1" w:themeTint="F2"/>
                <w:sz w:val="22"/>
                <w:szCs w:val="22"/>
              </w:rPr>
              <w:t xml:space="preserve">27 </w:t>
            </w:r>
            <w:r w:rsidRPr="00D840E6">
              <w:rPr>
                <w:rFonts w:ascii="Times New Roman" w:hAnsi="Times New Roman" w:cs="Times New Roman"/>
                <w:iCs/>
                <w:color w:val="0D0D0D" w:themeColor="text1" w:themeTint="F2"/>
                <w:sz w:val="22"/>
                <w:szCs w:val="22"/>
              </w:rPr>
              <w:t xml:space="preserve">de </w:t>
            </w:r>
            <w:r w:rsidR="00FF3C64" w:rsidRPr="001E47E3">
              <w:rPr>
                <w:rFonts w:ascii="Times New Roman" w:hAnsi="Times New Roman" w:cs="Times New Roman"/>
                <w:bCs/>
                <w:iCs/>
                <w:color w:val="0D0D0D" w:themeColor="text1" w:themeTint="F2"/>
                <w:sz w:val="22"/>
                <w:szCs w:val="22"/>
              </w:rPr>
              <w:t xml:space="preserve">Enero </w:t>
            </w:r>
            <w:r w:rsidR="00972595" w:rsidRPr="00D840E6">
              <w:rPr>
                <w:rFonts w:ascii="Times New Roman" w:hAnsi="Times New Roman" w:cs="Times New Roman"/>
                <w:bCs/>
                <w:iCs/>
                <w:color w:val="0D0D0D" w:themeColor="text1" w:themeTint="F2"/>
                <w:sz w:val="22"/>
                <w:szCs w:val="22"/>
              </w:rPr>
              <w:t xml:space="preserve"> </w:t>
            </w:r>
            <w:r w:rsidRPr="00D840E6">
              <w:rPr>
                <w:rFonts w:ascii="Times New Roman" w:hAnsi="Times New Roman" w:cs="Times New Roman"/>
                <w:iCs/>
                <w:color w:val="0D0D0D" w:themeColor="text1" w:themeTint="F2"/>
                <w:sz w:val="22"/>
                <w:szCs w:val="22"/>
              </w:rPr>
              <w:t>de 20</w:t>
            </w:r>
            <w:r w:rsidR="00FF3C64" w:rsidRPr="00621C6D">
              <w:rPr>
                <w:rFonts w:ascii="Times New Roman" w:hAnsi="Times New Roman" w:cs="Times New Roman"/>
                <w:iCs/>
                <w:color w:val="0D0D0D" w:themeColor="text1" w:themeTint="F2"/>
                <w:sz w:val="22"/>
                <w:szCs w:val="22"/>
              </w:rPr>
              <w:t>20</w:t>
            </w:r>
            <w:r w:rsidRPr="0063309F">
              <w:rPr>
                <w:rFonts w:ascii="Times New Roman" w:hAnsi="Times New Roman" w:cs="Times New Roman"/>
                <w:iCs/>
                <w:color w:val="0D0D0D" w:themeColor="text1" w:themeTint="F2"/>
                <w:sz w:val="22"/>
                <w:szCs w:val="22"/>
              </w:rPr>
              <w:t xml:space="preserve">. </w:t>
            </w:r>
          </w:p>
          <w:p w14:paraId="320F4A75" w14:textId="77777777" w:rsidR="00BD6597" w:rsidRPr="00506990" w:rsidRDefault="00BD6597">
            <w:pPr>
              <w:rPr>
                <w:rFonts w:ascii="Times New Roman" w:hAnsi="Times New Roman" w:cs="Times New Roman"/>
                <w:color w:val="0D0D0D" w:themeColor="text1" w:themeTint="F2"/>
                <w:sz w:val="22"/>
                <w:szCs w:val="22"/>
              </w:rPr>
            </w:pPr>
          </w:p>
        </w:tc>
      </w:tr>
      <w:tr w:rsidR="00BD6597" w:rsidRPr="00506990" w14:paraId="74A9599C" w14:textId="77777777">
        <w:trPr>
          <w:cantSplit/>
          <w:trHeight w:val="2073"/>
        </w:trPr>
        <w:tc>
          <w:tcPr>
            <w:tcW w:w="2737" w:type="dxa"/>
          </w:tcPr>
          <w:p w14:paraId="09D9927F" w14:textId="65B5891E" w:rsidR="00BD6597" w:rsidRPr="00506990" w:rsidRDefault="00747260">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Normativa aplicable </w:t>
            </w:r>
            <w:r w:rsidR="00BD6597" w:rsidRPr="00506990">
              <w:rPr>
                <w:rFonts w:ascii="Times New Roman" w:hAnsi="Times New Roman" w:cs="Times New Roman"/>
                <w:b/>
                <w:bCs/>
                <w:iCs/>
                <w:color w:val="0D0D0D" w:themeColor="text1" w:themeTint="F2"/>
                <w:sz w:val="22"/>
                <w:szCs w:val="22"/>
              </w:rPr>
              <w:t xml:space="preserve">para suscripción e integración de los </w:t>
            </w:r>
            <w:r w:rsidR="00C1102A" w:rsidRPr="00506990">
              <w:rPr>
                <w:rFonts w:ascii="Times New Roman" w:hAnsi="Times New Roman" w:cs="Times New Roman"/>
                <w:b/>
                <w:bCs/>
                <w:iCs/>
                <w:color w:val="0D0D0D" w:themeColor="text1" w:themeTint="F2"/>
                <w:sz w:val="22"/>
                <w:szCs w:val="22"/>
              </w:rPr>
              <w:t>V</w:t>
            </w:r>
            <w:r w:rsidR="00BD6597" w:rsidRPr="00506990">
              <w:rPr>
                <w:rFonts w:ascii="Times New Roman" w:hAnsi="Times New Roman" w:cs="Times New Roman"/>
                <w:b/>
                <w:bCs/>
                <w:iCs/>
                <w:color w:val="0D0D0D" w:themeColor="text1" w:themeTint="F2"/>
                <w:sz w:val="22"/>
                <w:szCs w:val="22"/>
              </w:rPr>
              <w:t>alores</w:t>
            </w:r>
            <w:r w:rsidR="000C7053" w:rsidRPr="00506990">
              <w:rPr>
                <w:rFonts w:ascii="Times New Roman" w:hAnsi="Times New Roman" w:cs="Times New Roman"/>
                <w:b/>
                <w:bCs/>
                <w:iCs/>
                <w:color w:val="0D0D0D" w:themeColor="text1" w:themeTint="F2"/>
                <w:sz w:val="22"/>
                <w:szCs w:val="22"/>
              </w:rPr>
              <w:t xml:space="preserve"> </w:t>
            </w:r>
            <w:r w:rsidR="00C1102A" w:rsidRPr="00B43F7C">
              <w:rPr>
                <w:rFonts w:ascii="Times New Roman" w:hAnsi="Times New Roman" w:cs="Times New Roman"/>
                <w:b/>
                <w:iCs/>
                <w:color w:val="0D0D0D" w:themeColor="text1" w:themeTint="F2"/>
                <w:sz w:val="22"/>
                <w:szCs w:val="22"/>
                <w:lang w:val="es-AR"/>
              </w:rPr>
              <w:t>de Deuda</w:t>
            </w:r>
            <w:r w:rsidR="00C1102A" w:rsidRPr="00463985">
              <w:rPr>
                <w:rFonts w:ascii="Times New Roman" w:hAnsi="Times New Roman" w:cs="Times New Roman"/>
                <w:iCs/>
                <w:color w:val="0D0D0D" w:themeColor="text1" w:themeTint="F2"/>
                <w:sz w:val="22"/>
                <w:szCs w:val="22"/>
                <w:lang w:val="es-AR"/>
              </w:rPr>
              <w:t xml:space="preserve"> </w:t>
            </w:r>
            <w:r w:rsidR="00C1102A" w:rsidRPr="00506990">
              <w:rPr>
                <w:rFonts w:ascii="Times New Roman" w:hAnsi="Times New Roman" w:cs="Times New Roman"/>
                <w:b/>
                <w:bCs/>
                <w:iCs/>
                <w:color w:val="0D0D0D" w:themeColor="text1" w:themeTint="F2"/>
                <w:sz w:val="22"/>
                <w:szCs w:val="22"/>
              </w:rPr>
              <w:t>F</w:t>
            </w:r>
            <w:r w:rsidR="00B866EE" w:rsidRPr="00506990">
              <w:rPr>
                <w:rFonts w:ascii="Times New Roman" w:hAnsi="Times New Roman" w:cs="Times New Roman"/>
                <w:b/>
                <w:bCs/>
                <w:iCs/>
                <w:color w:val="0D0D0D" w:themeColor="text1" w:themeTint="F2"/>
                <w:sz w:val="22"/>
                <w:szCs w:val="22"/>
              </w:rPr>
              <w:t>iduciari</w:t>
            </w:r>
            <w:r w:rsidR="00C1102A" w:rsidRPr="00506990">
              <w:rPr>
                <w:rFonts w:ascii="Times New Roman" w:hAnsi="Times New Roman" w:cs="Times New Roman"/>
                <w:b/>
                <w:bCs/>
                <w:iCs/>
                <w:color w:val="0D0D0D" w:themeColor="text1" w:themeTint="F2"/>
                <w:sz w:val="22"/>
                <w:szCs w:val="22"/>
              </w:rPr>
              <w:t>a</w:t>
            </w:r>
            <w:r w:rsidR="00BD6597" w:rsidRPr="00506990">
              <w:rPr>
                <w:rFonts w:ascii="Times New Roman" w:hAnsi="Times New Roman" w:cs="Times New Roman"/>
                <w:b/>
                <w:bCs/>
                <w:iCs/>
                <w:color w:val="0D0D0D" w:themeColor="text1" w:themeTint="F2"/>
                <w:sz w:val="22"/>
                <w:szCs w:val="22"/>
              </w:rPr>
              <w:t xml:space="preserve"> con fondos provenientes del exterior.</w:t>
            </w:r>
          </w:p>
        </w:tc>
        <w:tc>
          <w:tcPr>
            <w:tcW w:w="6184" w:type="dxa"/>
          </w:tcPr>
          <w:p w14:paraId="5521C175" w14:textId="08D6DB85" w:rsidR="00425EA1" w:rsidRPr="0098446E" w:rsidRDefault="00540D0D" w:rsidP="00425EA1">
            <w:pPr>
              <w:pStyle w:val="NormalWeb"/>
              <w:widowControl w:val="0"/>
              <w:spacing w:before="0" w:beforeAutospacing="0" w:after="0" w:afterAutospacing="0"/>
              <w:jc w:val="both"/>
              <w:rPr>
                <w:rFonts w:ascii="Times New Roman" w:hAnsi="Times New Roman" w:cs="Times New Roman"/>
                <w:bCs/>
                <w:color w:val="0D0D0D"/>
              </w:rPr>
            </w:pPr>
            <w:r w:rsidRPr="00506990">
              <w:rPr>
                <w:rFonts w:ascii="Times New Roman" w:hAnsi="Times New Roman" w:cs="Times New Roman"/>
                <w:color w:val="0D0D0D" w:themeColor="text1" w:themeTint="F2"/>
                <w:sz w:val="22"/>
                <w:szCs w:val="22"/>
              </w:rPr>
              <w:t xml:space="preserve">Para un detalle de la totalidad de la normativa cambiaria y de mercado de capitales vigente al día de la fecha, se sugiere a los inversores consultar </w:t>
            </w:r>
            <w:r w:rsidR="00425EA1" w:rsidRPr="00506990">
              <w:rPr>
                <w:rFonts w:ascii="Times New Roman" w:hAnsi="Times New Roman" w:cs="Times New Roman"/>
                <w:color w:val="0D0D0D" w:themeColor="text1" w:themeTint="F2"/>
                <w:sz w:val="22"/>
                <w:szCs w:val="22"/>
              </w:rPr>
              <w:t xml:space="preserve">la Comunicación “A” 6244 del BCRA y </w:t>
            </w:r>
            <w:r w:rsidRPr="00506990">
              <w:rPr>
                <w:rFonts w:ascii="Times New Roman" w:hAnsi="Times New Roman" w:cs="Times New Roman"/>
                <w:color w:val="0D0D0D" w:themeColor="text1" w:themeTint="F2"/>
                <w:sz w:val="22"/>
                <w:szCs w:val="22"/>
              </w:rPr>
              <w:t>con sus asesores legales y dar una lectura completa de la misma, a cuyo efecto para mayor información los interesados consultar el sitio web del Ministerio de Hacienda: https://www.argentina.gob.ar/hacienda, Infoleg: http://www.infoleg.gov.ar, Banco Central de la República Argentina: http://www.bcra.gov.ar.</w:t>
            </w:r>
            <w:r w:rsidRPr="00506990" w:rsidDel="002A5A10">
              <w:rPr>
                <w:rFonts w:ascii="Times New Roman" w:hAnsi="Times New Roman" w:cs="Times New Roman"/>
                <w:color w:val="0D0D0D" w:themeColor="text1" w:themeTint="F2"/>
                <w:sz w:val="22"/>
                <w:szCs w:val="22"/>
              </w:rPr>
              <w:t xml:space="preserve"> </w:t>
            </w:r>
          </w:p>
          <w:p w14:paraId="7AD5BC65" w14:textId="6DF055E4"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8B2A2E6" w14:textId="77777777">
        <w:trPr>
          <w:cantSplit/>
          <w:trHeight w:val="2073"/>
        </w:trPr>
        <w:tc>
          <w:tcPr>
            <w:tcW w:w="2737" w:type="dxa"/>
          </w:tcPr>
          <w:p w14:paraId="67076282" w14:textId="77777777" w:rsidR="00275F22" w:rsidRPr="00506990" w:rsidRDefault="00275F22">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Encubrimiento y lavado de activos de origen delictivo.</w:t>
            </w:r>
          </w:p>
          <w:p w14:paraId="215B1402"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3E1B5117" w14:textId="77777777" w:rsidR="00275F22" w:rsidRPr="00506990" w:rsidRDefault="00275F22">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Los inversores deben tener en cuenta las disposiciones contenidas </w:t>
            </w:r>
            <w:r w:rsidR="003C769E" w:rsidRPr="00506990">
              <w:rPr>
                <w:rFonts w:ascii="Times New Roman" w:hAnsi="Times New Roman" w:cs="Times New Roman"/>
                <w:color w:val="0D0D0D" w:themeColor="text1" w:themeTint="F2"/>
                <w:sz w:val="22"/>
                <w:szCs w:val="22"/>
              </w:rPr>
              <w:t>en:</w:t>
            </w:r>
            <w:r w:rsidR="005C255E" w:rsidRPr="00506990">
              <w:rPr>
                <w:rFonts w:ascii="Times New Roman" w:hAnsi="Times New Roman" w:cs="Times New Roman"/>
                <w:color w:val="0D0D0D" w:themeColor="text1" w:themeTint="F2"/>
                <w:sz w:val="22"/>
                <w:szCs w:val="22"/>
              </w:rPr>
              <w:t xml:space="preserve"> a) </w:t>
            </w:r>
            <w:r w:rsidR="00BC4F8D" w:rsidRPr="00506990">
              <w:rPr>
                <w:rFonts w:ascii="Times New Roman" w:hAnsi="Times New Roman" w:cs="Times New Roman"/>
                <w:color w:val="0D0D0D" w:themeColor="text1" w:themeTint="F2"/>
                <w:sz w:val="22"/>
                <w:szCs w:val="22"/>
              </w:rPr>
              <w:t xml:space="preserve">el Código Penal, en especial </w:t>
            </w:r>
            <w:r w:rsidR="00BC4F8D" w:rsidRPr="00506990">
              <w:rPr>
                <w:rFonts w:ascii="Times New Roman" w:hAnsi="Times New Roman" w:cs="Times New Roman"/>
                <w:iCs/>
                <w:color w:val="0D0D0D" w:themeColor="text1" w:themeTint="F2"/>
                <w:sz w:val="22"/>
                <w:szCs w:val="22"/>
              </w:rPr>
              <w:t>el 277</w:t>
            </w:r>
            <w:r w:rsidR="00C40630" w:rsidRPr="00506990">
              <w:rPr>
                <w:rFonts w:ascii="Times New Roman" w:hAnsi="Times New Roman" w:cs="Times New Roman"/>
                <w:iCs/>
                <w:color w:val="0D0D0D" w:themeColor="text1" w:themeTint="F2"/>
                <w:sz w:val="22"/>
                <w:szCs w:val="22"/>
              </w:rPr>
              <w:t xml:space="preserve"> </w:t>
            </w:r>
            <w:r w:rsidR="00BC4F8D" w:rsidRPr="00506990">
              <w:rPr>
                <w:rFonts w:ascii="Times New Roman" w:hAnsi="Times New Roman" w:cs="Times New Roman"/>
                <w:iCs/>
                <w:color w:val="0D0D0D" w:themeColor="text1" w:themeTint="F2"/>
                <w:sz w:val="22"/>
                <w:szCs w:val="22"/>
              </w:rPr>
              <w:t>del Cap</w:t>
            </w:r>
            <w:r w:rsidR="005C255E" w:rsidRPr="00506990">
              <w:rPr>
                <w:rFonts w:ascii="Times New Roman" w:hAnsi="Times New Roman" w:cs="Times New Roman"/>
                <w:iCs/>
                <w:color w:val="0D0D0D" w:themeColor="text1" w:themeTint="F2"/>
                <w:sz w:val="22"/>
                <w:szCs w:val="22"/>
              </w:rPr>
              <w:t>í</w:t>
            </w:r>
            <w:r w:rsidR="00BC4F8D" w:rsidRPr="00506990">
              <w:rPr>
                <w:rFonts w:ascii="Times New Roman" w:hAnsi="Times New Roman" w:cs="Times New Roman"/>
                <w:iCs/>
                <w:color w:val="0D0D0D" w:themeColor="text1" w:themeTint="F2"/>
                <w:sz w:val="22"/>
                <w:szCs w:val="22"/>
              </w:rPr>
              <w:t xml:space="preserve">tulo XIII </w:t>
            </w:r>
            <w:r w:rsidR="00BC4F8D" w:rsidRPr="00506990">
              <w:rPr>
                <w:rFonts w:ascii="Times New Roman" w:hAnsi="Times New Roman" w:cs="Times New Roman"/>
                <w:color w:val="0D0D0D" w:themeColor="text1" w:themeTint="F2"/>
                <w:sz w:val="22"/>
                <w:szCs w:val="22"/>
              </w:rPr>
              <w:t>Encubrimiento y Lavado de Activos de origen delictivo</w:t>
            </w:r>
            <w:r w:rsidR="00BC4F8D" w:rsidRPr="00506990">
              <w:rPr>
                <w:rFonts w:ascii="Times New Roman" w:hAnsi="Times New Roman" w:cs="Times New Roman"/>
                <w:iCs/>
                <w:color w:val="0D0D0D" w:themeColor="text1" w:themeTint="F2"/>
                <w:sz w:val="22"/>
                <w:szCs w:val="22"/>
              </w:rPr>
              <w:t xml:space="preserve"> (b) los artículos 306 y 307 del Título XIII del libro II del mismo Código, relativo al delito </w:t>
            </w:r>
            <w:r w:rsidR="00BC4F8D" w:rsidRPr="00506990">
              <w:rPr>
                <w:rFonts w:ascii="Times New Roman" w:hAnsi="Times New Roman" w:cs="Times New Roman"/>
                <w:color w:val="0D0D0D" w:themeColor="text1" w:themeTint="F2"/>
                <w:sz w:val="22"/>
                <w:szCs w:val="22"/>
              </w:rPr>
              <w:t>contra el orden económico y financiero</w:t>
            </w:r>
            <w:r w:rsidR="003C769E" w:rsidRPr="00506990">
              <w:rPr>
                <w:rFonts w:ascii="Times New Roman" w:hAnsi="Times New Roman" w:cs="Times New Roman"/>
                <w:iCs/>
                <w:color w:val="0D0D0D" w:themeColor="text1" w:themeTint="F2"/>
                <w:sz w:val="22"/>
                <w:szCs w:val="22"/>
              </w:rPr>
              <w:t xml:space="preserve">, </w:t>
            </w:r>
            <w:r w:rsidR="003C769E"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c) la ley 25.246, y (d) las resoluciones de la Unidad de Información Financiera (“UIF”).</w:t>
            </w:r>
          </w:p>
          <w:p w14:paraId="5E4F1FC9" w14:textId="218CCA47" w:rsidR="00275F22" w:rsidRPr="00506990" w:rsidRDefault="00275F22" w:rsidP="00B5479D">
            <w:pPr>
              <w:pStyle w:val="notaalpie"/>
              <w:widowControl w:val="0"/>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El Emisor cumple con todas las disposiciones de</w:t>
            </w:r>
            <w:r w:rsidR="003C769E" w:rsidRPr="00506990">
              <w:rPr>
                <w:rFonts w:ascii="Times New Roman" w:hAnsi="Times New Roman" w:cs="Times New Roman"/>
                <w:iCs/>
                <w:color w:val="0D0D0D" w:themeColor="text1" w:themeTint="F2"/>
                <w:sz w:val="22"/>
                <w:szCs w:val="22"/>
              </w:rPr>
              <w:t> la</w:t>
            </w:r>
            <w:r w:rsidRPr="00506990">
              <w:rPr>
                <w:rFonts w:ascii="Times New Roman" w:hAnsi="Times New Roman" w:cs="Times New Roman"/>
                <w:iCs/>
                <w:color w:val="0D0D0D" w:themeColor="text1" w:themeTint="F2"/>
                <w:sz w:val="22"/>
                <w:szCs w:val="22"/>
              </w:rPr>
              <w:t xml:space="preserve"> ley 25.246 y </w:t>
            </w:r>
            <w:r w:rsidR="003C769E" w:rsidRPr="00506990">
              <w:rPr>
                <w:rFonts w:ascii="Times New Roman" w:hAnsi="Times New Roman" w:cs="Times New Roman"/>
                <w:iCs/>
                <w:color w:val="0D0D0D" w:themeColor="text1" w:themeTint="F2"/>
                <w:sz w:val="22"/>
                <w:szCs w:val="22"/>
              </w:rPr>
              <w:t xml:space="preserve">complementarias </w:t>
            </w:r>
            <w:r w:rsidR="003C769E" w:rsidRPr="00506990">
              <w:rPr>
                <w:rFonts w:ascii="Times New Roman" w:hAnsi="Times New Roman" w:cs="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y con la normativa aplicable sobre lavado de dinero y financiamiento del terrorismo, establecidas por resoluciones de la UIF (en especial las resoluciones 11/2011 -y modificatorias- 68/13, 3/14</w:t>
            </w:r>
            <w:r w:rsidR="00C04297" w:rsidRPr="00506990">
              <w:rPr>
                <w:rFonts w:ascii="Times New Roman" w:hAnsi="Times New Roman" w:cs="Times New Roman"/>
                <w:iCs/>
                <w:color w:val="0D0D0D" w:themeColor="text1" w:themeTint="F2"/>
                <w:sz w:val="22"/>
                <w:szCs w:val="22"/>
              </w:rPr>
              <w:t xml:space="preserve">, </w:t>
            </w:r>
            <w:r w:rsidR="00D253B0" w:rsidRPr="00506990">
              <w:rPr>
                <w:rFonts w:ascii="Times New Roman" w:hAnsi="Times New Roman" w:cs="Times New Roman"/>
                <w:iCs/>
                <w:color w:val="0D0D0D" w:themeColor="text1" w:themeTint="F2"/>
                <w:sz w:val="22"/>
                <w:szCs w:val="22"/>
              </w:rPr>
              <w:t xml:space="preserve">4/17, </w:t>
            </w:r>
            <w:r w:rsidR="0076132E" w:rsidRPr="00506990">
              <w:rPr>
                <w:rFonts w:ascii="Times New Roman" w:hAnsi="Times New Roman" w:cs="Times New Roman"/>
                <w:iCs/>
                <w:color w:val="0D0D0D" w:themeColor="text1" w:themeTint="F2"/>
                <w:sz w:val="22"/>
                <w:szCs w:val="22"/>
              </w:rPr>
              <w:t>156/18</w:t>
            </w:r>
            <w:r w:rsidR="00420D99" w:rsidRPr="00506990">
              <w:rPr>
                <w:rFonts w:ascii="Times New Roman" w:hAnsi="Times New Roman" w:cs="Times New Roman"/>
                <w:iCs/>
                <w:color w:val="0D0D0D" w:themeColor="text1" w:themeTint="F2"/>
                <w:sz w:val="22"/>
                <w:szCs w:val="22"/>
              </w:rPr>
              <w:t xml:space="preserve">, 28/18 </w:t>
            </w:r>
            <w:r w:rsidRPr="00506990">
              <w:rPr>
                <w:rFonts w:ascii="Times New Roman" w:hAnsi="Times New Roman" w:cs="Times New Roman"/>
                <w:iCs/>
                <w:color w:val="0D0D0D" w:themeColor="text1" w:themeTint="F2"/>
                <w:sz w:val="22"/>
                <w:szCs w:val="22"/>
              </w:rPr>
              <w:t xml:space="preserve">y complementarias), que reglamentan las obligaciones emergentes del art. </w:t>
            </w:r>
            <w:smartTag w:uri="urn:schemas-microsoft-com:office:smarttags" w:element="metricconverter">
              <w:smartTagPr>
                <w:attr w:name="ProductID" w:val="21 a"/>
              </w:smartTagPr>
              <w:r w:rsidRPr="00506990">
                <w:rPr>
                  <w:rFonts w:ascii="Times New Roman" w:hAnsi="Times New Roman" w:cs="Times New Roman"/>
                  <w:iCs/>
                  <w:color w:val="0D0D0D" w:themeColor="text1" w:themeTint="F2"/>
                  <w:sz w:val="22"/>
                  <w:szCs w:val="22"/>
                </w:rPr>
                <w:t>21 a</w:t>
              </w:r>
            </w:smartTag>
            <w:r w:rsidRPr="00506990">
              <w:rPr>
                <w:rFonts w:ascii="Times New Roman" w:hAnsi="Times New Roman" w:cs="Times New Roman"/>
                <w:iCs/>
                <w:color w:val="0D0D0D" w:themeColor="text1" w:themeTint="F2"/>
                <w:sz w:val="22"/>
                <w:szCs w:val="22"/>
              </w:rPr>
              <w:t xml:space="preserve">) y b) de la ley mencionada. Todas ellas pueden ser consultadas en </w:t>
            </w:r>
            <w:hyperlink r:id="rId20" w:history="1">
              <w:r w:rsidR="00D253B0" w:rsidRPr="00506990">
                <w:rPr>
                  <w:rStyle w:val="Hipervnculo"/>
                  <w:rFonts w:ascii="Times New Roman" w:hAnsi="Times New Roman"/>
                  <w:iCs/>
                  <w:color w:val="0D0D0D" w:themeColor="text1" w:themeTint="F2"/>
                  <w:sz w:val="22"/>
                  <w:szCs w:val="22"/>
                </w:rPr>
                <w:t>www.argentina.gob.ar</w:t>
              </w:r>
            </w:hyperlink>
            <w:r w:rsidR="00D253B0" w:rsidRPr="00506990">
              <w:rPr>
                <w:rFonts w:ascii="Times New Roman" w:hAnsi="Times New Roman" w:cs="Times New Roman"/>
                <w:iCs/>
                <w:color w:val="0D0D0D" w:themeColor="text1" w:themeTint="F2"/>
                <w:sz w:val="22"/>
                <w:szCs w:val="22"/>
              </w:rPr>
              <w:t>/uif</w:t>
            </w:r>
            <w:r w:rsidRPr="00506990">
              <w:rPr>
                <w:rFonts w:ascii="Times New Roman" w:hAnsi="Times New Roman" w:cs="Times New Roman"/>
                <w:iCs/>
                <w:color w:val="0D0D0D" w:themeColor="text1" w:themeTint="F2"/>
                <w:sz w:val="22"/>
                <w:szCs w:val="22"/>
              </w:rPr>
              <w:t xml:space="preserve">. Asimismo, se da cumplimiento a las disposiciones del Título XI de las NORMAS de la CNV, que pueden ser consultadas en </w:t>
            </w:r>
            <w:hyperlink r:id="rId21" w:history="1">
              <w:r w:rsidR="000650CD" w:rsidRPr="00506990">
                <w:rPr>
                  <w:rStyle w:val="Hipervnculo"/>
                  <w:rFonts w:ascii="Times New Roman" w:hAnsi="Times New Roman"/>
                  <w:sz w:val="21"/>
                  <w:szCs w:val="21"/>
                </w:rPr>
                <w:t>www.cnv.gov.ar</w:t>
              </w:r>
            </w:hyperlink>
            <w:r w:rsidR="000650CD" w:rsidRPr="00780DEA">
              <w:rPr>
                <w:rFonts w:ascii="Times New Roman" w:hAnsi="Times New Roman" w:cs="Times New Roman"/>
                <w:color w:val="0D0D0D" w:themeColor="text1" w:themeTint="F2"/>
                <w:sz w:val="21"/>
                <w:szCs w:val="21"/>
                <w:lang w:val="es-AR"/>
              </w:rPr>
              <w:t>.</w:t>
            </w:r>
          </w:p>
          <w:p w14:paraId="3902BA52" w14:textId="3AFA4C9C" w:rsidR="00BD6597" w:rsidRPr="00506990" w:rsidRDefault="00BD6597" w:rsidP="00D253B0">
            <w:pPr>
              <w:suppressAutoHyphens/>
              <w:rPr>
                <w:rFonts w:ascii="Times New Roman" w:hAnsi="Times New Roman" w:cs="Times New Roman"/>
                <w:iCs/>
                <w:color w:val="0D0D0D" w:themeColor="text1" w:themeTint="F2"/>
                <w:sz w:val="22"/>
                <w:szCs w:val="22"/>
                <w:lang w:val="es-ES"/>
              </w:rPr>
            </w:pPr>
          </w:p>
        </w:tc>
      </w:tr>
      <w:tr w:rsidR="00482F96" w:rsidRPr="00506990" w14:paraId="335B27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6B470B41"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1F87AF42"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4C8F9E33" w14:textId="56CA7B9B" w:rsidR="00337DE5" w:rsidRPr="00506990" w:rsidRDefault="00337DE5" w:rsidP="00B228F5">
      <w:pPr>
        <w:pStyle w:val="Ttulo1"/>
        <w:jc w:val="center"/>
        <w:rPr>
          <w:rFonts w:ascii="Times New Roman" w:hAnsi="Times New Roman"/>
          <w:sz w:val="22"/>
          <w:szCs w:val="22"/>
        </w:rPr>
      </w:pPr>
      <w:bookmarkStart w:id="63" w:name="_1146641627"/>
      <w:bookmarkStart w:id="64" w:name="_1146641743"/>
      <w:bookmarkStart w:id="65" w:name="_1146641749"/>
      <w:bookmarkStart w:id="66" w:name="_1202654729"/>
      <w:bookmarkStart w:id="67" w:name="_1304343542"/>
      <w:bookmarkStart w:id="68" w:name="_1377426471"/>
      <w:bookmarkStart w:id="69" w:name="_1399977466"/>
      <w:bookmarkStart w:id="70" w:name="_1407049096"/>
      <w:bookmarkStart w:id="71" w:name="_1410772041"/>
      <w:bookmarkStart w:id="72" w:name="_1410772077"/>
      <w:bookmarkStart w:id="73" w:name="_1417270314"/>
      <w:bookmarkStart w:id="74" w:name="_1417270482"/>
      <w:bookmarkStart w:id="75" w:name="_1417270488"/>
      <w:bookmarkStart w:id="76" w:name="_1435140550"/>
      <w:bookmarkStart w:id="77" w:name="_Toc521424866"/>
      <w:bookmarkStart w:id="78" w:name="_Toc2040908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7"/>
      <w:bookmarkEnd w:id="78"/>
    </w:p>
    <w:p w14:paraId="3CB4F2E7"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6605A7F0" w14:textId="77777777" w:rsidR="00BF6726" w:rsidRPr="00506990" w:rsidRDefault="00BF6726" w:rsidP="00BF6726">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266514C2" w14:textId="77777777" w:rsidR="00B30B34" w:rsidRPr="00506990" w:rsidRDefault="00B30B34">
      <w:pPr>
        <w:pStyle w:val="Textoindependiente"/>
        <w:rPr>
          <w:rFonts w:ascii="Times New Roman" w:hAnsi="Times New Roman"/>
          <w:iCs/>
          <w:color w:val="0D0D0D" w:themeColor="text1" w:themeTint="F2"/>
          <w:sz w:val="22"/>
          <w:szCs w:val="22"/>
          <w:u w:val="single"/>
        </w:rPr>
      </w:pPr>
    </w:p>
    <w:p w14:paraId="7955D203" w14:textId="6BF8B49F" w:rsidR="006B6B5E" w:rsidRPr="00506990" w:rsidRDefault="000157B5" w:rsidP="00B228F5">
      <w:pPr>
        <w:pStyle w:val="Ttulo1"/>
        <w:jc w:val="center"/>
        <w:rPr>
          <w:rFonts w:ascii="Times New Roman" w:hAnsi="Times New Roman"/>
          <w:sz w:val="22"/>
          <w:szCs w:val="22"/>
        </w:rPr>
      </w:pPr>
      <w:bookmarkStart w:id="79" w:name="_Toc521424868"/>
      <w:bookmarkStart w:id="80" w:name="_Toc20409084"/>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79"/>
      <w:bookmarkEnd w:id="80"/>
      <w:r w:rsidR="009F57D4" w:rsidRPr="00506990">
        <w:rPr>
          <w:rFonts w:ascii="Times New Roman" w:hAnsi="Times New Roman"/>
          <w:sz w:val="22"/>
          <w:szCs w:val="22"/>
        </w:rPr>
        <w:t>S</w:t>
      </w:r>
    </w:p>
    <w:p w14:paraId="6C66A5C3" w14:textId="77777777" w:rsidR="006B6B5E" w:rsidRPr="00506990" w:rsidRDefault="006B6B5E" w:rsidP="006B6B5E">
      <w:pPr>
        <w:widowControl w:val="0"/>
        <w:suppressAutoHyphens/>
        <w:rPr>
          <w:rFonts w:ascii="Times New Roman" w:hAnsi="Times New Roman" w:cs="Times New Roman"/>
          <w:b/>
          <w:bCs/>
          <w:color w:val="0D0D0D" w:themeColor="text1" w:themeTint="F2"/>
          <w:sz w:val="22"/>
          <w:szCs w:val="22"/>
          <w:u w:val="single"/>
        </w:rPr>
      </w:pPr>
    </w:p>
    <w:p w14:paraId="502A05D1" w14:textId="77777777" w:rsidR="00BF6726" w:rsidRPr="00506990" w:rsidRDefault="00BF6726" w:rsidP="00BF6726">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0EDA2049" w14:textId="77777777" w:rsidR="00B30B34" w:rsidRPr="00506990" w:rsidRDefault="00B30B34">
      <w:pPr>
        <w:pStyle w:val="Textoindependiente"/>
        <w:rPr>
          <w:rFonts w:ascii="Times New Roman" w:hAnsi="Times New Roman"/>
          <w:iCs/>
          <w:color w:val="0D0D0D" w:themeColor="text1" w:themeTint="F2"/>
          <w:sz w:val="22"/>
          <w:szCs w:val="22"/>
          <w:u w:val="single"/>
          <w:lang w:val="es-ES"/>
        </w:rPr>
      </w:pPr>
    </w:p>
    <w:p w14:paraId="334BAC08" w14:textId="57632C1A" w:rsidR="000D2637" w:rsidRPr="00506990" w:rsidRDefault="000157B5" w:rsidP="00B228F5">
      <w:pPr>
        <w:pStyle w:val="Ttulo1"/>
        <w:jc w:val="center"/>
        <w:rPr>
          <w:rFonts w:ascii="Times New Roman" w:hAnsi="Times New Roman"/>
          <w:sz w:val="22"/>
          <w:szCs w:val="22"/>
        </w:rPr>
      </w:pPr>
      <w:bookmarkStart w:id="81" w:name="_Toc521424869"/>
      <w:bookmarkStart w:id="82" w:name="_Toc2040908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81"/>
      <w:bookmarkEnd w:id="82"/>
    </w:p>
    <w:p w14:paraId="746E89EC" w14:textId="77777777" w:rsidR="00BD415E" w:rsidRPr="00506990" w:rsidRDefault="00BD415E" w:rsidP="00BD415E">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48067021" w14:textId="77777777" w:rsidR="000C754E" w:rsidRPr="00506990" w:rsidRDefault="000C754E">
      <w:pPr>
        <w:autoSpaceDE w:val="0"/>
        <w:autoSpaceDN w:val="0"/>
        <w:adjustRightInd w:val="0"/>
        <w:jc w:val="center"/>
        <w:rPr>
          <w:rFonts w:ascii="Times New Roman" w:hAnsi="Times New Roman" w:cs="Times New Roman"/>
          <w:bCs/>
          <w:iCs/>
          <w:color w:val="0D0D0D" w:themeColor="text1" w:themeTint="F2"/>
          <w:sz w:val="22"/>
          <w:szCs w:val="22"/>
        </w:rPr>
      </w:pPr>
    </w:p>
    <w:p w14:paraId="7B76DB59" w14:textId="464E5935" w:rsidR="006B6B5E" w:rsidRPr="00506990" w:rsidRDefault="006B6B5E" w:rsidP="00B228F5">
      <w:pPr>
        <w:pStyle w:val="Ttulo1"/>
        <w:jc w:val="center"/>
        <w:rPr>
          <w:rFonts w:ascii="Times New Roman" w:hAnsi="Times New Roman"/>
          <w:sz w:val="22"/>
          <w:szCs w:val="22"/>
        </w:rPr>
      </w:pPr>
      <w:bookmarkStart w:id="83" w:name="_Toc521424870"/>
      <w:bookmarkStart w:id="84" w:name="_Toc20409086"/>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DEL ORGANIZADOR Y ASESOR FINANCIERO</w:t>
      </w:r>
      <w:bookmarkEnd w:id="83"/>
      <w:bookmarkEnd w:id="84"/>
    </w:p>
    <w:p w14:paraId="19C9CE62" w14:textId="77777777" w:rsidR="006B6B5E" w:rsidRPr="00506990" w:rsidRDefault="006B6B5E" w:rsidP="006B6B5E">
      <w:pPr>
        <w:rPr>
          <w:rFonts w:ascii="Times New Roman" w:hAnsi="Times New Roman" w:cs="Times New Roman"/>
          <w:color w:val="0D0D0D" w:themeColor="text1" w:themeTint="F2"/>
          <w:sz w:val="22"/>
          <w:szCs w:val="22"/>
          <w:lang w:val="es-AR"/>
        </w:rPr>
      </w:pPr>
    </w:p>
    <w:p w14:paraId="5A4F5918" w14:textId="77777777" w:rsidR="00BD415E" w:rsidRPr="00506990" w:rsidRDefault="00BD415E" w:rsidP="00BD415E">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239FD8F2" w14:textId="2FE8C0E8" w:rsidR="000D2637" w:rsidRPr="00506990" w:rsidRDefault="00A46B18" w:rsidP="00B228F5">
      <w:pPr>
        <w:pStyle w:val="Ttulo1"/>
        <w:jc w:val="center"/>
        <w:rPr>
          <w:rFonts w:ascii="Times New Roman" w:hAnsi="Times New Roman"/>
          <w:sz w:val="22"/>
          <w:szCs w:val="22"/>
        </w:rPr>
      </w:pPr>
      <w:bookmarkStart w:id="85" w:name="_Toc521424871"/>
      <w:bookmarkStart w:id="86" w:name="_Toc20409087"/>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5"/>
      <w:bookmarkEnd w:id="86"/>
    </w:p>
    <w:p w14:paraId="1E10ABFE" w14:textId="77777777" w:rsidR="00BD415E" w:rsidRDefault="00BD415E" w:rsidP="00BD415E">
      <w:pPr>
        <w:rPr>
          <w:rFonts w:ascii="Times New Roman" w:hAnsi="Times New Roman" w:cs="Times New Roman"/>
          <w:color w:val="0D0D0D" w:themeColor="text1" w:themeTint="F2"/>
          <w:sz w:val="22"/>
          <w:szCs w:val="22"/>
        </w:rPr>
      </w:pPr>
    </w:p>
    <w:p w14:paraId="79DAF1D4" w14:textId="6F68AF0E" w:rsidR="00BD415E" w:rsidRPr="00506990" w:rsidRDefault="00BD415E" w:rsidP="00BD415E">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23AC8752" w14:textId="77777777" w:rsidR="00311E62" w:rsidRPr="00506990" w:rsidRDefault="00311E62">
      <w:pPr>
        <w:spacing w:line="240" w:lineRule="atLeast"/>
        <w:rPr>
          <w:rFonts w:ascii="Times New Roman" w:hAnsi="Times New Roman" w:cs="Times New Roman"/>
          <w:iCs/>
          <w:color w:val="0D0D0D" w:themeColor="text1" w:themeTint="F2"/>
          <w:sz w:val="22"/>
          <w:szCs w:val="22"/>
        </w:rPr>
      </w:pPr>
      <w:bookmarkStart w:id="87" w:name="_DV_M263"/>
      <w:bookmarkStart w:id="88" w:name="_DV_M264"/>
      <w:bookmarkStart w:id="89" w:name="_DV_M265"/>
      <w:bookmarkStart w:id="90" w:name="_DV_M262"/>
      <w:bookmarkStart w:id="91" w:name="_DV_M172"/>
      <w:bookmarkStart w:id="92" w:name="_DV_M173"/>
      <w:bookmarkStart w:id="93" w:name="_DV_M174"/>
      <w:bookmarkStart w:id="94" w:name="_DV_M175"/>
      <w:bookmarkStart w:id="95" w:name="OLE_LINK1"/>
      <w:bookmarkStart w:id="96" w:name="_Hlk153012116"/>
      <w:bookmarkStart w:id="97" w:name="_DV_M518"/>
      <w:bookmarkStart w:id="98" w:name="_DV_M519"/>
      <w:bookmarkStart w:id="99" w:name="_DV_M520"/>
      <w:bookmarkEnd w:id="87"/>
      <w:bookmarkEnd w:id="88"/>
      <w:bookmarkEnd w:id="89"/>
      <w:bookmarkEnd w:id="90"/>
      <w:bookmarkEnd w:id="91"/>
      <w:bookmarkEnd w:id="92"/>
      <w:bookmarkEnd w:id="93"/>
      <w:bookmarkEnd w:id="94"/>
      <w:bookmarkEnd w:id="95"/>
      <w:bookmarkEnd w:id="96"/>
      <w:bookmarkEnd w:id="97"/>
      <w:bookmarkEnd w:id="98"/>
      <w:bookmarkEnd w:id="99"/>
    </w:p>
    <w:p w14:paraId="6078AB35" w14:textId="3D74DA7C" w:rsidR="006B6B5E" w:rsidRPr="00506990" w:rsidRDefault="006B6B5E" w:rsidP="00B228F5">
      <w:pPr>
        <w:pStyle w:val="Ttulo1"/>
        <w:jc w:val="center"/>
        <w:rPr>
          <w:rFonts w:ascii="Times New Roman" w:hAnsi="Times New Roman"/>
          <w:sz w:val="22"/>
          <w:szCs w:val="22"/>
        </w:rPr>
      </w:pPr>
      <w:bookmarkStart w:id="100" w:name="_Toc521424872"/>
      <w:bookmarkStart w:id="101" w:name="_Toc20409088"/>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 DESCRIPCIÓN DEL AGENTE DE CUSTODIA</w:t>
      </w:r>
      <w:bookmarkEnd w:id="100"/>
      <w:bookmarkEnd w:id="101"/>
    </w:p>
    <w:p w14:paraId="3001DC32" w14:textId="77777777" w:rsidR="00F51C68" w:rsidRPr="00506990" w:rsidRDefault="00F51C68" w:rsidP="006B6B5E">
      <w:pPr>
        <w:rPr>
          <w:rFonts w:ascii="Times New Roman" w:hAnsi="Times New Roman" w:cs="Times New Roman"/>
          <w:color w:val="0D0D0D" w:themeColor="text1" w:themeTint="F2"/>
          <w:sz w:val="22"/>
          <w:szCs w:val="22"/>
        </w:rPr>
      </w:pPr>
    </w:p>
    <w:p w14:paraId="25E1213C" w14:textId="77777777" w:rsidR="00BD415E" w:rsidRPr="00506990" w:rsidRDefault="00BD415E" w:rsidP="00BD415E">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74CF3E8C" w14:textId="77777777" w:rsidR="006B6B5E" w:rsidRPr="00506990" w:rsidRDefault="006B6B5E" w:rsidP="006B6B5E">
      <w:pPr>
        <w:rPr>
          <w:rFonts w:ascii="Times New Roman" w:hAnsi="Times New Roman" w:cs="Times New Roman"/>
          <w:iCs/>
          <w:color w:val="0D0D0D" w:themeColor="text1" w:themeTint="F2"/>
          <w:sz w:val="22"/>
          <w:szCs w:val="22"/>
        </w:rPr>
      </w:pPr>
    </w:p>
    <w:p w14:paraId="2CD02C28" w14:textId="46EE9EDD" w:rsidR="000D2637" w:rsidRPr="00506990" w:rsidRDefault="00F74B80" w:rsidP="00B228F5">
      <w:pPr>
        <w:pStyle w:val="Ttulo1"/>
        <w:jc w:val="center"/>
        <w:rPr>
          <w:rFonts w:ascii="Times New Roman" w:hAnsi="Times New Roman"/>
          <w:sz w:val="22"/>
          <w:szCs w:val="22"/>
        </w:rPr>
      </w:pPr>
      <w:bookmarkStart w:id="102" w:name="_Toc521424873"/>
      <w:bookmarkStart w:id="103" w:name="_Toc20409089"/>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102"/>
      <w:bookmarkEnd w:id="103"/>
    </w:p>
    <w:p w14:paraId="24A1302C" w14:textId="77777777" w:rsidR="00BD415E" w:rsidRDefault="00BD415E" w:rsidP="00BD415E">
      <w:pPr>
        <w:rPr>
          <w:rFonts w:ascii="Times New Roman" w:hAnsi="Times New Roman" w:cs="Times New Roman"/>
          <w:color w:val="0D0D0D" w:themeColor="text1" w:themeTint="F2"/>
          <w:sz w:val="22"/>
          <w:szCs w:val="22"/>
        </w:rPr>
      </w:pPr>
    </w:p>
    <w:p w14:paraId="574AC450" w14:textId="49A6F210" w:rsidR="00BD415E" w:rsidRPr="00506990" w:rsidRDefault="00BD415E" w:rsidP="00BD415E">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77459DE1" w14:textId="77777777" w:rsidR="00D253B0" w:rsidRPr="00506990" w:rsidRDefault="00D253B0" w:rsidP="00ED10B6">
      <w:pPr>
        <w:autoSpaceDE w:val="0"/>
        <w:autoSpaceDN w:val="0"/>
        <w:adjustRightInd w:val="0"/>
        <w:rPr>
          <w:rFonts w:ascii="Times New Roman" w:eastAsia="Arial Unicode MS" w:hAnsi="Times New Roman" w:cs="Times New Roman"/>
          <w:b/>
          <w:noProof/>
          <w:color w:val="0D0D0D" w:themeColor="text1" w:themeTint="F2"/>
          <w:sz w:val="22"/>
          <w:szCs w:val="22"/>
        </w:rPr>
      </w:pPr>
    </w:p>
    <w:p w14:paraId="14BDE342" w14:textId="64FE71B2" w:rsidR="00482F96" w:rsidRPr="00506990" w:rsidRDefault="00577C2C" w:rsidP="00B228F5">
      <w:pPr>
        <w:pStyle w:val="Ttulo1"/>
        <w:jc w:val="center"/>
        <w:rPr>
          <w:rFonts w:ascii="Times New Roman" w:hAnsi="Times New Roman"/>
          <w:sz w:val="22"/>
          <w:szCs w:val="22"/>
        </w:rPr>
      </w:pPr>
      <w:bookmarkStart w:id="104" w:name="_Toc521424874"/>
      <w:bookmarkStart w:id="105" w:name="_Toc20409090"/>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4"/>
      <w:bookmarkEnd w:id="105"/>
    </w:p>
    <w:p w14:paraId="267EE661" w14:textId="77777777" w:rsidR="00482F96" w:rsidRPr="00506990" w:rsidRDefault="00482F96" w:rsidP="00B228F5">
      <w:pPr>
        <w:pStyle w:val="Ttulo1"/>
        <w:jc w:val="center"/>
        <w:rPr>
          <w:rFonts w:ascii="Times New Roman" w:hAnsi="Times New Roman"/>
          <w:sz w:val="22"/>
          <w:szCs w:val="22"/>
          <w:lang w:val="es-AR"/>
        </w:rPr>
      </w:pPr>
    </w:p>
    <w:p w14:paraId="2AE5F865" w14:textId="77777777" w:rsidR="00D41078" w:rsidRDefault="00D41078" w:rsidP="00D41078">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Los Bienes Fideicomitidos consisten en Créditos de Consumo y Personales originados por los Fiduciantes, instrumentados en Facturas y Pagarés que fueron endosados 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2F30700F" w14:textId="77777777" w:rsidR="00D41078" w:rsidRDefault="00D41078" w:rsidP="00F74B80">
      <w:pPr>
        <w:rPr>
          <w:rFonts w:ascii="Times New Roman" w:hAnsi="Times New Roman" w:cs="Times New Roman"/>
          <w:iCs/>
          <w:color w:val="0D0D0D" w:themeColor="text1" w:themeTint="F2"/>
          <w:sz w:val="22"/>
          <w:szCs w:val="22"/>
        </w:rPr>
      </w:pPr>
      <w:bookmarkStart w:id="106" w:name="_GoBack"/>
      <w:bookmarkEnd w:id="106"/>
    </w:p>
    <w:p w14:paraId="27075CE3" w14:textId="57657AB0" w:rsidR="00F74B80" w:rsidRPr="0050699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listado de los créditos que integran el haber fideicomitido se adjunta en un </w:t>
      </w:r>
      <w:r w:rsidR="001A74F2">
        <w:rPr>
          <w:rFonts w:ascii="Times New Roman" w:hAnsi="Times New Roman" w:cs="Times New Roman"/>
          <w:iCs/>
          <w:color w:val="0D0D0D" w:themeColor="text1" w:themeTint="F2"/>
          <w:sz w:val="22"/>
          <w:szCs w:val="22"/>
        </w:rPr>
        <w:t>CD</w:t>
      </w:r>
      <w:r w:rsidR="00482D87">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Marca</w:t>
      </w:r>
      <w:r w:rsidRPr="00506990" w:rsidDel="009E3E04">
        <w:rPr>
          <w:rFonts w:ascii="Times New Roman" w:hAnsi="Times New Roman" w:cs="Times New Roman"/>
          <w:color w:val="0D0D0D" w:themeColor="text1" w:themeTint="F2"/>
          <w:sz w:val="22"/>
          <w:szCs w:val="22"/>
          <w:lang w:val="es-MX"/>
        </w:rPr>
        <w:t xml:space="preserve"> </w:t>
      </w:r>
      <w:r w:rsidR="007F182D" w:rsidRPr="00506990">
        <w:rPr>
          <w:rFonts w:ascii="Times New Roman" w:hAnsi="Times New Roman" w:cs="Times New Roman"/>
          <w:bCs/>
          <w:iCs/>
          <w:color w:val="0D0D0D" w:themeColor="text1" w:themeTint="F2"/>
          <w:sz w:val="22"/>
          <w:szCs w:val="22"/>
        </w:rPr>
        <w:t>Verbatim</w:t>
      </w:r>
      <w:r w:rsidR="00F85C06" w:rsidRPr="00506990">
        <w:rPr>
          <w:rFonts w:ascii="Times New Roman" w:hAnsi="Times New Roman" w:cs="Times New Roman"/>
          <w:color w:val="0D0D0D" w:themeColor="text1" w:themeTint="F2"/>
          <w:sz w:val="22"/>
          <w:szCs w:val="22"/>
          <w:lang w:val="es-MX"/>
        </w:rPr>
        <w:t xml:space="preserve"> </w:t>
      </w:r>
      <w:r w:rsidRPr="00506990">
        <w:rPr>
          <w:rFonts w:ascii="Times New Roman" w:hAnsi="Times New Roman" w:cs="Times New Roman"/>
          <w:color w:val="0D0D0D" w:themeColor="text1" w:themeTint="F2"/>
          <w:sz w:val="22"/>
          <w:szCs w:val="22"/>
          <w:lang w:val="es-MX"/>
        </w:rPr>
        <w:t>N°</w:t>
      </w:r>
      <w:r w:rsidR="00B30407" w:rsidRPr="00506990">
        <w:rPr>
          <w:rFonts w:ascii="Times New Roman" w:hAnsi="Times New Roman" w:cs="Times New Roman"/>
          <w:color w:val="0D0D0D" w:themeColor="text1" w:themeTint="F2"/>
          <w:sz w:val="22"/>
          <w:szCs w:val="22"/>
          <w:lang w:val="es-MX"/>
        </w:rPr>
        <w:t xml:space="preserve"> </w:t>
      </w:r>
      <w:r w:rsidR="001A74F2">
        <w:rPr>
          <w:rFonts w:ascii="Times New Roman" w:hAnsi="Times New Roman" w:cs="Times New Roman"/>
          <w:bCs/>
          <w:iCs/>
          <w:color w:val="0D0D0D" w:themeColor="text1" w:themeTint="F2"/>
          <w:sz w:val="22"/>
          <w:szCs w:val="22"/>
          <w:lang w:val="es-AR"/>
        </w:rPr>
        <w:t>TBA711275213H21</w:t>
      </w:r>
      <w:r w:rsidR="00787D0C" w:rsidRPr="00506990">
        <w:rPr>
          <w:rFonts w:ascii="Times New Roman" w:hAnsi="Times New Roman" w:cs="Times New Roman"/>
          <w:color w:val="0D0D0D" w:themeColor="text1" w:themeTint="F2"/>
          <w:sz w:val="22"/>
          <w:szCs w:val="22"/>
          <w:lang w:val="es-MX"/>
        </w:rPr>
        <w:t xml:space="preserve"> </w:t>
      </w:r>
      <w:r w:rsidRPr="00506990">
        <w:rPr>
          <w:rFonts w:ascii="Times New Roman" w:hAnsi="Times New Roman" w:cs="Times New Roman"/>
          <w:color w:val="0D0D0D" w:themeColor="text1" w:themeTint="F2"/>
          <w:sz w:val="22"/>
          <w:szCs w:val="22"/>
        </w:rPr>
        <w:t>que</w:t>
      </w:r>
      <w:r w:rsidRPr="00506990">
        <w:rPr>
          <w:rFonts w:ascii="Times New Roman" w:hAnsi="Times New Roman" w:cs="Times New Roman"/>
          <w:iCs/>
          <w:color w:val="0D0D0D" w:themeColor="text1" w:themeTint="F2"/>
          <w:sz w:val="22"/>
          <w:szCs w:val="22"/>
        </w:rPr>
        <w:t xml:space="preserve"> forman parte integrante del Suplemento de Prospecto y se encuentra a disposición de los inversores en las oficinas del Fiduciario.</w:t>
      </w:r>
    </w:p>
    <w:p w14:paraId="608329DC" w14:textId="77777777" w:rsidR="00F74B80" w:rsidRPr="00506990" w:rsidRDefault="00F74B80" w:rsidP="00F74B80">
      <w:pPr>
        <w:rPr>
          <w:rFonts w:ascii="Times New Roman" w:hAnsi="Times New Roman" w:cs="Times New Roman"/>
          <w:iCs/>
          <w:color w:val="0D0D0D" w:themeColor="text1" w:themeTint="F2"/>
          <w:sz w:val="22"/>
          <w:szCs w:val="22"/>
        </w:rPr>
      </w:pPr>
    </w:p>
    <w:p w14:paraId="22E9BC02" w14:textId="423AE461" w:rsidR="00F74B80" w:rsidRPr="00506990" w:rsidRDefault="00F74B80" w:rsidP="00F74B8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cartera seleccionada que forma parte del presente fideicomiso corresponde a créditos que a la Fecha de Selección no observan atrasos mayores a 30 días y corresponden a operaciones no refinanciadas. La cesión de los Créditos al presente Fideicomiso tuvo lugar</w:t>
      </w:r>
      <w:r w:rsidR="00375FFF">
        <w:rPr>
          <w:rFonts w:ascii="Times New Roman" w:hAnsi="Times New Roman" w:cs="Times New Roman"/>
          <w:color w:val="0D0D0D" w:themeColor="text1" w:themeTint="F2"/>
          <w:sz w:val="22"/>
          <w:szCs w:val="22"/>
        </w:rPr>
        <w:t>: Lote 1</w:t>
      </w:r>
      <w:r w:rsidRPr="00506990">
        <w:rPr>
          <w:rFonts w:ascii="Times New Roman" w:hAnsi="Times New Roman" w:cs="Times New Roman"/>
          <w:color w:val="0D0D0D" w:themeColor="text1" w:themeTint="F2"/>
          <w:sz w:val="22"/>
          <w:szCs w:val="22"/>
        </w:rPr>
        <w:t xml:space="preserve"> en fecha</w:t>
      </w:r>
      <w:r w:rsidR="00E147B0" w:rsidRPr="00506990">
        <w:rPr>
          <w:rFonts w:ascii="Times New Roman" w:hAnsi="Times New Roman" w:cs="Times New Roman"/>
          <w:color w:val="0D0D0D" w:themeColor="text1" w:themeTint="F2"/>
          <w:sz w:val="22"/>
          <w:szCs w:val="22"/>
        </w:rPr>
        <w:t xml:space="preserve"> </w:t>
      </w:r>
      <w:r w:rsidR="00737312">
        <w:rPr>
          <w:rFonts w:ascii="Times New Roman" w:hAnsi="Times New Roman" w:cs="Times New Roman"/>
          <w:bCs/>
          <w:iCs/>
          <w:color w:val="0D0D0D" w:themeColor="text1" w:themeTint="F2"/>
          <w:sz w:val="22"/>
          <w:szCs w:val="22"/>
          <w:lang w:val="es-AR"/>
        </w:rPr>
        <w:t>31</w:t>
      </w:r>
      <w:r w:rsidR="00D014F1">
        <w:rPr>
          <w:rFonts w:ascii="Times New Roman" w:hAnsi="Times New Roman" w:cs="Times New Roman"/>
          <w:b/>
          <w:bCs/>
          <w:iCs/>
          <w:color w:val="0D0D0D" w:themeColor="text1" w:themeTint="F2"/>
          <w:sz w:val="22"/>
          <w:szCs w:val="22"/>
        </w:rPr>
        <w:t xml:space="preserve">de </w:t>
      </w:r>
      <w:r w:rsidR="00737312">
        <w:rPr>
          <w:rFonts w:ascii="Times New Roman" w:hAnsi="Times New Roman" w:cs="Times New Roman"/>
          <w:bCs/>
          <w:iCs/>
          <w:color w:val="0D0D0D" w:themeColor="text1" w:themeTint="F2"/>
          <w:sz w:val="22"/>
          <w:szCs w:val="22"/>
          <w:lang w:val="es-AR"/>
        </w:rPr>
        <w:t>Enero</w:t>
      </w:r>
      <w:r w:rsidR="00D014F1">
        <w:rPr>
          <w:rFonts w:ascii="Times New Roman" w:hAnsi="Times New Roman" w:cs="Times New Roman"/>
          <w:b/>
          <w:bCs/>
          <w:iCs/>
          <w:color w:val="0D0D0D" w:themeColor="text1" w:themeTint="F2"/>
          <w:sz w:val="22"/>
          <w:szCs w:val="22"/>
        </w:rPr>
        <w:t xml:space="preserve"> de </w:t>
      </w:r>
      <w:r w:rsidR="009F462F">
        <w:rPr>
          <w:rFonts w:ascii="Times New Roman" w:hAnsi="Times New Roman" w:cs="Times New Roman"/>
          <w:b/>
          <w:bCs/>
          <w:iCs/>
          <w:color w:val="0D0D0D" w:themeColor="text1" w:themeTint="F2"/>
          <w:sz w:val="22"/>
          <w:szCs w:val="22"/>
        </w:rPr>
        <w:t>2020</w:t>
      </w:r>
      <w:r w:rsidR="00375FFF" w:rsidRPr="00506990">
        <w:rPr>
          <w:rFonts w:ascii="Times New Roman" w:hAnsi="Times New Roman" w:cs="Times New Roman"/>
          <w:color w:val="0D0D0D" w:themeColor="text1" w:themeTint="F2"/>
          <w:sz w:val="22"/>
          <w:szCs w:val="22"/>
        </w:rPr>
        <w:t xml:space="preserve"> sobre cartera analizada al </w:t>
      </w:r>
      <w:r w:rsidR="00375FFF">
        <w:rPr>
          <w:rFonts w:ascii="Times New Roman" w:hAnsi="Times New Roman" w:cs="Times New Roman"/>
          <w:color w:val="0D0D0D" w:themeColor="text1" w:themeTint="F2"/>
          <w:sz w:val="22"/>
          <w:szCs w:val="22"/>
        </w:rPr>
        <w:t>31</w:t>
      </w:r>
      <w:r w:rsidR="00375FFF" w:rsidRPr="00506990">
        <w:rPr>
          <w:rFonts w:ascii="Times New Roman" w:hAnsi="Times New Roman" w:cs="Times New Roman"/>
          <w:color w:val="0D0D0D" w:themeColor="text1" w:themeTint="F2"/>
          <w:sz w:val="22"/>
          <w:szCs w:val="22"/>
        </w:rPr>
        <w:t xml:space="preserve"> de </w:t>
      </w:r>
      <w:r w:rsidR="00375FFF">
        <w:rPr>
          <w:rFonts w:ascii="Times New Roman" w:hAnsi="Times New Roman" w:cs="Times New Roman"/>
          <w:color w:val="0D0D0D" w:themeColor="text1" w:themeTint="F2"/>
          <w:sz w:val="22"/>
          <w:szCs w:val="22"/>
        </w:rPr>
        <w:t>enero</w:t>
      </w:r>
      <w:r w:rsidR="00375FFF" w:rsidRPr="00506990">
        <w:rPr>
          <w:rFonts w:ascii="Times New Roman" w:hAnsi="Times New Roman" w:cs="Times New Roman"/>
          <w:color w:val="0D0D0D" w:themeColor="text1" w:themeTint="F2"/>
          <w:sz w:val="22"/>
          <w:szCs w:val="22"/>
        </w:rPr>
        <w:t xml:space="preserve"> de 20</w:t>
      </w:r>
      <w:r w:rsidR="00375FFF">
        <w:rPr>
          <w:rFonts w:ascii="Times New Roman" w:hAnsi="Times New Roman" w:cs="Times New Roman"/>
          <w:color w:val="0D0D0D" w:themeColor="text1" w:themeTint="F2"/>
          <w:sz w:val="22"/>
          <w:szCs w:val="22"/>
        </w:rPr>
        <w:t>20</w:t>
      </w:r>
      <w:r w:rsidR="00375FFF" w:rsidRPr="001E47E3">
        <w:rPr>
          <w:rFonts w:ascii="Times New Roman" w:hAnsi="Times New Roman" w:cs="Times New Roman"/>
          <w:bCs/>
          <w:iCs/>
          <w:color w:val="0D0D0D" w:themeColor="text1" w:themeTint="F2"/>
          <w:sz w:val="22"/>
          <w:szCs w:val="22"/>
        </w:rPr>
        <w:t>, Lote 2 y Lote 3 en fecha 21 de Febrero de 2020.</w:t>
      </w:r>
      <w:r w:rsidR="00375FFF">
        <w:rPr>
          <w:rFonts w:ascii="Times New Roman" w:hAnsi="Times New Roman" w:cs="Times New Roman"/>
          <w:b/>
          <w:bCs/>
          <w:iCs/>
          <w:color w:val="0D0D0D" w:themeColor="text1" w:themeTint="F2"/>
          <w:sz w:val="22"/>
          <w:szCs w:val="22"/>
        </w:rPr>
        <w:t xml:space="preserve"> </w:t>
      </w:r>
    </w:p>
    <w:p w14:paraId="7BDE5F75" w14:textId="77777777" w:rsidR="00F74B80" w:rsidRPr="00506990" w:rsidRDefault="00F74B80" w:rsidP="00F74B80">
      <w:pPr>
        <w:rPr>
          <w:rFonts w:ascii="Times New Roman" w:hAnsi="Times New Roman" w:cs="Times New Roman"/>
          <w:iCs/>
          <w:color w:val="0D0D0D" w:themeColor="text1" w:themeTint="F2"/>
          <w:sz w:val="22"/>
          <w:szCs w:val="22"/>
        </w:rPr>
      </w:pPr>
    </w:p>
    <w:p w14:paraId="6BA59527" w14:textId="77777777" w:rsidR="00F74B80" w:rsidRPr="00506990" w:rsidRDefault="00F74B80" w:rsidP="00482F96">
      <w:pPr>
        <w:rPr>
          <w:rFonts w:ascii="Times New Roman" w:hAnsi="Times New Roman" w:cs="Times New Roman"/>
          <w:iCs/>
          <w:color w:val="0D0D0D" w:themeColor="text1" w:themeTint="F2"/>
          <w:sz w:val="22"/>
          <w:szCs w:val="22"/>
        </w:rPr>
      </w:pPr>
    </w:p>
    <w:p w14:paraId="3CE61B76" w14:textId="77777777" w:rsidR="00F74B80" w:rsidRPr="00506990"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506990">
        <w:rPr>
          <w:rFonts w:ascii="Times New Roman" w:hAnsi="Times New Roman" w:cs="Times New Roman"/>
          <w:b/>
          <w:bCs/>
          <w:iCs/>
          <w:color w:val="0D0D0D" w:themeColor="text1" w:themeTint="F2"/>
          <w:sz w:val="22"/>
          <w:szCs w:val="22"/>
          <w:u w:val="single"/>
          <w:lang w:val="es-AR"/>
        </w:rPr>
        <w:lastRenderedPageBreak/>
        <w:t>DESCRIPCIÓN DE LAS NORMAS DE ORIGINACIÓN Y COBRANZA DE LOS CRÉDITOS</w:t>
      </w:r>
    </w:p>
    <w:p w14:paraId="62B855C2" w14:textId="77777777" w:rsidR="00F74B80" w:rsidRPr="00506990"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417E8BC1" w14:textId="290C2615" w:rsidR="00CC479E" w:rsidRPr="00506990" w:rsidRDefault="00F74B80" w:rsidP="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BAZAR AVENIDA S.A. </w:t>
      </w:r>
      <w:r w:rsidR="00CC479E" w:rsidRPr="00506990">
        <w:rPr>
          <w:rFonts w:ascii="Times New Roman" w:hAnsi="Times New Roman" w:cs="Times New Roman"/>
          <w:b/>
          <w:color w:val="0D0D0D" w:themeColor="text1" w:themeTint="F2"/>
          <w:sz w:val="22"/>
          <w:szCs w:val="22"/>
        </w:rPr>
        <w:t>–</w:t>
      </w:r>
      <w:r w:rsidRPr="00506990">
        <w:rPr>
          <w:rFonts w:ascii="Times New Roman" w:hAnsi="Times New Roman" w:cs="Times New Roman"/>
          <w:b/>
          <w:color w:val="0D0D0D" w:themeColor="text1" w:themeTint="F2"/>
          <w:sz w:val="22"/>
          <w:szCs w:val="22"/>
        </w:rPr>
        <w:t xml:space="preserve"> </w:t>
      </w:r>
    </w:p>
    <w:p w14:paraId="0796EC1D" w14:textId="77777777" w:rsidR="00CC479E" w:rsidRPr="0098446E" w:rsidRDefault="00CC479E" w:rsidP="0098446E">
      <w:pPr>
        <w:spacing w:after="200"/>
        <w:rPr>
          <w:rFonts w:ascii="Times New Roman" w:hAnsi="Times New Roman" w:cs="Times New Roman"/>
          <w:color w:val="0D0D0D" w:themeColor="text1" w:themeTint="F2"/>
          <w:sz w:val="22"/>
          <w:szCs w:val="22"/>
        </w:rPr>
      </w:pPr>
    </w:p>
    <w:p w14:paraId="54BECFCA" w14:textId="5510FBC1" w:rsidR="00F74B80" w:rsidRPr="00506990" w:rsidRDefault="00F74B80" w:rsidP="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NORMAS DE ORIGINACIÓN – financiación de electrodomésticos</w:t>
      </w:r>
    </w:p>
    <w:p w14:paraId="373649D5" w14:textId="77777777" w:rsidR="00F74B80" w:rsidRPr="00506990" w:rsidRDefault="00F74B80" w:rsidP="00F74B80">
      <w:pPr>
        <w:rPr>
          <w:rFonts w:ascii="Times New Roman" w:hAnsi="Times New Roman" w:cs="Times New Roman"/>
          <w:b/>
          <w:color w:val="0D0D0D" w:themeColor="text1" w:themeTint="F2"/>
          <w:sz w:val="22"/>
          <w:szCs w:val="22"/>
          <w:u w:val="single"/>
        </w:rPr>
      </w:pPr>
    </w:p>
    <w:p w14:paraId="38BB34DD" w14:textId="77777777" w:rsidR="00F74B80" w:rsidRPr="00506990" w:rsidRDefault="00F74B80" w:rsidP="00F74B80">
      <w:pPr>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Requisitos de otorgamiento de los créditos</w:t>
      </w:r>
    </w:p>
    <w:p w14:paraId="00E7DCE1" w14:textId="77777777" w:rsidR="00F74B80" w:rsidRPr="00506990" w:rsidRDefault="00F74B80" w:rsidP="00270AFD">
      <w:pPr>
        <w:pStyle w:val="Prrafodelista"/>
        <w:numPr>
          <w:ilvl w:val="0"/>
          <w:numId w:val="5"/>
        </w:numPr>
        <w:spacing w:before="360" w:after="120"/>
        <w:ind w:left="357" w:hanging="357"/>
        <w:contextualSpacing w:val="0"/>
        <w:jc w:val="both"/>
        <w:rPr>
          <w:color w:val="0D0D0D" w:themeColor="text1" w:themeTint="F2"/>
          <w:sz w:val="22"/>
          <w:szCs w:val="22"/>
          <w:lang w:val="es-ES_tradnl"/>
        </w:rPr>
      </w:pPr>
      <w:r w:rsidRPr="00506990">
        <w:rPr>
          <w:color w:val="0D0D0D" w:themeColor="text1" w:themeTint="F2"/>
          <w:sz w:val="22"/>
          <w:szCs w:val="22"/>
          <w:lang w:val="es-ES_tradnl"/>
        </w:rPr>
        <w:t>Capacidad</w:t>
      </w:r>
    </w:p>
    <w:p w14:paraId="5A114801" w14:textId="77777777" w:rsidR="00F74B80" w:rsidRPr="00506990" w:rsidRDefault="00F74B80" w:rsidP="00270AFD">
      <w:pPr>
        <w:pStyle w:val="Prrafodelista"/>
        <w:numPr>
          <w:ilvl w:val="0"/>
          <w:numId w:val="6"/>
        </w:numPr>
        <w:spacing w:after="200"/>
        <w:jc w:val="both"/>
        <w:rPr>
          <w:color w:val="0D0D0D" w:themeColor="text1" w:themeTint="F2"/>
          <w:sz w:val="22"/>
          <w:szCs w:val="22"/>
          <w:lang w:val="es-ES_tradnl"/>
        </w:rPr>
      </w:pPr>
      <w:r w:rsidRPr="00506990">
        <w:rPr>
          <w:color w:val="0D0D0D" w:themeColor="text1" w:themeTint="F2"/>
          <w:sz w:val="22"/>
          <w:szCs w:val="22"/>
          <w:lang w:val="es-ES_tradnl"/>
        </w:rPr>
        <w:t>Personas Humanas:</w:t>
      </w:r>
    </w:p>
    <w:p w14:paraId="640424E8"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Mayores de 18 años y hasta 79 años</w:t>
      </w:r>
    </w:p>
    <w:p w14:paraId="0E08B5B8" w14:textId="77777777" w:rsidR="00F74B80" w:rsidRPr="00506990" w:rsidRDefault="00F74B80" w:rsidP="00270AFD">
      <w:pPr>
        <w:pStyle w:val="Prrafodelista"/>
        <w:numPr>
          <w:ilvl w:val="0"/>
          <w:numId w:val="6"/>
        </w:numPr>
        <w:spacing w:after="200"/>
        <w:jc w:val="both"/>
        <w:rPr>
          <w:color w:val="0D0D0D" w:themeColor="text1" w:themeTint="F2"/>
          <w:sz w:val="22"/>
          <w:szCs w:val="22"/>
          <w:lang w:val="es-ES_tradnl"/>
        </w:rPr>
      </w:pPr>
      <w:r w:rsidRPr="00506990">
        <w:rPr>
          <w:color w:val="0D0D0D" w:themeColor="text1" w:themeTint="F2"/>
          <w:sz w:val="22"/>
          <w:szCs w:val="22"/>
          <w:lang w:val="es-ES_tradnl"/>
        </w:rPr>
        <w:t>Personas Jurídicas:</w:t>
      </w:r>
    </w:p>
    <w:p w14:paraId="7F301AB9"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Representatividad: la persona jurídica se obliga por medio de un representante.</w:t>
      </w:r>
    </w:p>
    <w:p w14:paraId="737E24F6"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Limitaciones: las personas Jurídicas no podrán ser garantes.</w:t>
      </w:r>
    </w:p>
    <w:p w14:paraId="495CF803" w14:textId="4FDC9FC7" w:rsidR="00F74B80" w:rsidRPr="00506990" w:rsidRDefault="00F74B80" w:rsidP="00270AFD">
      <w:pPr>
        <w:pStyle w:val="Prrafodelista"/>
        <w:numPr>
          <w:ilvl w:val="0"/>
          <w:numId w:val="5"/>
        </w:numPr>
        <w:spacing w:before="360" w:after="120"/>
        <w:ind w:left="357" w:hanging="357"/>
        <w:contextualSpacing w:val="0"/>
        <w:jc w:val="both"/>
        <w:rPr>
          <w:color w:val="0D0D0D" w:themeColor="text1" w:themeTint="F2"/>
          <w:sz w:val="22"/>
          <w:szCs w:val="22"/>
          <w:lang w:val="es-ES_tradnl"/>
        </w:rPr>
      </w:pPr>
      <w:r w:rsidRPr="00506990">
        <w:rPr>
          <w:color w:val="0D0D0D" w:themeColor="text1" w:themeTint="F2"/>
          <w:sz w:val="22"/>
          <w:szCs w:val="22"/>
          <w:lang w:val="es-ES_tradnl"/>
        </w:rPr>
        <w:t xml:space="preserve">Capital a prestar: </w:t>
      </w:r>
      <w:r w:rsidR="00EC3619" w:rsidRPr="00506990">
        <w:rPr>
          <w:color w:val="0D0D0D" w:themeColor="text1" w:themeTint="F2"/>
          <w:sz w:val="22"/>
          <w:szCs w:val="22"/>
          <w:lang w:val="es-ES_tradnl"/>
        </w:rPr>
        <w:t>hasta</w:t>
      </w:r>
      <w:r w:rsidRPr="00506990">
        <w:rPr>
          <w:color w:val="0D0D0D" w:themeColor="text1" w:themeTint="F2"/>
          <w:sz w:val="22"/>
          <w:szCs w:val="22"/>
          <w:lang w:val="es-ES_tradnl"/>
        </w:rPr>
        <w:t xml:space="preserve"> $</w:t>
      </w:r>
      <w:r w:rsidR="00447BED">
        <w:rPr>
          <w:color w:val="0D0D0D" w:themeColor="text1" w:themeTint="F2"/>
          <w:sz w:val="22"/>
          <w:szCs w:val="22"/>
          <w:lang w:val="es-ES_tradnl"/>
        </w:rPr>
        <w:t>90</w:t>
      </w:r>
      <w:r w:rsidRPr="00506990">
        <w:rPr>
          <w:color w:val="0D0D0D" w:themeColor="text1" w:themeTint="F2"/>
          <w:sz w:val="22"/>
          <w:szCs w:val="22"/>
          <w:lang w:val="es-ES_tradnl"/>
        </w:rPr>
        <w:t>.000 según nivel de riesgo.</w:t>
      </w:r>
    </w:p>
    <w:p w14:paraId="0EA374AB" w14:textId="50E78839" w:rsidR="00F74B80" w:rsidRPr="00506990" w:rsidRDefault="00F74B80" w:rsidP="00270AFD">
      <w:pPr>
        <w:pStyle w:val="Prrafodelista"/>
        <w:numPr>
          <w:ilvl w:val="0"/>
          <w:numId w:val="5"/>
        </w:numPr>
        <w:spacing w:before="360" w:after="120"/>
        <w:ind w:left="357" w:hanging="357"/>
        <w:contextualSpacing w:val="0"/>
        <w:jc w:val="both"/>
        <w:rPr>
          <w:color w:val="0D0D0D" w:themeColor="text1" w:themeTint="F2"/>
          <w:sz w:val="22"/>
          <w:szCs w:val="22"/>
          <w:lang w:val="es-ES_tradnl"/>
        </w:rPr>
      </w:pPr>
      <w:r w:rsidRPr="00506990">
        <w:rPr>
          <w:color w:val="0D0D0D" w:themeColor="text1" w:themeTint="F2"/>
          <w:sz w:val="22"/>
          <w:szCs w:val="22"/>
          <w:lang w:val="es-ES_tradnl"/>
        </w:rPr>
        <w:t xml:space="preserve">Plazo: hasta </w:t>
      </w:r>
      <w:r w:rsidR="00F13673" w:rsidRPr="00506990">
        <w:rPr>
          <w:color w:val="0D0D0D" w:themeColor="text1" w:themeTint="F2"/>
          <w:sz w:val="22"/>
          <w:szCs w:val="22"/>
          <w:lang w:val="es-ES_tradnl"/>
        </w:rPr>
        <w:t>24</w:t>
      </w:r>
      <w:r w:rsidRPr="00506990">
        <w:rPr>
          <w:color w:val="0D0D0D" w:themeColor="text1" w:themeTint="F2"/>
          <w:sz w:val="22"/>
          <w:szCs w:val="22"/>
          <w:lang w:val="es-ES_tradnl"/>
        </w:rPr>
        <w:t xml:space="preserve"> cuotas.</w:t>
      </w:r>
    </w:p>
    <w:p w14:paraId="2FBF74FA" w14:textId="2D6187A5" w:rsidR="00F74B80" w:rsidRPr="00506990" w:rsidRDefault="00F74B80" w:rsidP="00270AFD">
      <w:pPr>
        <w:pStyle w:val="Prrafodelista"/>
        <w:numPr>
          <w:ilvl w:val="0"/>
          <w:numId w:val="5"/>
        </w:numPr>
        <w:spacing w:before="360" w:after="120"/>
        <w:ind w:left="357" w:hanging="357"/>
        <w:contextualSpacing w:val="0"/>
        <w:jc w:val="both"/>
        <w:rPr>
          <w:color w:val="0D0D0D" w:themeColor="text1" w:themeTint="F2"/>
          <w:sz w:val="22"/>
          <w:szCs w:val="22"/>
          <w:lang w:val="es-ES_tradnl"/>
        </w:rPr>
      </w:pPr>
      <w:r w:rsidRPr="00506990">
        <w:rPr>
          <w:color w:val="0D0D0D" w:themeColor="text1" w:themeTint="F2"/>
          <w:sz w:val="22"/>
          <w:szCs w:val="22"/>
          <w:lang w:val="es-ES_tradnl"/>
        </w:rPr>
        <w:t>Documentación que se emite: factura en donde se enuncian las condiciones del crédito</w:t>
      </w:r>
      <w:r w:rsidR="00EC3619" w:rsidRPr="00506990">
        <w:rPr>
          <w:color w:val="0D0D0D" w:themeColor="text1" w:themeTint="F2"/>
          <w:sz w:val="22"/>
          <w:szCs w:val="22"/>
          <w:lang w:val="es-ES_tradnl"/>
        </w:rPr>
        <w:t>,</w:t>
      </w:r>
      <w:r w:rsidRPr="00506990">
        <w:rPr>
          <w:color w:val="0D0D0D" w:themeColor="text1" w:themeTint="F2"/>
          <w:sz w:val="22"/>
          <w:szCs w:val="22"/>
          <w:lang w:val="es-ES_tradnl"/>
        </w:rPr>
        <w:t xml:space="preserve"> Pagaré</w:t>
      </w:r>
      <w:r w:rsidR="00EC3619" w:rsidRPr="00506990">
        <w:rPr>
          <w:color w:val="0D0D0D" w:themeColor="text1" w:themeTint="F2"/>
          <w:sz w:val="22"/>
          <w:szCs w:val="22"/>
          <w:lang w:val="es-ES_tradnl"/>
        </w:rPr>
        <w:t xml:space="preserve"> y constancia de Adhesión Seguro Saldo Deudor, todos</w:t>
      </w:r>
      <w:r w:rsidRPr="00506990">
        <w:rPr>
          <w:color w:val="0D0D0D" w:themeColor="text1" w:themeTint="F2"/>
          <w:sz w:val="22"/>
          <w:szCs w:val="22"/>
          <w:lang w:val="es-ES_tradnl"/>
        </w:rPr>
        <w:t xml:space="preserve"> firmados por el solicitante.</w:t>
      </w:r>
    </w:p>
    <w:p w14:paraId="5EF75EC7" w14:textId="77777777" w:rsidR="00F74B80" w:rsidRPr="00506990" w:rsidRDefault="00F74B80" w:rsidP="00270AFD">
      <w:pPr>
        <w:pStyle w:val="Prrafodelista"/>
        <w:numPr>
          <w:ilvl w:val="0"/>
          <w:numId w:val="5"/>
        </w:numPr>
        <w:spacing w:before="360" w:after="120"/>
        <w:ind w:left="357" w:hanging="357"/>
        <w:contextualSpacing w:val="0"/>
        <w:jc w:val="both"/>
        <w:rPr>
          <w:color w:val="0D0D0D" w:themeColor="text1" w:themeTint="F2"/>
          <w:sz w:val="22"/>
          <w:szCs w:val="22"/>
          <w:lang w:val="es-ES_tradnl"/>
        </w:rPr>
      </w:pPr>
      <w:r w:rsidRPr="00506990">
        <w:rPr>
          <w:color w:val="0D0D0D" w:themeColor="text1" w:themeTint="F2"/>
          <w:sz w:val="22"/>
          <w:szCs w:val="22"/>
          <w:lang w:val="es-ES_tradnl"/>
        </w:rPr>
        <w:t>Ingresos:</w:t>
      </w:r>
    </w:p>
    <w:p w14:paraId="52FBEED4"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Mínimos requeridos: ingresos netos $2.000</w:t>
      </w:r>
    </w:p>
    <w:p w14:paraId="2606227E"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Límites relación “cuota/ingreso”: desde 20%, hasta 40%; según nivel de riesgo, en este último caso para clientes con historia crediticia en la empresa y excelente comportamiento de pago en el mercado.</w:t>
      </w:r>
    </w:p>
    <w:p w14:paraId="54660FB1"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Límites cantidad de ingresos: desde 1 hasta 6 ingresos (máximo capital otorgado acumulado); según nivel de riesgo; en este último caso para clientes con historia crediticia en la empresa y excelente comportamiento de pago en el mercado.</w:t>
      </w:r>
    </w:p>
    <w:p w14:paraId="6A74E3EC" w14:textId="77777777" w:rsidR="00F74B80" w:rsidRPr="00506990" w:rsidRDefault="00F74B80" w:rsidP="00270AFD">
      <w:pPr>
        <w:pStyle w:val="Prrafodelista"/>
        <w:numPr>
          <w:ilvl w:val="0"/>
          <w:numId w:val="5"/>
        </w:numPr>
        <w:spacing w:before="360" w:after="120"/>
        <w:ind w:left="357" w:hanging="357"/>
        <w:contextualSpacing w:val="0"/>
        <w:jc w:val="both"/>
        <w:rPr>
          <w:color w:val="0D0D0D" w:themeColor="text1" w:themeTint="F2"/>
          <w:sz w:val="22"/>
          <w:szCs w:val="22"/>
          <w:lang w:val="es-ES_tradnl"/>
        </w:rPr>
      </w:pPr>
      <w:r w:rsidRPr="00506990">
        <w:rPr>
          <w:color w:val="0D0D0D" w:themeColor="text1" w:themeTint="F2"/>
          <w:sz w:val="22"/>
          <w:szCs w:val="22"/>
          <w:lang w:val="es-ES_tradnl"/>
        </w:rPr>
        <w:t>Antigüedad:</w:t>
      </w:r>
    </w:p>
    <w:p w14:paraId="2158C0C8" w14:textId="119D95CB"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 xml:space="preserve">Empleados en relación de dependencia: se requiere mínima de </w:t>
      </w:r>
      <w:r w:rsidR="00EC3619" w:rsidRPr="00506990">
        <w:rPr>
          <w:color w:val="0D0D0D" w:themeColor="text1" w:themeTint="F2"/>
          <w:sz w:val="22"/>
          <w:szCs w:val="22"/>
          <w:lang w:val="es-ES_tradnl"/>
        </w:rPr>
        <w:t>6</w:t>
      </w:r>
      <w:r w:rsidRPr="00506990">
        <w:rPr>
          <w:color w:val="0D0D0D" w:themeColor="text1" w:themeTint="F2"/>
          <w:sz w:val="22"/>
          <w:szCs w:val="22"/>
          <w:lang w:val="es-ES_tradnl"/>
        </w:rPr>
        <w:t xml:space="preserve"> meses.</w:t>
      </w:r>
    </w:p>
    <w:p w14:paraId="64E88FA5" w14:textId="65883FD8"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 xml:space="preserve">Empleados rurales, de construcción, de limpieza y otras categorías: se requiere antigüedad mínima de </w:t>
      </w:r>
      <w:r w:rsidR="00EC3619" w:rsidRPr="00506990">
        <w:rPr>
          <w:color w:val="0D0D0D" w:themeColor="text1" w:themeTint="F2"/>
          <w:sz w:val="22"/>
          <w:szCs w:val="22"/>
          <w:lang w:val="es-ES_tradnl"/>
        </w:rPr>
        <w:t>12</w:t>
      </w:r>
      <w:r w:rsidRPr="00506990">
        <w:rPr>
          <w:color w:val="0D0D0D" w:themeColor="text1" w:themeTint="F2"/>
          <w:sz w:val="22"/>
          <w:szCs w:val="22"/>
          <w:lang w:val="es-ES_tradnl"/>
        </w:rPr>
        <w:t xml:space="preserve"> meses.</w:t>
      </w:r>
    </w:p>
    <w:p w14:paraId="48DBA8B9"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Trabajadores Autónomos: se requiere antigüedad mínima de 12 meses.</w:t>
      </w:r>
    </w:p>
    <w:p w14:paraId="2DE49DBF" w14:textId="77777777" w:rsidR="00F74B80" w:rsidRPr="00506990" w:rsidRDefault="00F74B80" w:rsidP="00270AFD">
      <w:pPr>
        <w:pStyle w:val="Prrafodelista"/>
        <w:numPr>
          <w:ilvl w:val="0"/>
          <w:numId w:val="5"/>
        </w:numPr>
        <w:spacing w:before="360" w:after="120"/>
        <w:ind w:left="357" w:hanging="357"/>
        <w:contextualSpacing w:val="0"/>
        <w:jc w:val="both"/>
        <w:rPr>
          <w:color w:val="0D0D0D" w:themeColor="text1" w:themeTint="F2"/>
          <w:sz w:val="22"/>
          <w:szCs w:val="22"/>
          <w:lang w:val="es-ES_tradnl"/>
        </w:rPr>
      </w:pPr>
      <w:r w:rsidRPr="00506990">
        <w:rPr>
          <w:color w:val="0D0D0D" w:themeColor="text1" w:themeTint="F2"/>
          <w:sz w:val="22"/>
          <w:szCs w:val="22"/>
          <w:lang w:val="es-ES_tradnl"/>
        </w:rPr>
        <w:t>Teléfonos:</w:t>
      </w:r>
    </w:p>
    <w:p w14:paraId="36846860" w14:textId="37063D07" w:rsidR="00F74B80" w:rsidRPr="00506990" w:rsidRDefault="00EC3619" w:rsidP="00270AFD">
      <w:pPr>
        <w:pStyle w:val="Prrafodelista"/>
        <w:numPr>
          <w:ilvl w:val="0"/>
          <w:numId w:val="7"/>
        </w:numPr>
        <w:spacing w:after="200"/>
        <w:jc w:val="both"/>
        <w:rPr>
          <w:color w:val="0D0D0D" w:themeColor="text1" w:themeTint="F2"/>
          <w:sz w:val="22"/>
          <w:szCs w:val="22"/>
          <w:lang w:val="es-ES_tradnl"/>
        </w:rPr>
      </w:pPr>
      <w:r w:rsidRPr="00506990">
        <w:rPr>
          <w:color w:val="0D0D0D" w:themeColor="text1" w:themeTint="F2"/>
          <w:sz w:val="22"/>
          <w:szCs w:val="22"/>
          <w:lang w:val="es-ES_tradnl"/>
        </w:rPr>
        <w:t>Tres</w:t>
      </w:r>
      <w:r w:rsidR="00F74B80" w:rsidRPr="00506990">
        <w:rPr>
          <w:color w:val="0D0D0D" w:themeColor="text1" w:themeTint="F2"/>
          <w:sz w:val="22"/>
          <w:szCs w:val="22"/>
          <w:lang w:val="es-ES_tradnl"/>
        </w:rPr>
        <w:t xml:space="preserve"> teléfonos celulares.</w:t>
      </w:r>
    </w:p>
    <w:p w14:paraId="2664EA23" w14:textId="77777777" w:rsidR="00F74B80" w:rsidRPr="00506990" w:rsidRDefault="00F74B80" w:rsidP="00270AFD">
      <w:pPr>
        <w:pStyle w:val="Prrafodelista"/>
        <w:numPr>
          <w:ilvl w:val="0"/>
          <w:numId w:val="7"/>
        </w:numPr>
        <w:spacing w:after="200"/>
        <w:jc w:val="both"/>
        <w:rPr>
          <w:color w:val="0D0D0D" w:themeColor="text1" w:themeTint="F2"/>
          <w:sz w:val="22"/>
          <w:szCs w:val="22"/>
          <w:lang w:val="es-ES_tradnl"/>
        </w:rPr>
      </w:pPr>
      <w:r w:rsidRPr="00506990">
        <w:rPr>
          <w:color w:val="0D0D0D" w:themeColor="text1" w:themeTint="F2"/>
          <w:sz w:val="22"/>
          <w:szCs w:val="22"/>
          <w:lang w:val="es-ES_tradnl"/>
        </w:rPr>
        <w:t>Número telefónico fijo (domicilio, trabajo o alternativo) debe ser corroborado.</w:t>
      </w:r>
    </w:p>
    <w:p w14:paraId="087700C8" w14:textId="77777777" w:rsidR="00F74B80" w:rsidRPr="00506990" w:rsidRDefault="00F74B80" w:rsidP="00F74B80">
      <w:pPr>
        <w:pStyle w:val="Prrafodelista"/>
        <w:ind w:left="1080"/>
        <w:jc w:val="both"/>
        <w:rPr>
          <w:color w:val="0D0D0D" w:themeColor="text1" w:themeTint="F2"/>
          <w:sz w:val="22"/>
          <w:szCs w:val="22"/>
          <w:lang w:val="es-ES_tradnl"/>
        </w:rPr>
      </w:pPr>
    </w:p>
    <w:p w14:paraId="5865B7BF" w14:textId="77777777" w:rsidR="00F74B80" w:rsidRPr="00506990" w:rsidRDefault="00F74B80" w:rsidP="00F74B80">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u w:val="single"/>
        </w:rPr>
        <w:t>Otros Requisitos / Evaluaciones</w:t>
      </w:r>
      <w:r w:rsidRPr="00506990">
        <w:rPr>
          <w:rFonts w:ascii="Times New Roman" w:hAnsi="Times New Roman" w:cs="Times New Roman"/>
          <w:color w:val="0D0D0D" w:themeColor="text1" w:themeTint="F2"/>
          <w:sz w:val="22"/>
          <w:szCs w:val="22"/>
        </w:rPr>
        <w:t>:</w:t>
      </w:r>
    </w:p>
    <w:p w14:paraId="5146F1FA" w14:textId="30E37764" w:rsidR="00F74B80" w:rsidRPr="00506990" w:rsidRDefault="00F74B80" w:rsidP="00270AFD">
      <w:pPr>
        <w:pStyle w:val="Prrafodelista"/>
        <w:numPr>
          <w:ilvl w:val="1"/>
          <w:numId w:val="5"/>
        </w:numPr>
        <w:spacing w:before="360"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Antecedentes crediticios</w:t>
      </w:r>
      <w:r w:rsidRPr="00506990">
        <w:rPr>
          <w:color w:val="0D0D0D" w:themeColor="text1" w:themeTint="F2"/>
          <w:sz w:val="22"/>
          <w:szCs w:val="22"/>
          <w:lang w:val="es-ES_tradnl"/>
        </w:rPr>
        <w:t xml:space="preserve">: a través de referencias de base propia de datos y herramientas del centro de informes nacionales y regionales. </w:t>
      </w:r>
    </w:p>
    <w:p w14:paraId="29BDEAA0" w14:textId="77777777" w:rsidR="00F74B80" w:rsidRPr="00506990" w:rsidRDefault="00F74B80" w:rsidP="00270AFD">
      <w:pPr>
        <w:pStyle w:val="Prrafodelista"/>
        <w:numPr>
          <w:ilvl w:val="1"/>
          <w:numId w:val="5"/>
        </w:numPr>
        <w:spacing w:before="360"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lastRenderedPageBreak/>
        <w:t>Calificación crediticia</w:t>
      </w:r>
      <w:r w:rsidRPr="00506990">
        <w:rPr>
          <w:color w:val="0D0D0D" w:themeColor="text1" w:themeTint="F2"/>
          <w:sz w:val="22"/>
          <w:szCs w:val="22"/>
          <w:lang w:val="es-ES_tradnl"/>
        </w:rPr>
        <w:t>: la solicitud de crédito se procesa en sistema de scoring, que evalúa comportamiento de pago del cliente en la empresa (en caso de que exista), factores demográficos y comportamiento crediticio en el mercado; definiendo así el perfil de riesgo del cliente; perfil que define la posibilidad de otorgar el crédito, y en su caso el monto máximo y relación cuota/ingreso.</w:t>
      </w:r>
    </w:p>
    <w:p w14:paraId="75DEB7B1" w14:textId="77777777" w:rsidR="00F74B80" w:rsidRPr="00506990" w:rsidRDefault="00F74B80" w:rsidP="00270AFD">
      <w:pPr>
        <w:pStyle w:val="Prrafodelista"/>
        <w:numPr>
          <w:ilvl w:val="1"/>
          <w:numId w:val="5"/>
        </w:numPr>
        <w:spacing w:before="360"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Entrega del producto en el domicilio en el cliente nuevo</w:t>
      </w:r>
      <w:r w:rsidRPr="00506990">
        <w:rPr>
          <w:color w:val="0D0D0D" w:themeColor="text1" w:themeTint="F2"/>
          <w:sz w:val="22"/>
          <w:szCs w:val="22"/>
          <w:lang w:val="es-ES_tradnl"/>
        </w:rPr>
        <w:t>: como forma de verificación de domicilio; depende del capital adquirido como también de la localidad donde se realizó la venta (localidades calificadas como de mayor riesgo crediticio).</w:t>
      </w:r>
    </w:p>
    <w:p w14:paraId="7C39EAA6" w14:textId="77777777" w:rsidR="00F74B80" w:rsidRPr="00506990" w:rsidRDefault="00F74B80" w:rsidP="00270AFD">
      <w:pPr>
        <w:pStyle w:val="Prrafodelista"/>
        <w:numPr>
          <w:ilvl w:val="1"/>
          <w:numId w:val="5"/>
        </w:numPr>
        <w:spacing w:before="360"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Excepciones</w:t>
      </w:r>
      <w:r w:rsidRPr="00506990">
        <w:rPr>
          <w:color w:val="0D0D0D" w:themeColor="text1" w:themeTint="F2"/>
          <w:sz w:val="22"/>
          <w:szCs w:val="22"/>
          <w:lang w:val="es-ES_tradnl"/>
        </w:rPr>
        <w:t>: a consideración por instancia superior</w:t>
      </w:r>
    </w:p>
    <w:p w14:paraId="54EBCB21" w14:textId="77777777" w:rsidR="00F74B80" w:rsidRPr="00506990" w:rsidRDefault="00F74B80" w:rsidP="00BA443A">
      <w:pPr>
        <w:pStyle w:val="Prrafodelista"/>
        <w:jc w:val="both"/>
        <w:rPr>
          <w:color w:val="0D0D0D" w:themeColor="text1" w:themeTint="F2"/>
          <w:sz w:val="22"/>
          <w:szCs w:val="22"/>
          <w:lang w:val="es-ES_tradnl"/>
        </w:rPr>
      </w:pPr>
    </w:p>
    <w:p w14:paraId="74DC8F52" w14:textId="77777777" w:rsidR="00F74B80" w:rsidRPr="00506990" w:rsidRDefault="00F74B80">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u w:val="single"/>
        </w:rPr>
        <w:t>Documentación a presentar</w:t>
      </w:r>
      <w:r w:rsidRPr="00506990">
        <w:rPr>
          <w:rFonts w:ascii="Times New Roman" w:hAnsi="Times New Roman" w:cs="Times New Roman"/>
          <w:b/>
          <w:color w:val="0D0D0D" w:themeColor="text1" w:themeTint="F2"/>
          <w:sz w:val="22"/>
          <w:szCs w:val="22"/>
        </w:rPr>
        <w:t>:</w:t>
      </w:r>
      <w:r w:rsidRPr="00506990">
        <w:rPr>
          <w:rFonts w:ascii="Times New Roman" w:hAnsi="Times New Roman" w:cs="Times New Roman"/>
          <w:color w:val="0D0D0D" w:themeColor="text1" w:themeTint="F2"/>
          <w:sz w:val="22"/>
          <w:szCs w:val="22"/>
        </w:rPr>
        <w:t xml:space="preserve"> de acuerdo a la modalidad seleccionada.</w:t>
      </w:r>
    </w:p>
    <w:p w14:paraId="4C7330ED" w14:textId="77777777" w:rsidR="00F74B80" w:rsidRPr="00506990" w:rsidRDefault="00F74B80" w:rsidP="00270AFD">
      <w:pPr>
        <w:pStyle w:val="Prrafodelista"/>
        <w:numPr>
          <w:ilvl w:val="0"/>
          <w:numId w:val="8"/>
        </w:numPr>
        <w:spacing w:after="200"/>
        <w:jc w:val="both"/>
        <w:rPr>
          <w:color w:val="0D0D0D" w:themeColor="text1" w:themeTint="F2"/>
          <w:sz w:val="22"/>
          <w:szCs w:val="22"/>
          <w:lang w:val="es-ES_tradnl"/>
        </w:rPr>
      </w:pPr>
      <w:r w:rsidRPr="00506990">
        <w:rPr>
          <w:b/>
          <w:color w:val="0D0D0D" w:themeColor="text1" w:themeTint="F2"/>
          <w:sz w:val="22"/>
          <w:szCs w:val="22"/>
          <w:lang w:val="es-ES_tradnl"/>
        </w:rPr>
        <w:t>Clásica</w:t>
      </w:r>
      <w:r w:rsidRPr="00506990">
        <w:rPr>
          <w:color w:val="0D0D0D" w:themeColor="text1" w:themeTint="F2"/>
          <w:sz w:val="22"/>
          <w:szCs w:val="22"/>
          <w:lang w:val="es-ES_tradnl"/>
        </w:rPr>
        <w:t>:</w:t>
      </w:r>
    </w:p>
    <w:p w14:paraId="7A28E2EA"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Identificación</w:t>
      </w:r>
    </w:p>
    <w:p w14:paraId="0D961DA7" w14:textId="77777777" w:rsidR="00F74B80" w:rsidRPr="00506990" w:rsidRDefault="00F74B80" w:rsidP="00270AFD">
      <w:pPr>
        <w:pStyle w:val="Prrafodelista"/>
        <w:numPr>
          <w:ilvl w:val="2"/>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DNI</w:t>
      </w:r>
    </w:p>
    <w:p w14:paraId="18F862BD"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Constancia de domicilio: a través de copia de pago de servicios, impuestos o un resumen de una tarjeta de crédito; en todos los casos del último mes.</w:t>
      </w:r>
    </w:p>
    <w:p w14:paraId="0BF0AA68" w14:textId="77777777" w:rsidR="00F74B80" w:rsidRPr="00506990" w:rsidRDefault="00F74B80" w:rsidP="00270AFD">
      <w:pPr>
        <w:pStyle w:val="Prrafodelista"/>
        <w:numPr>
          <w:ilvl w:val="1"/>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Justificación de Ingresos:</w:t>
      </w:r>
    </w:p>
    <w:p w14:paraId="2AC5FEAC" w14:textId="77777777" w:rsidR="00F74B80" w:rsidRPr="00506990" w:rsidRDefault="00F74B80" w:rsidP="00270AFD">
      <w:pPr>
        <w:pStyle w:val="Prrafodelista"/>
        <w:numPr>
          <w:ilvl w:val="2"/>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En relación de Dependencia: último recibo de sueldo.</w:t>
      </w:r>
    </w:p>
    <w:p w14:paraId="08C7CA61" w14:textId="77777777" w:rsidR="00F74B80" w:rsidRPr="00506990" w:rsidRDefault="00F74B80" w:rsidP="00270AFD">
      <w:pPr>
        <w:pStyle w:val="Prrafodelista"/>
        <w:numPr>
          <w:ilvl w:val="2"/>
          <w:numId w:val="5"/>
        </w:numPr>
        <w:tabs>
          <w:tab w:val="left" w:pos="1985"/>
        </w:tabs>
        <w:spacing w:after="200"/>
        <w:jc w:val="both"/>
        <w:rPr>
          <w:color w:val="0D0D0D" w:themeColor="text1" w:themeTint="F2"/>
          <w:sz w:val="22"/>
          <w:szCs w:val="22"/>
          <w:lang w:val="es-ES_tradnl"/>
        </w:rPr>
      </w:pPr>
      <w:r w:rsidRPr="00506990">
        <w:rPr>
          <w:color w:val="0D0D0D" w:themeColor="text1" w:themeTint="F2"/>
          <w:sz w:val="22"/>
          <w:szCs w:val="22"/>
          <w:lang w:val="es-ES_tradnl"/>
        </w:rPr>
        <w:t>Jubilados y Pensionados: último recibo de haberes.</w:t>
      </w:r>
    </w:p>
    <w:p w14:paraId="73ABA00F" w14:textId="77777777" w:rsidR="00F74B80" w:rsidRPr="00506990" w:rsidRDefault="00F74B80" w:rsidP="00270AFD">
      <w:pPr>
        <w:pStyle w:val="Prrafodelista"/>
        <w:numPr>
          <w:ilvl w:val="2"/>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Trabajadores autónomos: últimos 3 meses de IIBB, monotributo, última DDJJ de Ganancias.</w:t>
      </w:r>
    </w:p>
    <w:p w14:paraId="1A2861D4" w14:textId="5D61DEAD" w:rsidR="00F74B80" w:rsidRPr="00506990" w:rsidRDefault="00F74B80" w:rsidP="00270AFD">
      <w:pPr>
        <w:pStyle w:val="Prrafodelista"/>
        <w:numPr>
          <w:ilvl w:val="2"/>
          <w:numId w:val="5"/>
        </w:numPr>
        <w:spacing w:after="200"/>
        <w:jc w:val="both"/>
        <w:rPr>
          <w:color w:val="0D0D0D" w:themeColor="text1" w:themeTint="F2"/>
          <w:sz w:val="22"/>
          <w:szCs w:val="22"/>
          <w:lang w:val="es-ES_tradnl"/>
        </w:rPr>
      </w:pPr>
      <w:r w:rsidRPr="00506990">
        <w:rPr>
          <w:color w:val="0D0D0D" w:themeColor="text1" w:themeTint="F2"/>
          <w:sz w:val="22"/>
          <w:szCs w:val="22"/>
          <w:lang w:val="es-ES_tradnl"/>
        </w:rPr>
        <w:t>Personas Jurídicas: DDJJ de Ganancias.</w:t>
      </w:r>
    </w:p>
    <w:p w14:paraId="1A3DB798" w14:textId="77777777" w:rsidR="00F74B80" w:rsidRPr="00506990" w:rsidRDefault="00F74B80" w:rsidP="00546BED">
      <w:pPr>
        <w:pStyle w:val="Prrafodelista"/>
        <w:ind w:left="1800"/>
        <w:jc w:val="both"/>
        <w:rPr>
          <w:color w:val="0D0D0D" w:themeColor="text1" w:themeTint="F2"/>
          <w:sz w:val="22"/>
          <w:szCs w:val="22"/>
          <w:lang w:val="es-ES_tradnl"/>
        </w:rPr>
      </w:pPr>
    </w:p>
    <w:p w14:paraId="4CB8F0D3" w14:textId="77777777" w:rsidR="00F74B80" w:rsidRPr="00506990" w:rsidRDefault="00F74B80" w:rsidP="00270AFD">
      <w:pPr>
        <w:pStyle w:val="Prrafodelista"/>
        <w:numPr>
          <w:ilvl w:val="0"/>
          <w:numId w:val="8"/>
        </w:numPr>
        <w:spacing w:after="200"/>
        <w:jc w:val="both"/>
        <w:rPr>
          <w:color w:val="0D0D0D" w:themeColor="text1" w:themeTint="F2"/>
          <w:sz w:val="22"/>
          <w:szCs w:val="22"/>
          <w:lang w:val="es-ES_tradnl"/>
        </w:rPr>
      </w:pPr>
      <w:r w:rsidRPr="00506990">
        <w:rPr>
          <w:b/>
          <w:color w:val="0D0D0D" w:themeColor="text1" w:themeTint="F2"/>
          <w:sz w:val="22"/>
          <w:szCs w:val="22"/>
          <w:lang w:val="es-ES_tradnl"/>
        </w:rPr>
        <w:t>Simplificada</w:t>
      </w:r>
      <w:r w:rsidRPr="00506990">
        <w:rPr>
          <w:color w:val="0D0D0D" w:themeColor="text1" w:themeTint="F2"/>
          <w:sz w:val="22"/>
          <w:szCs w:val="22"/>
          <w:lang w:val="es-ES_tradnl"/>
        </w:rPr>
        <w:t>:</w:t>
      </w:r>
    </w:p>
    <w:p w14:paraId="6DFBA7BD" w14:textId="77777777" w:rsidR="00F74B80" w:rsidRPr="00506990" w:rsidRDefault="00F74B80" w:rsidP="00270AFD">
      <w:pPr>
        <w:pStyle w:val="Prrafodelista"/>
        <w:numPr>
          <w:ilvl w:val="1"/>
          <w:numId w:val="8"/>
        </w:numPr>
        <w:spacing w:after="200"/>
        <w:ind w:left="1134" w:hanging="425"/>
        <w:jc w:val="both"/>
        <w:rPr>
          <w:color w:val="0D0D0D" w:themeColor="text1" w:themeTint="F2"/>
          <w:sz w:val="22"/>
          <w:szCs w:val="22"/>
          <w:lang w:val="es-ES_tradnl"/>
        </w:rPr>
      </w:pPr>
      <w:r w:rsidRPr="00506990">
        <w:rPr>
          <w:color w:val="0D0D0D" w:themeColor="text1" w:themeTint="F2"/>
          <w:sz w:val="22"/>
          <w:szCs w:val="22"/>
          <w:lang w:val="es-ES_tradnl"/>
        </w:rPr>
        <w:t>Identificación</w:t>
      </w:r>
    </w:p>
    <w:p w14:paraId="6A5EFCBC" w14:textId="77777777" w:rsidR="00F74B80" w:rsidRPr="00506990" w:rsidRDefault="00F74B80" w:rsidP="00270AFD">
      <w:pPr>
        <w:pStyle w:val="Prrafodelista"/>
        <w:numPr>
          <w:ilvl w:val="2"/>
          <w:numId w:val="8"/>
        </w:numPr>
        <w:spacing w:after="200"/>
        <w:ind w:left="1701" w:hanging="283"/>
        <w:jc w:val="both"/>
        <w:rPr>
          <w:color w:val="0D0D0D" w:themeColor="text1" w:themeTint="F2"/>
          <w:sz w:val="22"/>
          <w:szCs w:val="22"/>
          <w:lang w:val="es-ES_tradnl"/>
        </w:rPr>
      </w:pPr>
      <w:r w:rsidRPr="00506990">
        <w:rPr>
          <w:color w:val="0D0D0D" w:themeColor="text1" w:themeTint="F2"/>
          <w:sz w:val="22"/>
          <w:szCs w:val="22"/>
          <w:lang w:val="es-ES_tradnl"/>
        </w:rPr>
        <w:t xml:space="preserve">  DNI</w:t>
      </w:r>
    </w:p>
    <w:p w14:paraId="080B25E1" w14:textId="77777777" w:rsidR="00F74B80" w:rsidRPr="00506990" w:rsidRDefault="00F74B80" w:rsidP="00270AFD">
      <w:pPr>
        <w:pStyle w:val="Prrafodelista"/>
        <w:numPr>
          <w:ilvl w:val="1"/>
          <w:numId w:val="8"/>
        </w:numPr>
        <w:spacing w:after="200"/>
        <w:ind w:left="1134" w:hanging="425"/>
        <w:jc w:val="both"/>
        <w:rPr>
          <w:color w:val="0D0D0D" w:themeColor="text1" w:themeTint="F2"/>
          <w:sz w:val="22"/>
          <w:szCs w:val="22"/>
          <w:lang w:val="es-ES_tradnl"/>
        </w:rPr>
      </w:pPr>
      <w:r w:rsidRPr="00506990">
        <w:rPr>
          <w:color w:val="0D0D0D" w:themeColor="text1" w:themeTint="F2"/>
          <w:sz w:val="22"/>
          <w:szCs w:val="22"/>
          <w:lang w:val="es-ES_tradnl"/>
        </w:rPr>
        <w:t>Constancia de domicilio: de corresponder completar la planilla de verificación de domicilio realizando la entrega del producto en el domicilio del cliente.</w:t>
      </w:r>
    </w:p>
    <w:p w14:paraId="2EB8DC97" w14:textId="77777777" w:rsidR="00F74B80" w:rsidRPr="00506990" w:rsidRDefault="00F74B80" w:rsidP="00F77F79">
      <w:pPr>
        <w:spacing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diferencia entre ambas modalidades consiste en la menor exigencia de documentación a presentar en la modalidad simplificada. Esta es una línea comercial en la cual se facilita el otorgamiento de crédito siempre que el cliente se encuentre bancarizado previa validación de su situación laboral.</w:t>
      </w:r>
    </w:p>
    <w:p w14:paraId="51F6BD8C" w14:textId="77777777" w:rsidR="00753F3D" w:rsidRPr="0098446E" w:rsidRDefault="00753F3D" w:rsidP="00753F3D">
      <w:pPr>
        <w:shd w:val="clear" w:color="auto" w:fill="D9D9D9" w:themeFill="background1" w:themeFillShade="D9"/>
        <w:autoSpaceDE w:val="0"/>
        <w:autoSpaceDN w:val="0"/>
        <w:adjustRightInd w:val="0"/>
        <w:rPr>
          <w:rFonts w:ascii="Times New Roman" w:hAnsi="Times New Roman" w:cs="Times New Roman"/>
          <w:color w:val="000000"/>
          <w:sz w:val="22"/>
          <w:szCs w:val="22"/>
        </w:rPr>
      </w:pPr>
      <w:r w:rsidRPr="0098446E">
        <w:rPr>
          <w:rFonts w:ascii="Times New Roman" w:hAnsi="Times New Roman" w:cs="Times New Roman"/>
          <w:b/>
          <w:bCs/>
          <w:color w:val="000000"/>
          <w:sz w:val="22"/>
          <w:szCs w:val="22"/>
        </w:rPr>
        <w:t>BAZAR AVENIDA S.A. / CONSUMO S.A. - NORMAS DE ORIGINACIÓN – préstamos personales</w:t>
      </w:r>
    </w:p>
    <w:p w14:paraId="01D273D0" w14:textId="77777777" w:rsidR="00753F3D" w:rsidRPr="0098446E" w:rsidRDefault="00753F3D" w:rsidP="00753F3D">
      <w:pPr>
        <w:autoSpaceDE w:val="0"/>
        <w:autoSpaceDN w:val="0"/>
        <w:adjustRightInd w:val="0"/>
        <w:rPr>
          <w:rFonts w:ascii="Times New Roman" w:hAnsi="Times New Roman" w:cs="Times New Roman"/>
          <w:color w:val="000000"/>
          <w:sz w:val="22"/>
          <w:szCs w:val="22"/>
        </w:rPr>
      </w:pPr>
    </w:p>
    <w:p w14:paraId="01B19EC6" w14:textId="77777777" w:rsidR="00753F3D" w:rsidRPr="0098446E" w:rsidRDefault="00753F3D" w:rsidP="00753F3D">
      <w:pPr>
        <w:autoSpaceDE w:val="0"/>
        <w:autoSpaceDN w:val="0"/>
        <w:adjustRightInd w:val="0"/>
        <w:rPr>
          <w:rFonts w:ascii="Times New Roman" w:hAnsi="Times New Roman" w:cs="Times New Roman"/>
          <w:color w:val="000000"/>
          <w:sz w:val="22"/>
          <w:szCs w:val="22"/>
        </w:rPr>
      </w:pPr>
      <w:r w:rsidRPr="0098446E">
        <w:rPr>
          <w:rFonts w:ascii="Times New Roman" w:hAnsi="Times New Roman" w:cs="Times New Roman"/>
          <w:color w:val="000000"/>
          <w:sz w:val="22"/>
          <w:szCs w:val="22"/>
        </w:rPr>
        <w:t>Rigen las mismas consideraciones que las descriptas para financiación de electrodomésticos, con las siguientes diferencias:</w:t>
      </w:r>
    </w:p>
    <w:p w14:paraId="1624CBDB" w14:textId="77777777" w:rsidR="00753F3D" w:rsidRPr="0098446E" w:rsidRDefault="00753F3D" w:rsidP="00753F3D">
      <w:pPr>
        <w:autoSpaceDE w:val="0"/>
        <w:autoSpaceDN w:val="0"/>
        <w:adjustRightInd w:val="0"/>
        <w:rPr>
          <w:rFonts w:ascii="Times New Roman" w:hAnsi="Times New Roman" w:cs="Times New Roman"/>
          <w:b/>
          <w:bCs/>
          <w:color w:val="000000"/>
          <w:sz w:val="22"/>
          <w:szCs w:val="22"/>
        </w:rPr>
      </w:pPr>
    </w:p>
    <w:p w14:paraId="1CAD4455" w14:textId="77777777" w:rsidR="00753F3D" w:rsidRPr="0098446E" w:rsidRDefault="00753F3D" w:rsidP="00753F3D">
      <w:pPr>
        <w:autoSpaceDE w:val="0"/>
        <w:autoSpaceDN w:val="0"/>
        <w:adjustRightInd w:val="0"/>
        <w:rPr>
          <w:rFonts w:ascii="Times New Roman" w:hAnsi="Times New Roman" w:cs="Times New Roman"/>
          <w:b/>
          <w:bCs/>
          <w:color w:val="000000"/>
          <w:sz w:val="22"/>
          <w:szCs w:val="22"/>
        </w:rPr>
      </w:pPr>
      <w:r w:rsidRPr="0098446E">
        <w:rPr>
          <w:rFonts w:ascii="Times New Roman" w:hAnsi="Times New Roman" w:cs="Times New Roman"/>
          <w:b/>
          <w:bCs/>
          <w:color w:val="000000"/>
          <w:sz w:val="22"/>
          <w:szCs w:val="22"/>
        </w:rPr>
        <w:t>Requisitos de otorgamiento de los préstamos:</w:t>
      </w:r>
    </w:p>
    <w:p w14:paraId="3E233070" w14:textId="77777777" w:rsidR="00753F3D" w:rsidRPr="0098446E" w:rsidRDefault="00753F3D" w:rsidP="00753F3D">
      <w:pPr>
        <w:autoSpaceDE w:val="0"/>
        <w:autoSpaceDN w:val="0"/>
        <w:adjustRightInd w:val="0"/>
        <w:rPr>
          <w:rFonts w:ascii="Times New Roman" w:hAnsi="Times New Roman" w:cs="Times New Roman"/>
          <w:color w:val="000000"/>
          <w:sz w:val="22"/>
          <w:szCs w:val="22"/>
        </w:rPr>
      </w:pPr>
    </w:p>
    <w:p w14:paraId="67060BDB" w14:textId="77777777" w:rsidR="00753F3D" w:rsidRPr="0098446E" w:rsidRDefault="00753F3D" w:rsidP="00753F3D">
      <w:pPr>
        <w:pStyle w:val="Default0"/>
        <w:spacing w:after="143"/>
        <w:jc w:val="both"/>
        <w:rPr>
          <w:b/>
          <w:sz w:val="22"/>
          <w:szCs w:val="22"/>
        </w:rPr>
      </w:pPr>
      <w:r w:rsidRPr="0098446E">
        <w:rPr>
          <w:b/>
          <w:sz w:val="22"/>
          <w:szCs w:val="22"/>
        </w:rPr>
        <w:t>Capacidad</w:t>
      </w:r>
    </w:p>
    <w:p w14:paraId="6E01C239" w14:textId="77777777" w:rsidR="00753F3D" w:rsidRPr="0098446E" w:rsidRDefault="00753F3D" w:rsidP="00753F3D">
      <w:pPr>
        <w:autoSpaceDE w:val="0"/>
        <w:autoSpaceDN w:val="0"/>
        <w:adjustRightInd w:val="0"/>
        <w:ind w:left="349"/>
        <w:rPr>
          <w:rFonts w:ascii="Times New Roman" w:hAnsi="Times New Roman" w:cs="Times New Roman"/>
          <w:color w:val="000000"/>
          <w:sz w:val="22"/>
          <w:szCs w:val="22"/>
        </w:rPr>
      </w:pPr>
      <w:r w:rsidRPr="0098446E">
        <w:rPr>
          <w:rFonts w:ascii="Times New Roman" w:hAnsi="Times New Roman" w:cs="Times New Roman"/>
          <w:color w:val="000000"/>
          <w:sz w:val="22"/>
          <w:szCs w:val="22"/>
        </w:rPr>
        <w:t>1. Personas Físicas:</w:t>
      </w:r>
    </w:p>
    <w:p w14:paraId="5484F39A" w14:textId="77777777" w:rsidR="00753F3D" w:rsidRPr="0098446E" w:rsidRDefault="00753F3D" w:rsidP="00753F3D">
      <w:pPr>
        <w:pStyle w:val="Prrafodelista"/>
        <w:numPr>
          <w:ilvl w:val="0"/>
          <w:numId w:val="46"/>
        </w:numPr>
        <w:autoSpaceDE w:val="0"/>
        <w:autoSpaceDN w:val="0"/>
        <w:adjustRightInd w:val="0"/>
        <w:spacing w:after="120"/>
        <w:ind w:left="709" w:hanging="357"/>
        <w:jc w:val="both"/>
        <w:rPr>
          <w:color w:val="000000"/>
          <w:sz w:val="22"/>
          <w:szCs w:val="22"/>
        </w:rPr>
      </w:pPr>
      <w:r w:rsidRPr="0098446E">
        <w:rPr>
          <w:color w:val="000000"/>
          <w:sz w:val="22"/>
          <w:szCs w:val="22"/>
        </w:rPr>
        <w:t>Mayores de 21 años y hasta 79 años.</w:t>
      </w:r>
    </w:p>
    <w:p w14:paraId="0B822E32" w14:textId="77777777" w:rsidR="00753F3D" w:rsidRPr="0098446E" w:rsidRDefault="00753F3D" w:rsidP="00753F3D">
      <w:pPr>
        <w:autoSpaceDE w:val="0"/>
        <w:autoSpaceDN w:val="0"/>
        <w:adjustRightInd w:val="0"/>
        <w:spacing w:after="114"/>
        <w:ind w:left="349"/>
        <w:rPr>
          <w:rFonts w:ascii="Times New Roman" w:hAnsi="Times New Roman" w:cs="Times New Roman"/>
          <w:color w:val="000000"/>
          <w:sz w:val="22"/>
          <w:szCs w:val="22"/>
        </w:rPr>
      </w:pPr>
      <w:r w:rsidRPr="0098446E">
        <w:rPr>
          <w:rFonts w:ascii="Times New Roman" w:hAnsi="Times New Roman" w:cs="Times New Roman"/>
          <w:color w:val="000000"/>
          <w:sz w:val="22"/>
          <w:szCs w:val="22"/>
        </w:rPr>
        <w:t>2. Personas Jurídicas: no se vende.</w:t>
      </w:r>
    </w:p>
    <w:p w14:paraId="1C32E013" w14:textId="5DEA62D8" w:rsidR="00753F3D" w:rsidRPr="0098446E" w:rsidRDefault="00753F3D" w:rsidP="00753F3D">
      <w:pPr>
        <w:autoSpaceDE w:val="0"/>
        <w:autoSpaceDN w:val="0"/>
        <w:adjustRightInd w:val="0"/>
        <w:spacing w:after="114"/>
        <w:rPr>
          <w:rFonts w:ascii="Times New Roman" w:hAnsi="Times New Roman" w:cs="Times New Roman"/>
          <w:color w:val="000000"/>
          <w:sz w:val="22"/>
          <w:szCs w:val="22"/>
        </w:rPr>
      </w:pPr>
      <w:r w:rsidRPr="0098446E">
        <w:rPr>
          <w:rFonts w:ascii="Times New Roman" w:hAnsi="Times New Roman" w:cs="Times New Roman"/>
          <w:b/>
          <w:color w:val="000000"/>
          <w:sz w:val="22"/>
          <w:szCs w:val="22"/>
        </w:rPr>
        <w:lastRenderedPageBreak/>
        <w:t>Capital a prestar</w:t>
      </w:r>
      <w:r w:rsidRPr="0098446E">
        <w:rPr>
          <w:rFonts w:ascii="Times New Roman" w:hAnsi="Times New Roman" w:cs="Times New Roman"/>
          <w:color w:val="000000"/>
          <w:sz w:val="22"/>
          <w:szCs w:val="22"/>
        </w:rPr>
        <w:t>: hasta $</w:t>
      </w:r>
      <w:r w:rsidR="00447BED">
        <w:rPr>
          <w:rFonts w:ascii="Times New Roman" w:hAnsi="Times New Roman" w:cs="Times New Roman"/>
          <w:color w:val="000000"/>
          <w:sz w:val="22"/>
          <w:szCs w:val="22"/>
        </w:rPr>
        <w:t>90</w:t>
      </w:r>
      <w:r w:rsidRPr="0098446E">
        <w:rPr>
          <w:rFonts w:ascii="Times New Roman" w:hAnsi="Times New Roman" w:cs="Times New Roman"/>
          <w:color w:val="000000"/>
          <w:sz w:val="22"/>
          <w:szCs w:val="22"/>
        </w:rPr>
        <w:t>.000 según nivel de riesgo.</w:t>
      </w:r>
    </w:p>
    <w:p w14:paraId="66CAFD4F" w14:textId="77777777" w:rsidR="00753F3D" w:rsidRPr="0098446E" w:rsidRDefault="00753F3D" w:rsidP="00753F3D">
      <w:pPr>
        <w:autoSpaceDE w:val="0"/>
        <w:autoSpaceDN w:val="0"/>
        <w:adjustRightInd w:val="0"/>
        <w:spacing w:after="114"/>
        <w:rPr>
          <w:rFonts w:ascii="Times New Roman" w:hAnsi="Times New Roman" w:cs="Times New Roman"/>
          <w:color w:val="000000"/>
          <w:sz w:val="22"/>
          <w:szCs w:val="22"/>
        </w:rPr>
      </w:pPr>
      <w:r w:rsidRPr="0098446E">
        <w:rPr>
          <w:rFonts w:ascii="Times New Roman" w:hAnsi="Times New Roman" w:cs="Times New Roman"/>
          <w:b/>
          <w:color w:val="000000"/>
          <w:sz w:val="22"/>
          <w:szCs w:val="22"/>
        </w:rPr>
        <w:t>Ingresos Límites</w:t>
      </w:r>
      <w:r w:rsidRPr="0098446E">
        <w:rPr>
          <w:rFonts w:ascii="Times New Roman" w:hAnsi="Times New Roman" w:cs="Times New Roman"/>
          <w:color w:val="000000"/>
          <w:sz w:val="22"/>
          <w:szCs w:val="22"/>
        </w:rPr>
        <w:t>: hasta 5 ingresos; máximo capital otorgado acumulado.</w:t>
      </w:r>
    </w:p>
    <w:p w14:paraId="1464B9AF" w14:textId="77777777" w:rsidR="00753F3D" w:rsidRPr="0098446E" w:rsidRDefault="00753F3D" w:rsidP="00753F3D">
      <w:pPr>
        <w:autoSpaceDE w:val="0"/>
        <w:autoSpaceDN w:val="0"/>
        <w:adjustRightInd w:val="0"/>
        <w:spacing w:after="114"/>
        <w:rPr>
          <w:rFonts w:ascii="Times New Roman" w:hAnsi="Times New Roman" w:cs="Times New Roman"/>
          <w:color w:val="000000"/>
          <w:sz w:val="22"/>
          <w:szCs w:val="22"/>
        </w:rPr>
      </w:pPr>
      <w:r w:rsidRPr="0098446E">
        <w:rPr>
          <w:rFonts w:ascii="Times New Roman" w:hAnsi="Times New Roman" w:cs="Times New Roman"/>
          <w:b/>
          <w:color w:val="000000"/>
          <w:sz w:val="22"/>
          <w:szCs w:val="22"/>
        </w:rPr>
        <w:t>Plazo</w:t>
      </w:r>
      <w:r w:rsidRPr="0098446E">
        <w:rPr>
          <w:rFonts w:ascii="Times New Roman" w:hAnsi="Times New Roman" w:cs="Times New Roman"/>
          <w:color w:val="000000"/>
          <w:sz w:val="22"/>
          <w:szCs w:val="22"/>
        </w:rPr>
        <w:t>: hasta 24 cuotas.</w:t>
      </w:r>
    </w:p>
    <w:p w14:paraId="77343D52" w14:textId="77777777" w:rsidR="00753F3D" w:rsidRPr="0098446E" w:rsidRDefault="00753F3D" w:rsidP="00753F3D">
      <w:pPr>
        <w:autoSpaceDE w:val="0"/>
        <w:autoSpaceDN w:val="0"/>
        <w:adjustRightInd w:val="0"/>
        <w:rPr>
          <w:rFonts w:ascii="Times New Roman" w:hAnsi="Times New Roman" w:cs="Times New Roman"/>
          <w:color w:val="000000"/>
          <w:sz w:val="22"/>
          <w:szCs w:val="22"/>
        </w:rPr>
      </w:pPr>
      <w:r w:rsidRPr="0098446E">
        <w:rPr>
          <w:rFonts w:ascii="Times New Roman" w:hAnsi="Times New Roman" w:cs="Times New Roman"/>
          <w:b/>
          <w:color w:val="000000"/>
          <w:sz w:val="22"/>
          <w:szCs w:val="22"/>
        </w:rPr>
        <w:t>Antigüedad</w:t>
      </w:r>
      <w:r w:rsidRPr="0098446E">
        <w:rPr>
          <w:rFonts w:ascii="Times New Roman" w:hAnsi="Times New Roman" w:cs="Times New Roman"/>
          <w:color w:val="000000"/>
          <w:sz w:val="22"/>
          <w:szCs w:val="22"/>
        </w:rPr>
        <w:t>:</w:t>
      </w:r>
    </w:p>
    <w:p w14:paraId="2A216F52" w14:textId="77777777" w:rsidR="00753F3D" w:rsidRPr="0098446E" w:rsidRDefault="00753F3D" w:rsidP="00753F3D">
      <w:pPr>
        <w:pStyle w:val="Prrafodelista"/>
        <w:numPr>
          <w:ilvl w:val="0"/>
          <w:numId w:val="46"/>
        </w:numPr>
        <w:autoSpaceDE w:val="0"/>
        <w:autoSpaceDN w:val="0"/>
        <w:adjustRightInd w:val="0"/>
        <w:spacing w:after="261"/>
        <w:ind w:left="709"/>
        <w:jc w:val="both"/>
        <w:rPr>
          <w:color w:val="000000"/>
          <w:sz w:val="22"/>
          <w:szCs w:val="22"/>
        </w:rPr>
      </w:pPr>
      <w:r w:rsidRPr="0098446E">
        <w:rPr>
          <w:color w:val="000000"/>
          <w:sz w:val="22"/>
          <w:szCs w:val="22"/>
        </w:rPr>
        <w:t>Se requiere antigüedad mínima de 12 meses.</w:t>
      </w:r>
    </w:p>
    <w:p w14:paraId="1F5CEBB1" w14:textId="77777777" w:rsidR="00E64FCD" w:rsidRPr="00506990" w:rsidRDefault="00E64FCD" w:rsidP="00F77F79">
      <w:pPr>
        <w:spacing w:before="120" w:after="200"/>
        <w:rPr>
          <w:rFonts w:ascii="Times New Roman" w:hAnsi="Times New Roman" w:cs="Times New Roman"/>
          <w:color w:val="0D0D0D" w:themeColor="text1" w:themeTint="F2"/>
          <w:sz w:val="22"/>
          <w:szCs w:val="22"/>
        </w:rPr>
      </w:pPr>
    </w:p>
    <w:p w14:paraId="2A453B64" w14:textId="77777777" w:rsidR="00E64FCD" w:rsidRPr="0098446E" w:rsidRDefault="00E64FCD" w:rsidP="00E64FCD">
      <w:pPr>
        <w:shd w:val="clear" w:color="auto" w:fill="BFBFBF" w:themeFill="background1" w:themeFillShade="BF"/>
        <w:autoSpaceDE w:val="0"/>
        <w:autoSpaceDN w:val="0"/>
        <w:adjustRightInd w:val="0"/>
        <w:rPr>
          <w:rFonts w:ascii="Times New Roman" w:hAnsi="Times New Roman" w:cs="Times New Roman"/>
          <w:color w:val="000000"/>
          <w:sz w:val="22"/>
          <w:szCs w:val="22"/>
        </w:rPr>
      </w:pPr>
      <w:r w:rsidRPr="0098446E">
        <w:rPr>
          <w:rFonts w:ascii="Times New Roman" w:hAnsi="Times New Roman" w:cs="Times New Roman"/>
          <w:b/>
          <w:bCs/>
          <w:color w:val="000000"/>
          <w:sz w:val="22"/>
          <w:szCs w:val="22"/>
        </w:rPr>
        <w:t>BAZAR AVENIDA S.A. / CONSUMO S.A. - PROCEDIMIENTO DE COBRANZAS</w:t>
      </w:r>
    </w:p>
    <w:p w14:paraId="3D043C7A" w14:textId="77777777" w:rsidR="00E64FCD" w:rsidRPr="0098446E" w:rsidRDefault="00E64FCD" w:rsidP="00E64FCD">
      <w:pPr>
        <w:autoSpaceDE w:val="0"/>
        <w:autoSpaceDN w:val="0"/>
        <w:adjustRightInd w:val="0"/>
        <w:rPr>
          <w:rFonts w:ascii="Times New Roman" w:hAnsi="Times New Roman" w:cs="Times New Roman"/>
          <w:b/>
          <w:bCs/>
          <w:color w:val="000000"/>
          <w:sz w:val="22"/>
          <w:szCs w:val="22"/>
        </w:rPr>
      </w:pPr>
    </w:p>
    <w:p w14:paraId="6690E34B" w14:textId="77777777" w:rsidR="00E64FCD" w:rsidRPr="0098446E" w:rsidRDefault="00E64FCD" w:rsidP="00E64FCD">
      <w:pPr>
        <w:autoSpaceDE w:val="0"/>
        <w:autoSpaceDN w:val="0"/>
        <w:adjustRightInd w:val="0"/>
        <w:rPr>
          <w:rFonts w:ascii="Times New Roman" w:hAnsi="Times New Roman" w:cs="Times New Roman"/>
          <w:color w:val="000000"/>
          <w:sz w:val="22"/>
          <w:szCs w:val="22"/>
        </w:rPr>
      </w:pPr>
      <w:r w:rsidRPr="0098446E">
        <w:rPr>
          <w:rFonts w:ascii="Times New Roman" w:hAnsi="Times New Roman" w:cs="Times New Roman"/>
          <w:b/>
          <w:bCs/>
          <w:color w:val="000000"/>
          <w:sz w:val="22"/>
          <w:szCs w:val="22"/>
        </w:rPr>
        <w:t xml:space="preserve">Vencimiento cuotas: </w:t>
      </w:r>
    </w:p>
    <w:p w14:paraId="5F6C9F51" w14:textId="77777777" w:rsidR="00E64FCD" w:rsidRPr="0098446E" w:rsidRDefault="00E64FCD" w:rsidP="00E64FCD">
      <w:pPr>
        <w:autoSpaceDE w:val="0"/>
        <w:autoSpaceDN w:val="0"/>
        <w:adjustRightInd w:val="0"/>
        <w:rPr>
          <w:rFonts w:ascii="Times New Roman" w:hAnsi="Times New Roman" w:cs="Times New Roman"/>
          <w:color w:val="000000"/>
          <w:sz w:val="22"/>
          <w:szCs w:val="22"/>
        </w:rPr>
      </w:pPr>
      <w:r w:rsidRPr="0098446E">
        <w:rPr>
          <w:rFonts w:ascii="Times New Roman" w:hAnsi="Times New Roman" w:cs="Times New Roman"/>
          <w:color w:val="000000"/>
          <w:sz w:val="22"/>
          <w:szCs w:val="22"/>
        </w:rPr>
        <w:t xml:space="preserve">Las cuotas vencen el día 1 de cada mes. </w:t>
      </w:r>
    </w:p>
    <w:p w14:paraId="6528D5EB" w14:textId="77777777" w:rsidR="00E64FCD" w:rsidRPr="0098446E" w:rsidRDefault="00E64FCD" w:rsidP="00E64FCD">
      <w:pPr>
        <w:autoSpaceDE w:val="0"/>
        <w:autoSpaceDN w:val="0"/>
        <w:adjustRightInd w:val="0"/>
        <w:rPr>
          <w:rFonts w:ascii="Times New Roman" w:hAnsi="Times New Roman" w:cs="Times New Roman"/>
          <w:b/>
          <w:bCs/>
          <w:color w:val="000000"/>
          <w:sz w:val="22"/>
          <w:szCs w:val="22"/>
        </w:rPr>
      </w:pPr>
    </w:p>
    <w:p w14:paraId="6AA37CFF" w14:textId="77777777" w:rsidR="00E64FCD" w:rsidRPr="0098446E" w:rsidRDefault="00E64FCD" w:rsidP="00E64FCD">
      <w:pPr>
        <w:autoSpaceDE w:val="0"/>
        <w:autoSpaceDN w:val="0"/>
        <w:adjustRightInd w:val="0"/>
        <w:rPr>
          <w:rFonts w:ascii="Times New Roman" w:hAnsi="Times New Roman" w:cs="Times New Roman"/>
          <w:color w:val="000000"/>
          <w:sz w:val="22"/>
          <w:szCs w:val="22"/>
        </w:rPr>
      </w:pPr>
      <w:r w:rsidRPr="0098446E">
        <w:rPr>
          <w:rFonts w:ascii="Times New Roman" w:hAnsi="Times New Roman" w:cs="Times New Roman"/>
          <w:b/>
          <w:bCs/>
          <w:color w:val="000000"/>
          <w:sz w:val="22"/>
          <w:szCs w:val="22"/>
        </w:rPr>
        <w:t xml:space="preserve">Lugares y mecanismos de cobro de cuotas: </w:t>
      </w:r>
    </w:p>
    <w:p w14:paraId="1CFF40AB" w14:textId="77777777" w:rsidR="00E64FCD" w:rsidRPr="0098446E" w:rsidRDefault="00E64FCD" w:rsidP="00E64FCD">
      <w:pPr>
        <w:autoSpaceDE w:val="0"/>
        <w:autoSpaceDN w:val="0"/>
        <w:adjustRightInd w:val="0"/>
        <w:spacing w:after="84"/>
        <w:rPr>
          <w:rFonts w:ascii="Times New Roman" w:hAnsi="Times New Roman" w:cs="Times New Roman"/>
          <w:color w:val="000000"/>
          <w:sz w:val="22"/>
          <w:szCs w:val="22"/>
        </w:rPr>
      </w:pPr>
      <w:r w:rsidRPr="0098446E">
        <w:rPr>
          <w:rFonts w:ascii="Times New Roman" w:hAnsi="Times New Roman" w:cs="Times New Roman"/>
          <w:color w:val="000000"/>
          <w:sz w:val="22"/>
          <w:szCs w:val="22"/>
        </w:rPr>
        <w:t xml:space="preserve">1. En las bocas habilitadas de la red de Cobro Express (TINSA S.A.) </w:t>
      </w:r>
    </w:p>
    <w:p w14:paraId="0760A788" w14:textId="77777777" w:rsidR="00E64FCD" w:rsidRPr="0098446E" w:rsidRDefault="00E64FCD" w:rsidP="00E64FCD">
      <w:pPr>
        <w:autoSpaceDE w:val="0"/>
        <w:autoSpaceDN w:val="0"/>
        <w:adjustRightInd w:val="0"/>
        <w:spacing w:after="84"/>
        <w:rPr>
          <w:rFonts w:ascii="Times New Roman" w:hAnsi="Times New Roman" w:cs="Times New Roman"/>
          <w:color w:val="000000"/>
          <w:sz w:val="22"/>
          <w:szCs w:val="22"/>
        </w:rPr>
      </w:pPr>
      <w:r w:rsidRPr="0098446E">
        <w:rPr>
          <w:rFonts w:ascii="Times New Roman" w:hAnsi="Times New Roman" w:cs="Times New Roman"/>
          <w:color w:val="000000"/>
          <w:sz w:val="22"/>
          <w:szCs w:val="22"/>
        </w:rPr>
        <w:t xml:space="preserve">2. En las bocas habilitadas de los Agentes Externos de Recaudación subcontratados por TINSA S.A. </w:t>
      </w:r>
    </w:p>
    <w:p w14:paraId="2207C3DB" w14:textId="77777777" w:rsidR="00E64FCD" w:rsidRPr="0098446E" w:rsidRDefault="00E64FCD" w:rsidP="00E64FCD">
      <w:pPr>
        <w:autoSpaceDE w:val="0"/>
        <w:autoSpaceDN w:val="0"/>
        <w:adjustRightInd w:val="0"/>
        <w:spacing w:after="84"/>
        <w:rPr>
          <w:rFonts w:ascii="Times New Roman" w:hAnsi="Times New Roman" w:cs="Times New Roman"/>
          <w:color w:val="000000"/>
          <w:sz w:val="22"/>
          <w:szCs w:val="22"/>
        </w:rPr>
      </w:pPr>
      <w:r w:rsidRPr="0098446E">
        <w:rPr>
          <w:rFonts w:ascii="Times New Roman" w:hAnsi="Times New Roman" w:cs="Times New Roman"/>
          <w:color w:val="000000"/>
          <w:sz w:val="22"/>
          <w:szCs w:val="22"/>
        </w:rPr>
        <w:t xml:space="preserve">3. Transferencia Bancaria a cuentas de Cobro Express (TINSA S.A.) </w:t>
      </w:r>
    </w:p>
    <w:p w14:paraId="1EF16BEC" w14:textId="77777777" w:rsidR="00E64FCD" w:rsidRPr="0098446E" w:rsidRDefault="00E64FCD" w:rsidP="00E64FCD">
      <w:pPr>
        <w:autoSpaceDE w:val="0"/>
        <w:autoSpaceDN w:val="0"/>
        <w:adjustRightInd w:val="0"/>
        <w:rPr>
          <w:rFonts w:ascii="Times New Roman" w:hAnsi="Times New Roman" w:cs="Times New Roman"/>
          <w:color w:val="000000"/>
          <w:sz w:val="22"/>
          <w:szCs w:val="22"/>
        </w:rPr>
      </w:pPr>
      <w:r w:rsidRPr="0098446E">
        <w:rPr>
          <w:rFonts w:ascii="Times New Roman" w:hAnsi="Times New Roman" w:cs="Times New Roman"/>
          <w:color w:val="000000"/>
          <w:sz w:val="22"/>
          <w:szCs w:val="22"/>
        </w:rPr>
        <w:t>4. Depósito Bancario a cuentas de Cobro Express (TINSA S.A.)</w:t>
      </w:r>
    </w:p>
    <w:p w14:paraId="2EC5FB87" w14:textId="77777777" w:rsidR="00E64FCD" w:rsidRPr="0098446E" w:rsidRDefault="00E64FCD" w:rsidP="00E64FCD">
      <w:pPr>
        <w:autoSpaceDE w:val="0"/>
        <w:autoSpaceDN w:val="0"/>
        <w:adjustRightInd w:val="0"/>
        <w:rPr>
          <w:rFonts w:ascii="Times New Roman" w:hAnsi="Times New Roman" w:cs="Times New Roman"/>
          <w:color w:val="000000"/>
          <w:sz w:val="22"/>
          <w:szCs w:val="22"/>
        </w:rPr>
      </w:pPr>
    </w:p>
    <w:p w14:paraId="7C4F25C2" w14:textId="77777777" w:rsidR="00E64FCD" w:rsidRPr="0098446E" w:rsidRDefault="00E64FCD" w:rsidP="00E64FCD">
      <w:pPr>
        <w:rPr>
          <w:rFonts w:ascii="Times New Roman" w:hAnsi="Times New Roman" w:cs="Times New Roman"/>
          <w:color w:val="000000"/>
          <w:sz w:val="22"/>
          <w:szCs w:val="22"/>
        </w:rPr>
      </w:pPr>
      <w:r w:rsidRPr="0098446E">
        <w:rPr>
          <w:rFonts w:ascii="Times New Roman" w:hAnsi="Times New Roman" w:cs="Times New Roman"/>
          <w:color w:val="000000"/>
          <w:sz w:val="22"/>
          <w:szCs w:val="22"/>
        </w:rPr>
        <w:t>El cliente recibe mensualmente Resumen de Cuenta vía correo electrónico con detalle de las cuotas a abonar, gastos e intereses punitorios, si correspondieran en caso de atraso. El resumen de Cuenta puede obtenerse, también, ingresando a la página web de Megatone.</w:t>
      </w:r>
    </w:p>
    <w:p w14:paraId="03687AC4" w14:textId="77777777" w:rsidR="00E64FCD" w:rsidRPr="0098446E" w:rsidRDefault="00E64FCD" w:rsidP="00E64FCD">
      <w:pPr>
        <w:pStyle w:val="Default0"/>
        <w:jc w:val="both"/>
        <w:rPr>
          <w:b/>
          <w:bCs/>
          <w:sz w:val="22"/>
          <w:szCs w:val="22"/>
        </w:rPr>
      </w:pPr>
    </w:p>
    <w:p w14:paraId="5A3A6B45" w14:textId="77777777" w:rsidR="00E64FCD" w:rsidRPr="0098446E" w:rsidRDefault="00E64FCD" w:rsidP="00E64FCD">
      <w:pPr>
        <w:pStyle w:val="Default0"/>
        <w:jc w:val="both"/>
        <w:rPr>
          <w:sz w:val="22"/>
          <w:szCs w:val="22"/>
        </w:rPr>
      </w:pPr>
      <w:r w:rsidRPr="0098446E">
        <w:rPr>
          <w:b/>
          <w:bCs/>
          <w:sz w:val="22"/>
          <w:szCs w:val="22"/>
        </w:rPr>
        <w:t xml:space="preserve">Proceso de reclamo y cobranza de cuentas en mora: </w:t>
      </w:r>
    </w:p>
    <w:p w14:paraId="0E322D81" w14:textId="77777777" w:rsidR="00E64FCD" w:rsidRPr="0098446E" w:rsidRDefault="00E64FCD" w:rsidP="00E64FCD">
      <w:pPr>
        <w:pStyle w:val="Default0"/>
        <w:jc w:val="both"/>
        <w:rPr>
          <w:sz w:val="22"/>
          <w:szCs w:val="22"/>
        </w:rPr>
      </w:pPr>
      <w:r w:rsidRPr="0098446E">
        <w:rPr>
          <w:b/>
          <w:bCs/>
          <w:sz w:val="22"/>
          <w:szCs w:val="22"/>
        </w:rPr>
        <w:t xml:space="preserve">Vencimientos: </w:t>
      </w:r>
    </w:p>
    <w:p w14:paraId="360875DF" w14:textId="77777777" w:rsidR="00E64FCD" w:rsidRPr="0098446E" w:rsidRDefault="00E64FCD" w:rsidP="00E64FCD">
      <w:pPr>
        <w:pStyle w:val="Default0"/>
        <w:jc w:val="both"/>
        <w:rPr>
          <w:sz w:val="22"/>
          <w:szCs w:val="22"/>
        </w:rPr>
      </w:pPr>
      <w:r w:rsidRPr="0098446E">
        <w:rPr>
          <w:sz w:val="22"/>
          <w:szCs w:val="22"/>
        </w:rPr>
        <w:t xml:space="preserve">Un crédito se constituye en mora cuando no fue abonada la cuota a partir del día 11 de operado un vencimiento sin haber registrado pago. </w:t>
      </w:r>
    </w:p>
    <w:p w14:paraId="7D9EB4D7" w14:textId="77777777" w:rsidR="00E64FCD" w:rsidRPr="0098446E" w:rsidRDefault="00E64FCD" w:rsidP="00E64FCD">
      <w:pPr>
        <w:pStyle w:val="Default0"/>
        <w:jc w:val="both"/>
        <w:rPr>
          <w:sz w:val="22"/>
          <w:szCs w:val="22"/>
        </w:rPr>
      </w:pPr>
      <w:r w:rsidRPr="0098446E">
        <w:rPr>
          <w:sz w:val="22"/>
          <w:szCs w:val="22"/>
        </w:rPr>
        <w:t xml:space="preserve">A partir del día 12 de operado el vencimiento sin haber percibido cobranza, comienzan entonces las acciones de reclamo. </w:t>
      </w:r>
    </w:p>
    <w:p w14:paraId="4C8C8B39" w14:textId="77777777" w:rsidR="00E64FCD" w:rsidRPr="0098446E" w:rsidRDefault="00E64FCD" w:rsidP="00E64FCD">
      <w:pPr>
        <w:pStyle w:val="Default0"/>
        <w:spacing w:after="136"/>
        <w:jc w:val="both"/>
        <w:rPr>
          <w:sz w:val="22"/>
          <w:szCs w:val="22"/>
        </w:rPr>
      </w:pPr>
    </w:p>
    <w:p w14:paraId="46C5F1EF" w14:textId="77777777" w:rsidR="00E64FCD" w:rsidRPr="0098446E" w:rsidRDefault="00E64FCD" w:rsidP="00E64FCD">
      <w:pPr>
        <w:pStyle w:val="Default0"/>
        <w:spacing w:after="136"/>
        <w:jc w:val="both"/>
        <w:rPr>
          <w:sz w:val="22"/>
          <w:szCs w:val="22"/>
        </w:rPr>
      </w:pPr>
      <w:r w:rsidRPr="0098446E">
        <w:rPr>
          <w:b/>
          <w:bCs/>
          <w:sz w:val="22"/>
          <w:szCs w:val="22"/>
        </w:rPr>
        <w:t xml:space="preserve">Gestión de reclamo de clientes en mora: </w:t>
      </w:r>
    </w:p>
    <w:p w14:paraId="32DF2AB4" w14:textId="77777777" w:rsidR="00E64FCD" w:rsidRPr="0098446E" w:rsidRDefault="00E64FCD" w:rsidP="00E64FCD">
      <w:pPr>
        <w:pStyle w:val="Default0"/>
        <w:jc w:val="both"/>
        <w:rPr>
          <w:sz w:val="22"/>
          <w:szCs w:val="22"/>
        </w:rPr>
      </w:pPr>
      <w:r w:rsidRPr="0098446E">
        <w:rPr>
          <w:sz w:val="22"/>
          <w:szCs w:val="22"/>
        </w:rPr>
        <w:t xml:space="preserve">1. </w:t>
      </w:r>
      <w:r w:rsidRPr="0098446E">
        <w:rPr>
          <w:b/>
          <w:bCs/>
          <w:sz w:val="22"/>
          <w:szCs w:val="22"/>
        </w:rPr>
        <w:t>Segmentación de clientes</w:t>
      </w:r>
      <w:r w:rsidRPr="0098446E">
        <w:rPr>
          <w:sz w:val="22"/>
          <w:szCs w:val="22"/>
        </w:rPr>
        <w:t xml:space="preserve">: </w:t>
      </w:r>
    </w:p>
    <w:p w14:paraId="3675FCCE" w14:textId="77777777" w:rsidR="00E64FCD" w:rsidRPr="0098446E" w:rsidRDefault="00E64FCD" w:rsidP="00E64FCD">
      <w:pPr>
        <w:pStyle w:val="Default0"/>
        <w:jc w:val="both"/>
        <w:rPr>
          <w:sz w:val="22"/>
          <w:szCs w:val="22"/>
        </w:rPr>
      </w:pPr>
    </w:p>
    <w:p w14:paraId="67703443" w14:textId="77777777" w:rsidR="00E64FCD" w:rsidRPr="0098446E" w:rsidRDefault="00E64FCD" w:rsidP="00E64FCD">
      <w:pPr>
        <w:pStyle w:val="Default0"/>
        <w:jc w:val="both"/>
        <w:rPr>
          <w:sz w:val="22"/>
          <w:szCs w:val="22"/>
        </w:rPr>
      </w:pPr>
      <w:r w:rsidRPr="0098446E">
        <w:rPr>
          <w:sz w:val="22"/>
          <w:szCs w:val="22"/>
        </w:rPr>
        <w:t xml:space="preserve">A principio de cada mes se segmenta la cartera de acuerdo a un score de cobranzas que califica a los clientes en “Excelente”, “Muy Bueno”, “Bueno”, “Malo” y “Muy Malo” de acuerdo a su perfil de riesgo en el cumplimiento de deudas; perfil que se define vinculando comportamiento de pago, características demográficas y evaluación crediticia al momento del otorgamiento. </w:t>
      </w:r>
    </w:p>
    <w:p w14:paraId="5691EED7" w14:textId="77777777" w:rsidR="00E64FCD" w:rsidRPr="0098446E" w:rsidRDefault="00E64FCD" w:rsidP="00E64FCD">
      <w:pPr>
        <w:pStyle w:val="Default0"/>
        <w:jc w:val="both"/>
        <w:rPr>
          <w:sz w:val="22"/>
          <w:szCs w:val="22"/>
        </w:rPr>
      </w:pPr>
      <w:r w:rsidRPr="0098446E">
        <w:rPr>
          <w:sz w:val="22"/>
          <w:szCs w:val="22"/>
        </w:rPr>
        <w:t>Esta segmentación define el nivel de las acciones de reclamo (tipo y escalonamiento) registrado el vencimiento:</w:t>
      </w:r>
    </w:p>
    <w:p w14:paraId="37849BA7" w14:textId="77777777" w:rsidR="00E64FCD" w:rsidRPr="0098446E" w:rsidRDefault="00E64FCD" w:rsidP="00E64FCD">
      <w:pPr>
        <w:pStyle w:val="Default0"/>
        <w:jc w:val="both"/>
        <w:rPr>
          <w:sz w:val="22"/>
          <w:szCs w:val="22"/>
        </w:rPr>
      </w:pPr>
    </w:p>
    <w:p w14:paraId="75541E92" w14:textId="77777777" w:rsidR="00E64FCD" w:rsidRPr="0098446E" w:rsidRDefault="00E64FCD" w:rsidP="00E64FCD">
      <w:pPr>
        <w:pStyle w:val="Default0"/>
        <w:spacing w:after="86"/>
        <w:jc w:val="both"/>
        <w:rPr>
          <w:sz w:val="22"/>
          <w:szCs w:val="22"/>
        </w:rPr>
      </w:pPr>
      <w:r w:rsidRPr="0098446E">
        <w:rPr>
          <w:sz w:val="22"/>
          <w:szCs w:val="22"/>
        </w:rPr>
        <w:t xml:space="preserve">– Mensajes de texto </w:t>
      </w:r>
    </w:p>
    <w:p w14:paraId="3725BD20" w14:textId="77777777" w:rsidR="00E64FCD" w:rsidRPr="0098446E" w:rsidRDefault="00E64FCD" w:rsidP="00E64FCD">
      <w:pPr>
        <w:pStyle w:val="Default0"/>
        <w:spacing w:after="86"/>
        <w:jc w:val="both"/>
        <w:rPr>
          <w:sz w:val="22"/>
          <w:szCs w:val="22"/>
        </w:rPr>
      </w:pPr>
      <w:r w:rsidRPr="0098446E">
        <w:rPr>
          <w:sz w:val="22"/>
          <w:szCs w:val="22"/>
        </w:rPr>
        <w:t xml:space="preserve">– Mensaje telefónico de voz </w:t>
      </w:r>
    </w:p>
    <w:p w14:paraId="3DD558A8" w14:textId="77777777" w:rsidR="00E64FCD" w:rsidRPr="0098446E" w:rsidRDefault="00E64FCD" w:rsidP="00E64FCD">
      <w:pPr>
        <w:pStyle w:val="Default0"/>
        <w:spacing w:after="86"/>
        <w:jc w:val="both"/>
        <w:rPr>
          <w:sz w:val="22"/>
          <w:szCs w:val="22"/>
        </w:rPr>
      </w:pPr>
      <w:r w:rsidRPr="0098446E">
        <w:rPr>
          <w:sz w:val="22"/>
          <w:szCs w:val="22"/>
        </w:rPr>
        <w:t xml:space="preserve">– Llamados a teléfonos particulares </w:t>
      </w:r>
    </w:p>
    <w:p w14:paraId="3CB6EB51" w14:textId="77777777" w:rsidR="00E64FCD" w:rsidRPr="0098446E" w:rsidRDefault="00E64FCD" w:rsidP="00E64FCD">
      <w:pPr>
        <w:pStyle w:val="Default0"/>
        <w:spacing w:after="86"/>
        <w:jc w:val="both"/>
        <w:rPr>
          <w:sz w:val="22"/>
          <w:szCs w:val="22"/>
        </w:rPr>
      </w:pPr>
      <w:r w:rsidRPr="0098446E">
        <w:rPr>
          <w:sz w:val="22"/>
          <w:szCs w:val="22"/>
        </w:rPr>
        <w:t xml:space="preserve">– Llamados a teléfonos laborales </w:t>
      </w:r>
    </w:p>
    <w:p w14:paraId="506E4470" w14:textId="77777777" w:rsidR="00E64FCD" w:rsidRPr="0098446E" w:rsidRDefault="00E64FCD" w:rsidP="00E64FCD">
      <w:pPr>
        <w:pStyle w:val="Default0"/>
        <w:spacing w:after="86"/>
        <w:jc w:val="both"/>
        <w:rPr>
          <w:sz w:val="22"/>
          <w:szCs w:val="22"/>
        </w:rPr>
      </w:pPr>
      <w:r w:rsidRPr="0098446E">
        <w:rPr>
          <w:sz w:val="22"/>
          <w:szCs w:val="22"/>
        </w:rPr>
        <w:t xml:space="preserve">– Llamados a teléfonos vinculados (familiares o de referencia) </w:t>
      </w:r>
    </w:p>
    <w:p w14:paraId="31445780" w14:textId="77777777" w:rsidR="00E64FCD" w:rsidRPr="0098446E" w:rsidRDefault="00E64FCD" w:rsidP="00E64FCD">
      <w:pPr>
        <w:pStyle w:val="Default0"/>
        <w:spacing w:after="86"/>
        <w:jc w:val="both"/>
        <w:rPr>
          <w:sz w:val="22"/>
          <w:szCs w:val="22"/>
        </w:rPr>
      </w:pPr>
      <w:r w:rsidRPr="0098446E">
        <w:rPr>
          <w:sz w:val="22"/>
          <w:szCs w:val="22"/>
        </w:rPr>
        <w:lastRenderedPageBreak/>
        <w:t xml:space="preserve">– Cartas </w:t>
      </w:r>
    </w:p>
    <w:p w14:paraId="25DDA909" w14:textId="77777777" w:rsidR="00E64FCD" w:rsidRPr="0098446E" w:rsidRDefault="00E64FCD" w:rsidP="00E64FCD">
      <w:pPr>
        <w:pStyle w:val="Default0"/>
        <w:jc w:val="both"/>
        <w:rPr>
          <w:sz w:val="22"/>
          <w:szCs w:val="22"/>
        </w:rPr>
      </w:pPr>
      <w:r w:rsidRPr="0098446E">
        <w:rPr>
          <w:sz w:val="22"/>
          <w:szCs w:val="22"/>
        </w:rPr>
        <w:t xml:space="preserve">– Llamados preventivos informando de próximos vencimientos </w:t>
      </w:r>
    </w:p>
    <w:p w14:paraId="43AA8873" w14:textId="77777777" w:rsidR="00E64FCD" w:rsidRPr="0098446E" w:rsidRDefault="00E64FCD" w:rsidP="00E64FCD">
      <w:pPr>
        <w:pStyle w:val="Default0"/>
        <w:jc w:val="both"/>
        <w:rPr>
          <w:sz w:val="22"/>
          <w:szCs w:val="22"/>
        </w:rPr>
      </w:pPr>
    </w:p>
    <w:p w14:paraId="004176E1" w14:textId="77777777" w:rsidR="00E64FCD" w:rsidRPr="0098446E" w:rsidRDefault="00E64FCD" w:rsidP="00E64FCD">
      <w:pPr>
        <w:pStyle w:val="Default0"/>
        <w:jc w:val="both"/>
        <w:rPr>
          <w:sz w:val="22"/>
          <w:szCs w:val="22"/>
        </w:rPr>
      </w:pPr>
      <w:r w:rsidRPr="0098446E">
        <w:rPr>
          <w:sz w:val="22"/>
          <w:szCs w:val="22"/>
        </w:rPr>
        <w:t xml:space="preserve">Esta metodología de trabajo impacta muy positivamente en el recupero de cuentas bajando sustancialmente el porcentaje de mora, al poder concentrar los esfuerzos de gestión según la probabilidad de morosidad de la cuenta. </w:t>
      </w:r>
    </w:p>
    <w:p w14:paraId="6A7A33B5" w14:textId="77777777" w:rsidR="00E64FCD" w:rsidRPr="0098446E" w:rsidRDefault="00E64FCD" w:rsidP="00E64FCD">
      <w:pPr>
        <w:pStyle w:val="Default0"/>
        <w:spacing w:after="198"/>
        <w:jc w:val="both"/>
        <w:rPr>
          <w:b/>
          <w:bCs/>
          <w:sz w:val="22"/>
          <w:szCs w:val="22"/>
        </w:rPr>
      </w:pPr>
    </w:p>
    <w:p w14:paraId="6D1E99C5" w14:textId="77777777" w:rsidR="00E64FCD" w:rsidRPr="0098446E" w:rsidRDefault="00E64FCD" w:rsidP="00E64FCD">
      <w:pPr>
        <w:pStyle w:val="Default0"/>
        <w:spacing w:after="198"/>
        <w:jc w:val="both"/>
        <w:rPr>
          <w:sz w:val="22"/>
          <w:szCs w:val="22"/>
        </w:rPr>
      </w:pPr>
      <w:r w:rsidRPr="0098446E">
        <w:rPr>
          <w:b/>
          <w:bCs/>
          <w:sz w:val="22"/>
          <w:szCs w:val="22"/>
        </w:rPr>
        <w:t xml:space="preserve">2. Acciones de reclamo y cobranza </w:t>
      </w:r>
    </w:p>
    <w:p w14:paraId="49FDFBD3" w14:textId="77777777" w:rsidR="00E64FCD" w:rsidRPr="0098446E" w:rsidRDefault="00E64FCD" w:rsidP="00E64FCD">
      <w:pPr>
        <w:pStyle w:val="Default0"/>
        <w:spacing w:after="198"/>
        <w:jc w:val="both"/>
        <w:rPr>
          <w:sz w:val="22"/>
          <w:szCs w:val="22"/>
        </w:rPr>
      </w:pPr>
      <w:r w:rsidRPr="0098446E">
        <w:rPr>
          <w:sz w:val="22"/>
          <w:szCs w:val="22"/>
        </w:rPr>
        <w:t xml:space="preserve">a. </w:t>
      </w:r>
      <w:r w:rsidRPr="0098446E">
        <w:rPr>
          <w:b/>
          <w:bCs/>
          <w:sz w:val="22"/>
          <w:szCs w:val="22"/>
        </w:rPr>
        <w:t>Departamento Centralizado de Cobranzas</w:t>
      </w:r>
      <w:r w:rsidRPr="0098446E">
        <w:rPr>
          <w:sz w:val="22"/>
          <w:szCs w:val="22"/>
        </w:rPr>
        <w:t xml:space="preserve">: </w:t>
      </w:r>
    </w:p>
    <w:p w14:paraId="2FB29ECD" w14:textId="77777777" w:rsidR="00E64FCD" w:rsidRPr="0098446E" w:rsidRDefault="00E64FCD" w:rsidP="00E64FCD">
      <w:pPr>
        <w:pStyle w:val="Default0"/>
        <w:numPr>
          <w:ilvl w:val="0"/>
          <w:numId w:val="43"/>
        </w:numPr>
        <w:ind w:left="426"/>
        <w:jc w:val="both"/>
        <w:rPr>
          <w:sz w:val="22"/>
          <w:szCs w:val="22"/>
        </w:rPr>
      </w:pPr>
      <w:r w:rsidRPr="0098446E">
        <w:rPr>
          <w:b/>
          <w:bCs/>
          <w:sz w:val="22"/>
          <w:szCs w:val="22"/>
        </w:rPr>
        <w:t>Mora Temprana</w:t>
      </w:r>
      <w:r w:rsidRPr="0098446E">
        <w:rPr>
          <w:sz w:val="22"/>
          <w:szCs w:val="22"/>
        </w:rPr>
        <w:t xml:space="preserve">: de 12 a 90 días de mora. </w:t>
      </w:r>
    </w:p>
    <w:p w14:paraId="7282ED72" w14:textId="77777777" w:rsidR="00E64FCD" w:rsidRPr="0098446E" w:rsidRDefault="00E64FCD" w:rsidP="00E64FCD">
      <w:pPr>
        <w:pStyle w:val="Default0"/>
        <w:numPr>
          <w:ilvl w:val="1"/>
          <w:numId w:val="43"/>
        </w:numPr>
        <w:spacing w:after="68"/>
        <w:jc w:val="both"/>
        <w:rPr>
          <w:sz w:val="22"/>
          <w:szCs w:val="22"/>
        </w:rPr>
      </w:pPr>
      <w:r w:rsidRPr="0098446E">
        <w:rPr>
          <w:sz w:val="22"/>
          <w:szCs w:val="22"/>
        </w:rPr>
        <w:t xml:space="preserve">Llamados Telefónicos con diferentes mensajes diseñados por días de atraso. Se utiliza sistema predictivo U-contact, que permite automatizar de forma inteligente el ordenamiento de llamadas, el mejor número y momento, las prioridades, estrategia de contacto, disponibilidad de modos de marcación (manual, progresivo y predictivo) y combinar llamadas salientes con las actividades de llamadas entrantes. </w:t>
      </w:r>
    </w:p>
    <w:p w14:paraId="23DC197D" w14:textId="77777777" w:rsidR="00E64FCD" w:rsidRPr="0098446E" w:rsidRDefault="00E64FCD" w:rsidP="00E64FCD">
      <w:pPr>
        <w:pStyle w:val="Default0"/>
        <w:numPr>
          <w:ilvl w:val="1"/>
          <w:numId w:val="43"/>
        </w:numPr>
        <w:spacing w:after="68"/>
        <w:jc w:val="both"/>
        <w:rPr>
          <w:sz w:val="22"/>
          <w:szCs w:val="22"/>
        </w:rPr>
      </w:pPr>
      <w:r w:rsidRPr="0098446E">
        <w:rPr>
          <w:sz w:val="22"/>
          <w:szCs w:val="22"/>
        </w:rPr>
        <w:t xml:space="preserve">Acciones masivas por IVR y/o mensajes de voz y/o whatsapp y/o e-mail. </w:t>
      </w:r>
    </w:p>
    <w:p w14:paraId="4DCA999D" w14:textId="77777777" w:rsidR="00E64FCD" w:rsidRPr="0098446E" w:rsidRDefault="00E64FCD" w:rsidP="00E64FCD">
      <w:pPr>
        <w:pStyle w:val="Default0"/>
        <w:numPr>
          <w:ilvl w:val="1"/>
          <w:numId w:val="43"/>
        </w:numPr>
        <w:spacing w:after="68"/>
        <w:jc w:val="both"/>
        <w:rPr>
          <w:sz w:val="22"/>
          <w:szCs w:val="22"/>
        </w:rPr>
      </w:pPr>
      <w:r w:rsidRPr="0098446E">
        <w:rPr>
          <w:sz w:val="22"/>
          <w:szCs w:val="22"/>
        </w:rPr>
        <w:t xml:space="preserve">Envío de Cartas </w:t>
      </w:r>
    </w:p>
    <w:p w14:paraId="707407A1" w14:textId="77777777" w:rsidR="00E64FCD" w:rsidRPr="0098446E" w:rsidRDefault="00E64FCD" w:rsidP="00E64FCD">
      <w:pPr>
        <w:pStyle w:val="Default0"/>
        <w:jc w:val="both"/>
        <w:rPr>
          <w:sz w:val="22"/>
          <w:szCs w:val="22"/>
        </w:rPr>
      </w:pPr>
    </w:p>
    <w:p w14:paraId="2E55A566" w14:textId="77777777" w:rsidR="00E64FCD" w:rsidRPr="0098446E" w:rsidRDefault="00E64FCD" w:rsidP="00E64FCD">
      <w:pPr>
        <w:pStyle w:val="Default0"/>
        <w:numPr>
          <w:ilvl w:val="0"/>
          <w:numId w:val="43"/>
        </w:numPr>
        <w:ind w:left="426"/>
        <w:jc w:val="both"/>
        <w:rPr>
          <w:b/>
          <w:bCs/>
          <w:sz w:val="22"/>
          <w:szCs w:val="22"/>
        </w:rPr>
      </w:pPr>
      <w:r w:rsidRPr="0098446E">
        <w:rPr>
          <w:b/>
          <w:bCs/>
          <w:sz w:val="22"/>
          <w:szCs w:val="22"/>
        </w:rPr>
        <w:t xml:space="preserve">Mora Avanzada: De 91 a 120 días de mora: </w:t>
      </w:r>
    </w:p>
    <w:p w14:paraId="26B701EA" w14:textId="77777777" w:rsidR="00E64FCD" w:rsidRPr="0098446E" w:rsidRDefault="00E64FCD" w:rsidP="00E64FCD">
      <w:pPr>
        <w:pStyle w:val="Default0"/>
        <w:numPr>
          <w:ilvl w:val="1"/>
          <w:numId w:val="43"/>
        </w:numPr>
        <w:spacing w:after="68"/>
        <w:jc w:val="both"/>
        <w:rPr>
          <w:sz w:val="22"/>
          <w:szCs w:val="22"/>
        </w:rPr>
      </w:pPr>
      <w:r w:rsidRPr="0098446E">
        <w:rPr>
          <w:sz w:val="22"/>
          <w:szCs w:val="22"/>
        </w:rPr>
        <w:t xml:space="preserve">Llamados Telefónicos </w:t>
      </w:r>
    </w:p>
    <w:p w14:paraId="55D128E7" w14:textId="77777777" w:rsidR="00E64FCD" w:rsidRPr="0098446E" w:rsidRDefault="00E64FCD" w:rsidP="00E64FCD">
      <w:pPr>
        <w:pStyle w:val="Default0"/>
        <w:numPr>
          <w:ilvl w:val="1"/>
          <w:numId w:val="43"/>
        </w:numPr>
        <w:spacing w:after="68"/>
        <w:jc w:val="both"/>
        <w:rPr>
          <w:sz w:val="22"/>
          <w:szCs w:val="22"/>
        </w:rPr>
      </w:pPr>
      <w:r w:rsidRPr="0098446E">
        <w:rPr>
          <w:sz w:val="22"/>
          <w:szCs w:val="22"/>
        </w:rPr>
        <w:t xml:space="preserve">Acciones masivas por IVR y/o mensajes de voz y/o e-mail. </w:t>
      </w:r>
    </w:p>
    <w:p w14:paraId="541AF6EA" w14:textId="77777777" w:rsidR="00E64FCD" w:rsidRPr="0098446E" w:rsidRDefault="00E64FCD" w:rsidP="00E64FCD">
      <w:pPr>
        <w:pStyle w:val="Default0"/>
        <w:numPr>
          <w:ilvl w:val="1"/>
          <w:numId w:val="43"/>
        </w:numPr>
        <w:spacing w:after="68"/>
        <w:jc w:val="both"/>
        <w:rPr>
          <w:sz w:val="22"/>
          <w:szCs w:val="22"/>
        </w:rPr>
      </w:pPr>
      <w:r w:rsidRPr="0098446E">
        <w:rPr>
          <w:sz w:val="22"/>
          <w:szCs w:val="22"/>
        </w:rPr>
        <w:t xml:space="preserve">Envío de Cartas </w:t>
      </w:r>
    </w:p>
    <w:p w14:paraId="297F5669" w14:textId="77777777" w:rsidR="00E64FCD" w:rsidRPr="0098446E" w:rsidRDefault="00E64FCD" w:rsidP="00E64FCD">
      <w:pPr>
        <w:pStyle w:val="Default0"/>
        <w:jc w:val="both"/>
        <w:rPr>
          <w:sz w:val="22"/>
          <w:szCs w:val="22"/>
        </w:rPr>
      </w:pPr>
    </w:p>
    <w:p w14:paraId="1522C719" w14:textId="77777777" w:rsidR="00E64FCD" w:rsidRPr="0098446E" w:rsidRDefault="00E64FCD" w:rsidP="00E64FCD">
      <w:pPr>
        <w:pStyle w:val="Default0"/>
        <w:jc w:val="both"/>
        <w:rPr>
          <w:sz w:val="22"/>
          <w:szCs w:val="22"/>
        </w:rPr>
      </w:pPr>
      <w:r w:rsidRPr="0098446E">
        <w:rPr>
          <w:sz w:val="22"/>
          <w:szCs w:val="22"/>
        </w:rPr>
        <w:t xml:space="preserve">Las gestiones descriptas siguen los siguientes principios y secuencias de reclamo: </w:t>
      </w:r>
    </w:p>
    <w:p w14:paraId="723CD276" w14:textId="77777777" w:rsidR="00E64FCD" w:rsidRPr="0098446E" w:rsidRDefault="00E64FCD" w:rsidP="00E64FCD">
      <w:pPr>
        <w:pStyle w:val="Default0"/>
        <w:numPr>
          <w:ilvl w:val="0"/>
          <w:numId w:val="45"/>
        </w:numPr>
        <w:spacing w:after="66"/>
        <w:jc w:val="both"/>
        <w:rPr>
          <w:sz w:val="22"/>
          <w:szCs w:val="22"/>
        </w:rPr>
      </w:pPr>
      <w:r w:rsidRPr="0098446E">
        <w:rPr>
          <w:sz w:val="22"/>
          <w:szCs w:val="22"/>
        </w:rPr>
        <w:t xml:space="preserve">Desde 91 a 120 días de atraso: Intimación Pre Judicial </w:t>
      </w:r>
    </w:p>
    <w:p w14:paraId="2262E48B" w14:textId="77777777" w:rsidR="00E64FCD" w:rsidRPr="0098446E" w:rsidRDefault="00E64FCD" w:rsidP="00E64FCD">
      <w:pPr>
        <w:pStyle w:val="Default0"/>
        <w:numPr>
          <w:ilvl w:val="0"/>
          <w:numId w:val="45"/>
        </w:numPr>
        <w:jc w:val="both"/>
        <w:rPr>
          <w:sz w:val="22"/>
          <w:szCs w:val="22"/>
        </w:rPr>
      </w:pPr>
      <w:r w:rsidRPr="0098446E">
        <w:rPr>
          <w:sz w:val="22"/>
          <w:szCs w:val="22"/>
        </w:rPr>
        <w:t xml:space="preserve">121 días de atraso: Último Aviso presentación expediente en Tribunales </w:t>
      </w:r>
    </w:p>
    <w:p w14:paraId="46E65CB9" w14:textId="77777777" w:rsidR="00E64FCD" w:rsidRPr="0098446E" w:rsidRDefault="00E64FCD" w:rsidP="00E64FCD">
      <w:pPr>
        <w:pStyle w:val="Default0"/>
        <w:jc w:val="both"/>
        <w:rPr>
          <w:sz w:val="22"/>
          <w:szCs w:val="22"/>
        </w:rPr>
      </w:pPr>
    </w:p>
    <w:p w14:paraId="0E7FEFD7" w14:textId="77777777" w:rsidR="00E64FCD" w:rsidRPr="0098446E" w:rsidRDefault="00E64FCD" w:rsidP="00E64FCD">
      <w:pPr>
        <w:pStyle w:val="Default0"/>
        <w:numPr>
          <w:ilvl w:val="0"/>
          <w:numId w:val="44"/>
        </w:numPr>
        <w:ind w:left="426"/>
        <w:jc w:val="both"/>
        <w:rPr>
          <w:sz w:val="22"/>
          <w:szCs w:val="22"/>
        </w:rPr>
      </w:pPr>
      <w:r w:rsidRPr="0098446E">
        <w:rPr>
          <w:b/>
          <w:bCs/>
          <w:sz w:val="22"/>
          <w:szCs w:val="22"/>
        </w:rPr>
        <w:t>Judicial</w:t>
      </w:r>
      <w:r w:rsidRPr="0098446E">
        <w:rPr>
          <w:sz w:val="22"/>
          <w:szCs w:val="22"/>
        </w:rPr>
        <w:t xml:space="preserve">: Superado los 120 días de mora se definen los créditos a judicializar. En todos los casos se dispone de pagaré firmado por el cliente y en su caso garante, lo que facilita la cobrabilidad del juicio en menor tiempo por disponer de procesos ejecutivos. </w:t>
      </w:r>
    </w:p>
    <w:p w14:paraId="5D20BB48" w14:textId="77777777" w:rsidR="00E64FCD" w:rsidRPr="0098446E" w:rsidRDefault="00E64FCD" w:rsidP="00E64FCD">
      <w:pPr>
        <w:pStyle w:val="Default0"/>
        <w:ind w:left="426"/>
        <w:jc w:val="both"/>
        <w:rPr>
          <w:sz w:val="22"/>
          <w:szCs w:val="22"/>
        </w:rPr>
      </w:pPr>
      <w:r w:rsidRPr="0098446E">
        <w:rPr>
          <w:sz w:val="22"/>
          <w:szCs w:val="22"/>
        </w:rPr>
        <w:t>De acuerdo a la política de administración de Créditos del Fiduciante considera a un crédito como incobrable cuando su atraso supera los 360 días, en estos casos se previsiona el 100% del capital adeudado más los intereses devengados sin perjuicio de la continuación de las acciones judiciales de cobro.</w:t>
      </w:r>
    </w:p>
    <w:p w14:paraId="4BBDB17E" w14:textId="77777777" w:rsidR="00E64FCD" w:rsidRPr="0098446E" w:rsidRDefault="00E64FCD" w:rsidP="00E64FCD">
      <w:pPr>
        <w:pStyle w:val="Default0"/>
        <w:spacing w:after="198"/>
        <w:jc w:val="both"/>
        <w:rPr>
          <w:b/>
          <w:bCs/>
          <w:sz w:val="22"/>
          <w:szCs w:val="22"/>
        </w:rPr>
      </w:pPr>
    </w:p>
    <w:p w14:paraId="474EFDAC" w14:textId="77777777" w:rsidR="00E64FCD" w:rsidRPr="0098446E" w:rsidRDefault="00E64FCD" w:rsidP="00E64FCD">
      <w:pPr>
        <w:pStyle w:val="Default0"/>
        <w:spacing w:after="198"/>
        <w:jc w:val="both"/>
        <w:rPr>
          <w:sz w:val="22"/>
          <w:szCs w:val="22"/>
        </w:rPr>
      </w:pPr>
      <w:r w:rsidRPr="0098446E">
        <w:rPr>
          <w:b/>
          <w:bCs/>
          <w:sz w:val="22"/>
          <w:szCs w:val="22"/>
        </w:rPr>
        <w:t xml:space="preserve">b. Otras acciones y modalidades de reclamo: </w:t>
      </w:r>
    </w:p>
    <w:p w14:paraId="3C669397" w14:textId="77777777" w:rsidR="00E64FCD" w:rsidRPr="0098446E" w:rsidRDefault="00E64FCD" w:rsidP="00E64FCD">
      <w:pPr>
        <w:pStyle w:val="Default0"/>
        <w:numPr>
          <w:ilvl w:val="0"/>
          <w:numId w:val="44"/>
        </w:numPr>
        <w:spacing w:after="198"/>
        <w:jc w:val="both"/>
        <w:rPr>
          <w:sz w:val="22"/>
          <w:szCs w:val="22"/>
        </w:rPr>
      </w:pPr>
      <w:r w:rsidRPr="0098446E">
        <w:rPr>
          <w:b/>
          <w:bCs/>
          <w:sz w:val="22"/>
          <w:szCs w:val="22"/>
        </w:rPr>
        <w:t>Back Office</w:t>
      </w:r>
      <w:r w:rsidRPr="0098446E">
        <w:rPr>
          <w:sz w:val="22"/>
          <w:szCs w:val="22"/>
        </w:rPr>
        <w:t>: ante la dificultad de contacto en los teléfonos disponibles, se activa un circuito de averiguación de datos a través de un grupo de operadores, tendientes a localizar al deudor, para luego reinsertarlo en el circuito de reclamos.</w:t>
      </w:r>
    </w:p>
    <w:p w14:paraId="4638D51B" w14:textId="77777777" w:rsidR="00E64FCD" w:rsidRPr="0098446E" w:rsidRDefault="00E64FCD" w:rsidP="00E64FCD">
      <w:pPr>
        <w:pStyle w:val="Default0"/>
        <w:numPr>
          <w:ilvl w:val="0"/>
          <w:numId w:val="44"/>
        </w:numPr>
        <w:spacing w:after="198"/>
        <w:jc w:val="both"/>
        <w:rPr>
          <w:sz w:val="22"/>
          <w:szCs w:val="22"/>
        </w:rPr>
      </w:pPr>
      <w:r w:rsidRPr="0098446E">
        <w:rPr>
          <w:b/>
          <w:bCs/>
          <w:sz w:val="22"/>
          <w:szCs w:val="22"/>
        </w:rPr>
        <w:t>Visitas domiciliarias</w:t>
      </w:r>
      <w:r w:rsidRPr="0098446E">
        <w:rPr>
          <w:sz w:val="22"/>
          <w:szCs w:val="22"/>
        </w:rPr>
        <w:t>: personal de las sucursales de venta realizan acciones personales de cobranza en el domicilio del deudor, cuando no fuera posible ubicarlo por otros medios y/o las características de la deuda lo ameriten.</w:t>
      </w:r>
    </w:p>
    <w:p w14:paraId="0D545111" w14:textId="77777777" w:rsidR="00E64FCD" w:rsidRPr="0098446E" w:rsidRDefault="00E64FCD" w:rsidP="00E64FCD">
      <w:pPr>
        <w:pStyle w:val="Default0"/>
        <w:numPr>
          <w:ilvl w:val="0"/>
          <w:numId w:val="44"/>
        </w:numPr>
        <w:spacing w:after="198"/>
        <w:jc w:val="both"/>
        <w:rPr>
          <w:sz w:val="22"/>
          <w:szCs w:val="22"/>
        </w:rPr>
      </w:pPr>
      <w:r w:rsidRPr="0098446E">
        <w:rPr>
          <w:b/>
          <w:bCs/>
          <w:sz w:val="22"/>
          <w:szCs w:val="22"/>
        </w:rPr>
        <w:lastRenderedPageBreak/>
        <w:t>Sucursales</w:t>
      </w:r>
      <w:r w:rsidRPr="0098446E">
        <w:rPr>
          <w:sz w:val="22"/>
          <w:szCs w:val="22"/>
        </w:rPr>
        <w:t>: personal de crédito y mora de las sucursales realiza acciones telefónicas de refuerzo a las realizadas desde el Call Center Central, cuando el cliente fuera de difícil ubicación y/o las características de la deuda lo ameriten, en coordinación con el Departamento de Cobranzas. En las sucursales se ofrece una atención personal para refinanciar deudas o realizar acuerdos de pago. Las sucursales calificadas como de mayor riesgo crediticio disponen de un encargado de mora que concentra las gestiones anteriores y de visita a domicilio. Se realiza además un seguimiento de efectividad de cobranzas o refinanciaciones realizadas por los Operadores de Caja de Sucursales, tendiente a recuperar el máximo de lo adeudado.</w:t>
      </w:r>
    </w:p>
    <w:p w14:paraId="76B6ADFF" w14:textId="77777777" w:rsidR="00E64FCD" w:rsidRPr="0098446E" w:rsidRDefault="00E64FCD" w:rsidP="00E64FCD">
      <w:pPr>
        <w:pStyle w:val="Default0"/>
        <w:numPr>
          <w:ilvl w:val="0"/>
          <w:numId w:val="44"/>
        </w:numPr>
        <w:jc w:val="both"/>
        <w:rPr>
          <w:sz w:val="22"/>
          <w:szCs w:val="22"/>
        </w:rPr>
      </w:pPr>
      <w:r w:rsidRPr="0098446E">
        <w:rPr>
          <w:b/>
          <w:bCs/>
          <w:sz w:val="22"/>
          <w:szCs w:val="22"/>
        </w:rPr>
        <w:t>Afectaciones Comerciales</w:t>
      </w:r>
      <w:r w:rsidRPr="0098446E">
        <w:rPr>
          <w:sz w:val="22"/>
          <w:szCs w:val="22"/>
        </w:rPr>
        <w:t>: mensualmente se afecta y desafecta en Institutos de informes a nivel Local, Regional y Nacional.</w:t>
      </w:r>
    </w:p>
    <w:p w14:paraId="4ACA9734" w14:textId="77777777" w:rsidR="00E64FCD" w:rsidRPr="00506990" w:rsidRDefault="00E64FCD" w:rsidP="00F77F79">
      <w:pPr>
        <w:spacing w:before="120" w:after="200"/>
        <w:rPr>
          <w:rFonts w:ascii="Times New Roman" w:hAnsi="Times New Roman" w:cs="Times New Roman"/>
          <w:color w:val="0D0D0D" w:themeColor="text1" w:themeTint="F2"/>
          <w:sz w:val="22"/>
          <w:szCs w:val="22"/>
        </w:rPr>
      </w:pPr>
    </w:p>
    <w:p w14:paraId="22EB24B6" w14:textId="46FAA1F9"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percepción de la cobranza total de la</w:t>
      </w:r>
      <w:r w:rsidR="00475BAB">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compañía</w:t>
      </w:r>
      <w:r w:rsidR="00475BAB">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presenta la siguiente evolución en los últimos 6</w:t>
      </w:r>
      <w:r w:rsidRPr="00506990">
        <w:rPr>
          <w:rFonts w:ascii="Times New Roman" w:hAnsi="Times New Roman" w:cs="Times New Roman"/>
          <w:color w:val="FF0000"/>
        </w:rPr>
        <w:t xml:space="preserve"> </w:t>
      </w:r>
      <w:r w:rsidRPr="00506990">
        <w:rPr>
          <w:rFonts w:ascii="Times New Roman" w:hAnsi="Times New Roman" w:cs="Times New Roman"/>
          <w:color w:val="0D0D0D" w:themeColor="text1" w:themeTint="F2"/>
          <w:sz w:val="22"/>
          <w:szCs w:val="22"/>
        </w:rPr>
        <w:t xml:space="preserve">meses: </w:t>
      </w:r>
    </w:p>
    <w:p w14:paraId="2C8C719F" w14:textId="1824A833" w:rsidR="00C56DC8" w:rsidRPr="006E1DEB" w:rsidRDefault="00475BAB" w:rsidP="00F74B80">
      <w:pPr>
        <w:spacing w:before="120" w:after="200" w:line="276" w:lineRule="auto"/>
        <w:rPr>
          <w:rFonts w:ascii="Times New Roman" w:hAnsi="Times New Roman" w:cs="Times New Roman"/>
          <w:b/>
          <w:u w:val="single"/>
        </w:rPr>
      </w:pPr>
      <w:r w:rsidRPr="006E1DEB">
        <w:rPr>
          <w:rFonts w:ascii="Times New Roman" w:hAnsi="Times New Roman" w:cs="Times New Roman"/>
          <w:b/>
          <w:u w:val="single"/>
        </w:rPr>
        <w:t>Bazar Avenida S.A.</w:t>
      </w:r>
    </w:p>
    <w:p w14:paraId="31EC26B2" w14:textId="429AF2D3" w:rsidR="00F74B80" w:rsidRPr="00506990" w:rsidRDefault="00F83881" w:rsidP="006E1DEB">
      <w:pPr>
        <w:tabs>
          <w:tab w:val="left" w:pos="1260"/>
        </w:tabs>
        <w:spacing w:before="120" w:after="200" w:line="276" w:lineRule="auto"/>
        <w:rPr>
          <w:rFonts w:ascii="Times New Roman" w:hAnsi="Times New Roman" w:cs="Times New Roman"/>
          <w:color w:val="0D0D0D" w:themeColor="text1" w:themeTint="F2"/>
          <w:sz w:val="22"/>
          <w:szCs w:val="22"/>
        </w:rPr>
      </w:pPr>
      <w:r>
        <w:rPr>
          <w:rFonts w:ascii="Times New Roman" w:hAnsi="Times New Roman" w:cs="Times New Roman"/>
          <w:noProof/>
          <w:lang w:val="es-AR" w:eastAsia="es-AR"/>
        </w:rPr>
        <w:drawing>
          <wp:inline distT="0" distB="0" distL="0" distR="0" wp14:anchorId="54202FDB" wp14:editId="2601DDE2">
            <wp:extent cx="3456940" cy="1713230"/>
            <wp:effectExtent l="0" t="0" r="0" b="127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6940" cy="1713230"/>
                    </a:xfrm>
                    <a:prstGeom prst="rect">
                      <a:avLst/>
                    </a:prstGeom>
                    <a:noFill/>
                  </pic:spPr>
                </pic:pic>
              </a:graphicData>
            </a:graphic>
          </wp:inline>
        </w:drawing>
      </w:r>
      <w:r w:rsidR="00475BAB">
        <w:rPr>
          <w:rFonts w:ascii="Times New Roman" w:hAnsi="Times New Roman" w:cs="Times New Roman"/>
        </w:rPr>
        <w:tab/>
      </w:r>
    </w:p>
    <w:p w14:paraId="6A1A2B68" w14:textId="77777777" w:rsidR="00475BAB" w:rsidRDefault="00475BAB" w:rsidP="006E1DEB">
      <w:pPr>
        <w:spacing w:before="120" w:after="200" w:line="276" w:lineRule="auto"/>
        <w:rPr>
          <w:rFonts w:ascii="Times New Roman" w:hAnsi="Times New Roman" w:cs="Times New Roman"/>
          <w:b/>
          <w:u w:val="single"/>
        </w:rPr>
      </w:pPr>
    </w:p>
    <w:p w14:paraId="14E0439D" w14:textId="798EAAF7" w:rsidR="007D7DE5" w:rsidRDefault="00475BAB" w:rsidP="006E1DEB">
      <w:pPr>
        <w:spacing w:before="120" w:after="200" w:line="276" w:lineRule="auto"/>
        <w:rPr>
          <w:rFonts w:ascii="Times New Roman" w:hAnsi="Times New Roman" w:cs="Times New Roman"/>
          <w:b/>
          <w:u w:val="single"/>
        </w:rPr>
      </w:pPr>
      <w:r w:rsidRPr="006E1DEB">
        <w:rPr>
          <w:rFonts w:ascii="Times New Roman" w:hAnsi="Times New Roman" w:cs="Times New Roman"/>
          <w:b/>
          <w:u w:val="single"/>
        </w:rPr>
        <w:t>Consumo S.A.</w:t>
      </w:r>
    </w:p>
    <w:p w14:paraId="4A1020FD" w14:textId="169320ED" w:rsidR="00475BAB" w:rsidRDefault="00475BAB" w:rsidP="006E1DEB">
      <w:pPr>
        <w:spacing w:before="120" w:after="200" w:line="276" w:lineRule="auto"/>
        <w:rPr>
          <w:rFonts w:ascii="Times New Roman" w:hAnsi="Times New Roman" w:cs="Times New Roman"/>
          <w:b/>
          <w:u w:val="single"/>
        </w:rPr>
      </w:pPr>
    </w:p>
    <w:p w14:paraId="36BF7F83" w14:textId="3E48908C" w:rsidR="00F83881" w:rsidRPr="006E1DEB" w:rsidRDefault="00F83881" w:rsidP="006E1DEB">
      <w:pPr>
        <w:spacing w:before="120" w:after="200" w:line="276" w:lineRule="auto"/>
        <w:rPr>
          <w:rFonts w:ascii="Times New Roman" w:hAnsi="Times New Roman" w:cs="Times New Roman"/>
          <w:b/>
          <w:u w:val="single"/>
        </w:rPr>
      </w:pPr>
      <w:r>
        <w:rPr>
          <w:noProof/>
          <w:lang w:val="es-AR" w:eastAsia="es-AR"/>
        </w:rPr>
        <w:drawing>
          <wp:inline distT="0" distB="0" distL="0" distR="0" wp14:anchorId="00DE1844" wp14:editId="63558E2A">
            <wp:extent cx="3533775" cy="1143000"/>
            <wp:effectExtent l="0" t="0" r="9525" b="0"/>
            <wp:docPr id="6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3775"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3B8EDA5" w14:textId="071F9371" w:rsidR="007D7DE5" w:rsidRPr="00506990" w:rsidRDefault="007D7DE5" w:rsidP="00F74B80">
      <w:pPr>
        <w:spacing w:before="120" w:after="200" w:line="276" w:lineRule="auto"/>
        <w:jc w:val="center"/>
        <w:rPr>
          <w:rFonts w:ascii="Times New Roman" w:hAnsi="Times New Roman" w:cs="Times New Roman"/>
          <w:color w:val="0D0D0D" w:themeColor="text1" w:themeTint="F2"/>
          <w:sz w:val="22"/>
          <w:szCs w:val="22"/>
        </w:rPr>
      </w:pPr>
    </w:p>
    <w:p w14:paraId="4B954691" w14:textId="77777777" w:rsidR="00F74B80" w:rsidRPr="00506990" w:rsidRDefault="00F74B80" w:rsidP="00F77F79">
      <w:pPr>
        <w:spacing w:before="120" w:after="200"/>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Convenio de Recaudación con TINSA S.A. (Operatoria vinculada a los Fideicomisos)</w:t>
      </w:r>
    </w:p>
    <w:p w14:paraId="38C10297" w14:textId="55B8B362"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Bazar Avenida S.A.</w:t>
      </w:r>
      <w:r w:rsidR="00DF4C4C" w:rsidRPr="00506990">
        <w:rPr>
          <w:rFonts w:ascii="Times New Roman" w:hAnsi="Times New Roman" w:cs="Times New Roman"/>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ha celebrado un convenio de cobro con Tinsa S.A. (TINSA) para la percepción de la Cobranza de los créditos otorgados a sus clientes, por medio del sistema de cobranzas, COBRO EXPRESS de TINSA.</w:t>
      </w:r>
    </w:p>
    <w:p w14:paraId="5F8D337E" w14:textId="1FE0B389"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marco de dicho acuerdo, BAZAR</w:t>
      </w:r>
      <w:r w:rsidR="00C56DC8" w:rsidRPr="00506990">
        <w:rPr>
          <w:rFonts w:ascii="Times New Roman" w:hAnsi="Times New Roman" w:cs="Times New Roman"/>
          <w:color w:val="0D0D0D" w:themeColor="text1" w:themeTint="F2"/>
          <w:sz w:val="22"/>
          <w:szCs w:val="22"/>
        </w:rPr>
        <w:t xml:space="preserve"> AVENIDA S-A.</w:t>
      </w:r>
      <w:r w:rsidR="00DF4C4C" w:rsidRPr="00506990">
        <w:rPr>
          <w:rFonts w:ascii="Times New Roman" w:hAnsi="Times New Roman" w:cs="Times New Roman"/>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xml:space="preserve"> en su carácter de Administrador</w:t>
      </w:r>
      <w:r w:rsidR="00DF4C4C" w:rsidRPr="00506990">
        <w:rPr>
          <w:rFonts w:ascii="Times New Roman" w:hAnsi="Times New Roman" w:cs="Times New Roman"/>
          <w:color w:val="0D0D0D" w:themeColor="text1" w:themeTint="F2"/>
          <w:sz w:val="22"/>
          <w:szCs w:val="22"/>
        </w:rPr>
        <w:t>es</w:t>
      </w:r>
      <w:r w:rsidRPr="00506990">
        <w:rPr>
          <w:rFonts w:ascii="Times New Roman" w:hAnsi="Times New Roman" w:cs="Times New Roman"/>
          <w:color w:val="0D0D0D" w:themeColor="text1" w:themeTint="F2"/>
          <w:sz w:val="22"/>
          <w:szCs w:val="22"/>
        </w:rPr>
        <w:t xml:space="preserve"> y Agente</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Cobro de los Créditos fideicomitidos, delega en TINSA, la recaudación de la cobranza de los Créditos fideicomitidos.  A tal efecto las liquidaciones que se envían mensualmente a los deudores contienen un código de barras que permite identificar que el Crédito pertenece al Fideicomiso y que sólo puede percibirse a través de TINSA, excepto la de aquellos Créditos en Mora que se perciban por las gestiones judiciales y extrajudiciales que realice</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w:t>
      </w:r>
      <w:r w:rsidR="00DF4C4C"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su carácter de Agente de Cobro que deberá transferir a la Cuenta Fiduciaria dentro del día hábil posterior a su percepción. Para cumplir con su obligación de Agente Recaudador, TINSA lo realizará a través de sus propios agentes distribuidos en todo el país y también por medio de Agentes Externos de Recaudación que contrate.</w:t>
      </w:r>
    </w:p>
    <w:p w14:paraId="46FD6468" w14:textId="621A724C"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En oportunidad de emitir cada una de las serie de Fideicomiso, BAZAR </w:t>
      </w:r>
      <w:r w:rsidR="00C56DC8" w:rsidRPr="00506990">
        <w:rPr>
          <w:rFonts w:ascii="Times New Roman" w:hAnsi="Times New Roman" w:cs="Times New Roman"/>
          <w:color w:val="0D0D0D" w:themeColor="text1" w:themeTint="F2"/>
          <w:sz w:val="22"/>
          <w:szCs w:val="22"/>
        </w:rPr>
        <w:t>AVENIDA S.A.</w:t>
      </w:r>
      <w:r w:rsidR="00DF4C4C" w:rsidRPr="00506990">
        <w:rPr>
          <w:rFonts w:ascii="Times New Roman" w:hAnsi="Times New Roman" w:cs="Times New Roman"/>
          <w:color w:val="0D0D0D" w:themeColor="text1" w:themeTint="F2"/>
          <w:sz w:val="22"/>
          <w:szCs w:val="22"/>
        </w:rPr>
        <w:t xml:space="preserve"> y CONSUMO S.A..</w:t>
      </w:r>
      <w:r w:rsidR="00C56DC8"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comunica</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en forma fehaciente a TINSA tal circunstancia, informando además los datos del Fiduciario, datos de la Cuenta Fiduciaria y demás datos necesarios para que TINSA puede cumplir con sus obligaciones de Agente Recaudador. Recibida la notificación TINSA deberá comunicar a BAZAR</w:t>
      </w:r>
      <w:r w:rsidR="00DF4C4C" w:rsidRPr="00506990">
        <w:rPr>
          <w:rFonts w:ascii="Times New Roman" w:hAnsi="Times New Roman" w:cs="Times New Roman"/>
          <w:color w:val="0D0D0D" w:themeColor="text1" w:themeTint="F2"/>
          <w:sz w:val="22"/>
          <w:szCs w:val="22"/>
        </w:rPr>
        <w:t xml:space="preserve"> y CONSUMO</w:t>
      </w:r>
      <w:r w:rsidRPr="00506990">
        <w:rPr>
          <w:rFonts w:ascii="Times New Roman" w:hAnsi="Times New Roman" w:cs="Times New Roman"/>
          <w:color w:val="0D0D0D" w:themeColor="text1" w:themeTint="F2"/>
          <w:sz w:val="22"/>
          <w:szCs w:val="22"/>
        </w:rPr>
        <w:t>, con copia al fiduciario, el alta de la Cuenta Fiduciaria en sus sistemas.</w:t>
      </w:r>
    </w:p>
    <w:p w14:paraId="0201B863" w14:textId="04929B29" w:rsidR="00F74B80" w:rsidRPr="00506990" w:rsidRDefault="00F74B80" w:rsidP="00F77F79">
      <w:pPr>
        <w:spacing w:before="120" w:after="200"/>
        <w:rPr>
          <w:rFonts w:ascii="Times New Roman" w:hAnsi="Times New Roman" w:cs="Times New Roman"/>
          <w:snapToGrid w:val="0"/>
          <w:color w:val="0D0D0D" w:themeColor="text1" w:themeTint="F2"/>
          <w:sz w:val="22"/>
          <w:szCs w:val="22"/>
        </w:rPr>
      </w:pPr>
      <w:r w:rsidRPr="00506990">
        <w:rPr>
          <w:rFonts w:ascii="Times New Roman" w:hAnsi="Times New Roman" w:cs="Times New Roman"/>
          <w:color w:val="0D0D0D" w:themeColor="text1" w:themeTint="F2"/>
          <w:sz w:val="22"/>
          <w:szCs w:val="22"/>
        </w:rPr>
        <w:t xml:space="preserve">Al final de cada jornada, el sistema que opera en cada uno de los agentes, transmite información a los sistemas centrales de TINSA. Una vez recibida la información de todos los agentes, TINSA procesa los registros y, a primera hora del día siguiente, transmite información a BAZAR </w:t>
      </w:r>
      <w:r w:rsidR="00C56DC8" w:rsidRPr="00506990">
        <w:rPr>
          <w:rFonts w:ascii="Times New Roman" w:hAnsi="Times New Roman" w:cs="Times New Roman"/>
          <w:color w:val="0D0D0D" w:themeColor="text1" w:themeTint="F2"/>
          <w:sz w:val="22"/>
          <w:szCs w:val="22"/>
        </w:rPr>
        <w:t xml:space="preserve">AVENIDA S.A. </w:t>
      </w:r>
      <w:r w:rsidR="00DF4C4C" w:rsidRPr="00506990">
        <w:rPr>
          <w:rFonts w:ascii="Times New Roman" w:hAnsi="Times New Roman" w:cs="Times New Roman"/>
          <w:color w:val="0D0D0D" w:themeColor="text1" w:themeTint="F2"/>
          <w:sz w:val="22"/>
          <w:szCs w:val="22"/>
        </w:rPr>
        <w:t xml:space="preserve">y CONSUMO S.A. </w:t>
      </w:r>
      <w:r w:rsidRPr="00506990">
        <w:rPr>
          <w:rFonts w:ascii="Times New Roman" w:hAnsi="Times New Roman" w:cs="Times New Roman"/>
          <w:color w:val="0D0D0D" w:themeColor="text1" w:themeTint="F2"/>
          <w:sz w:val="22"/>
          <w:szCs w:val="22"/>
        </w:rPr>
        <w:t>para que ésta</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proceda</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a imputar la cobranza y a informar</w:t>
      </w:r>
      <w:r w:rsidRPr="00506990">
        <w:rPr>
          <w:rFonts w:ascii="Times New Roman" w:hAnsi="Times New Roman" w:cs="Times New Roman"/>
          <w:snapToGrid w:val="0"/>
          <w:color w:val="0D0D0D" w:themeColor="text1" w:themeTint="F2"/>
          <w:sz w:val="22"/>
          <w:szCs w:val="22"/>
        </w:rPr>
        <w:t xml:space="preserve"> al día hábil siguiente los importes que correspondan transferir a la Cuenta Fiduciaria de cada uno de los respectivos fideicomisos por las cobranzas imputables a créditos fideicomitidos y los importes que correspondan a créditos no fideicomitidos de titularidad de BAZAR</w:t>
      </w:r>
      <w:r w:rsidR="00C56DC8"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snapToGrid w:val="0"/>
          <w:color w:val="0D0D0D" w:themeColor="text1" w:themeTint="F2"/>
          <w:sz w:val="22"/>
          <w:szCs w:val="22"/>
        </w:rPr>
        <w:t>.</w:t>
      </w:r>
      <w:r w:rsidR="00DF4C4C" w:rsidRPr="00506990">
        <w:rPr>
          <w:rFonts w:ascii="Times New Roman" w:hAnsi="Times New Roman" w:cs="Times New Roman"/>
          <w:snapToGrid w:val="0"/>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snapToGrid w:val="0"/>
          <w:color w:val="0D0D0D" w:themeColor="text1" w:themeTint="F2"/>
          <w:sz w:val="22"/>
          <w:szCs w:val="22"/>
        </w:rPr>
        <w:t>TINSA procederá a transferir a las Cuentas Fiduciarias correspondientes los fondos percibidos por créditos fideicomitidos dentro del día hábil posterior de recibida la información de parte de BAZAR</w:t>
      </w:r>
      <w:r w:rsidR="00C56DC8"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snapToGrid w:val="0"/>
          <w:color w:val="0D0D0D" w:themeColor="text1" w:themeTint="F2"/>
          <w:sz w:val="22"/>
          <w:szCs w:val="22"/>
        </w:rPr>
        <w:t>.</w:t>
      </w:r>
      <w:r w:rsidR="00DF4C4C" w:rsidRPr="00506990">
        <w:rPr>
          <w:rFonts w:ascii="Times New Roman" w:hAnsi="Times New Roman" w:cs="Times New Roman"/>
          <w:snapToGrid w:val="0"/>
          <w:color w:val="0D0D0D" w:themeColor="text1" w:themeTint="F2"/>
          <w:sz w:val="22"/>
          <w:szCs w:val="22"/>
        </w:rPr>
        <w:t xml:space="preserve"> y CONSUMO S.A.</w:t>
      </w:r>
    </w:p>
    <w:p w14:paraId="170B4FD6"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Según las obligaciones que emanan del convenio, TINSA deberá depositar directamente en las cuentas bancarias fiduciarias todo concepto recaudado que corresponda a cada Fideicomiso, dentro de los tres días de su percepción cuando la Cobranza sea percibida en forma directa por TINSA o a través de los Agentes Externos de Recaudación subcontratados por él. Sin perjuicio de lo expuesto en virtud del Convenio TINSA se obliga a depositar a cada Fideicomiso los fondos que le corresponden dentro de los tres días hábiles de su percepción, aun cuando los Agente Externos de Recaudación tenga transferencias pendientes.</w:t>
      </w:r>
    </w:p>
    <w:p w14:paraId="28027C1E"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lo expuesto, en cualquier supuesto de finalización del convenio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w:t>
      </w:r>
    </w:p>
    <w:p w14:paraId="02605E4C" w14:textId="77777777" w:rsidR="00F74B80" w:rsidRPr="00506990" w:rsidRDefault="00F74B80" w:rsidP="00546BED">
      <w:pPr>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Proceso de reclamo y cobranza de cuentas en mora:</w:t>
      </w:r>
    </w:p>
    <w:p w14:paraId="460E4374" w14:textId="77777777" w:rsidR="00F74B80" w:rsidRPr="00506990" w:rsidRDefault="00F74B80" w:rsidP="00270AFD">
      <w:pPr>
        <w:pStyle w:val="Prrafodelista"/>
        <w:numPr>
          <w:ilvl w:val="0"/>
          <w:numId w:val="11"/>
        </w:numPr>
        <w:spacing w:before="120" w:after="120"/>
        <w:ind w:left="357"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Vencimientos:</w:t>
      </w:r>
    </w:p>
    <w:p w14:paraId="2C3E9BAD" w14:textId="77777777" w:rsidR="00F74B80" w:rsidRPr="00506990" w:rsidRDefault="00F74B80" w:rsidP="00F77F79">
      <w:pPr>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Un crédito se constituye en mora cuando no fue abonada la cuota a partir del día 11 de operado un vencimiento sin haber registrado pago. </w:t>
      </w:r>
    </w:p>
    <w:p w14:paraId="78E700DA" w14:textId="77777777" w:rsidR="00F74B80" w:rsidRPr="00506990" w:rsidRDefault="00F74B80" w:rsidP="00F77F79">
      <w:pPr>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A partir del día 12 de operado el vencimiento sin haber percibido cobranza, comienzan entonces las acciones de reclamo.</w:t>
      </w:r>
    </w:p>
    <w:p w14:paraId="5118B690" w14:textId="77777777" w:rsidR="00F74B80" w:rsidRPr="00506990" w:rsidRDefault="00F74B80" w:rsidP="00270AFD">
      <w:pPr>
        <w:pStyle w:val="Prrafodelista"/>
        <w:numPr>
          <w:ilvl w:val="0"/>
          <w:numId w:val="11"/>
        </w:numPr>
        <w:spacing w:after="120"/>
        <w:ind w:left="357"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Gestión de reclamo de clientes en mora:</w:t>
      </w:r>
    </w:p>
    <w:p w14:paraId="3C208675" w14:textId="77777777" w:rsidR="00F74B80" w:rsidRPr="00506990" w:rsidRDefault="00F74B80" w:rsidP="00270AFD">
      <w:pPr>
        <w:pStyle w:val="Prrafodelista"/>
        <w:numPr>
          <w:ilvl w:val="0"/>
          <w:numId w:val="17"/>
        </w:numPr>
        <w:contextualSpacing w:val="0"/>
        <w:jc w:val="both"/>
        <w:rPr>
          <w:color w:val="0D0D0D" w:themeColor="text1" w:themeTint="F2"/>
          <w:sz w:val="22"/>
          <w:szCs w:val="22"/>
          <w:lang w:val="es-ES_tradnl"/>
        </w:rPr>
      </w:pPr>
      <w:r w:rsidRPr="00506990">
        <w:rPr>
          <w:b/>
          <w:color w:val="0D0D0D" w:themeColor="text1" w:themeTint="F2"/>
          <w:sz w:val="22"/>
          <w:szCs w:val="22"/>
          <w:u w:val="single"/>
          <w:lang w:val="es-ES_tradnl"/>
        </w:rPr>
        <w:t>Segmentación de clientes</w:t>
      </w:r>
      <w:r w:rsidRPr="00506990">
        <w:rPr>
          <w:color w:val="0D0D0D" w:themeColor="text1" w:themeTint="F2"/>
          <w:sz w:val="22"/>
          <w:szCs w:val="22"/>
          <w:lang w:val="es-ES_tradnl"/>
        </w:rPr>
        <w:t>:</w:t>
      </w:r>
    </w:p>
    <w:p w14:paraId="46D30FAB" w14:textId="77777777" w:rsidR="00F74B80" w:rsidRPr="00506990" w:rsidRDefault="00F74B80" w:rsidP="00F77F79">
      <w:pPr>
        <w:spacing w:after="200"/>
        <w:ind w:left="708"/>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 principio de cada mes se segmenta la cartera de acuerdo a un score de cobranzas que califica a los clientes en “Excelente”, “Muy Bueno”, “Bueno”, “Malo” y “Muy Malo” de acuerdo a su perfil de riesgo en el cumplimiento de deudas; perfil que se define vinculando comportamiento de pago, características demográficas y evaluación crediticia al momento del otorgamiento.</w:t>
      </w:r>
    </w:p>
    <w:p w14:paraId="2A0CF2CE" w14:textId="77777777" w:rsidR="00F74B80" w:rsidRPr="00506990" w:rsidRDefault="00F74B80" w:rsidP="00F77F79">
      <w:pPr>
        <w:spacing w:after="12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Esta segmentación define el nivel de las acciones de reclamo (tipo y escalonamiento) registrado el vencimiento:</w:t>
      </w:r>
    </w:p>
    <w:p w14:paraId="4DCBA0F3" w14:textId="77777777" w:rsidR="00F74B80" w:rsidRPr="00506990" w:rsidRDefault="00F74B80" w:rsidP="00270AFD">
      <w:pPr>
        <w:pStyle w:val="Prrafodelista"/>
        <w:numPr>
          <w:ilvl w:val="0"/>
          <w:numId w:val="16"/>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Mensajes de texto</w:t>
      </w:r>
    </w:p>
    <w:p w14:paraId="17EA7B7F" w14:textId="77777777" w:rsidR="00F74B80" w:rsidRPr="00506990" w:rsidRDefault="00F74B80" w:rsidP="00270AFD">
      <w:pPr>
        <w:pStyle w:val="Prrafodelista"/>
        <w:numPr>
          <w:ilvl w:val="0"/>
          <w:numId w:val="16"/>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Mensaje telefónico de voz</w:t>
      </w:r>
    </w:p>
    <w:p w14:paraId="19907C39" w14:textId="77777777" w:rsidR="00F74B80" w:rsidRPr="00506990" w:rsidRDefault="00F74B80" w:rsidP="00270AFD">
      <w:pPr>
        <w:pStyle w:val="Prrafodelista"/>
        <w:numPr>
          <w:ilvl w:val="0"/>
          <w:numId w:val="16"/>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particulares</w:t>
      </w:r>
    </w:p>
    <w:p w14:paraId="56FA5C50" w14:textId="77777777" w:rsidR="00F74B80" w:rsidRPr="00506990" w:rsidRDefault="00F74B80" w:rsidP="00270AFD">
      <w:pPr>
        <w:pStyle w:val="Prrafodelista"/>
        <w:numPr>
          <w:ilvl w:val="0"/>
          <w:numId w:val="16"/>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laborales</w:t>
      </w:r>
    </w:p>
    <w:p w14:paraId="5DB45F73" w14:textId="77777777" w:rsidR="00F74B80" w:rsidRPr="00506990" w:rsidRDefault="00F74B80" w:rsidP="00270AFD">
      <w:pPr>
        <w:pStyle w:val="Prrafodelista"/>
        <w:numPr>
          <w:ilvl w:val="0"/>
          <w:numId w:val="16"/>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vinculados (familiares o de referencia)</w:t>
      </w:r>
    </w:p>
    <w:p w14:paraId="6BBE9850" w14:textId="77777777" w:rsidR="00F74B80" w:rsidRPr="00506990" w:rsidRDefault="00F74B80" w:rsidP="00270AFD">
      <w:pPr>
        <w:pStyle w:val="Prrafodelista"/>
        <w:numPr>
          <w:ilvl w:val="0"/>
          <w:numId w:val="16"/>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Cartas</w:t>
      </w:r>
    </w:p>
    <w:p w14:paraId="09E63797" w14:textId="77777777" w:rsidR="00F74B80" w:rsidRPr="00506990" w:rsidRDefault="00F74B80" w:rsidP="00270AFD">
      <w:pPr>
        <w:pStyle w:val="Prrafodelista"/>
        <w:numPr>
          <w:ilvl w:val="0"/>
          <w:numId w:val="16"/>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preventivos informando de próximos vencimientos</w:t>
      </w:r>
    </w:p>
    <w:p w14:paraId="5FEF5F84" w14:textId="77777777" w:rsidR="00F74B80" w:rsidRPr="00506990" w:rsidRDefault="00F74B80" w:rsidP="00F77F79">
      <w:pPr>
        <w:spacing w:before="120" w:after="20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Esta metodología de trabajo impacta muy positivamente en el recupero de cuentas bajando sustancialmente el porcentaje de mora, al poder concentrar los esfuerzos de gestión según la probabilidad de morosidad de la cuenta.</w:t>
      </w:r>
    </w:p>
    <w:p w14:paraId="7D30259D" w14:textId="77777777" w:rsidR="00F74B80" w:rsidRPr="00506990" w:rsidRDefault="00F74B80" w:rsidP="00270AFD">
      <w:pPr>
        <w:pStyle w:val="Prrafodelista"/>
        <w:numPr>
          <w:ilvl w:val="0"/>
          <w:numId w:val="17"/>
        </w:numPr>
        <w:ind w:left="714" w:hanging="357"/>
        <w:contextualSpacing w:val="0"/>
        <w:jc w:val="both"/>
        <w:rPr>
          <w:b/>
          <w:color w:val="0D0D0D" w:themeColor="text1" w:themeTint="F2"/>
          <w:sz w:val="22"/>
          <w:szCs w:val="22"/>
          <w:lang w:val="es-ES_tradnl"/>
        </w:rPr>
      </w:pPr>
      <w:r w:rsidRPr="00506990">
        <w:rPr>
          <w:b/>
          <w:color w:val="0D0D0D" w:themeColor="text1" w:themeTint="F2"/>
          <w:sz w:val="22"/>
          <w:szCs w:val="22"/>
          <w:u w:val="single"/>
          <w:lang w:val="es-ES_tradnl"/>
        </w:rPr>
        <w:t>Acciones de reclamo y cobranza</w:t>
      </w:r>
    </w:p>
    <w:p w14:paraId="3B1FEFFF" w14:textId="77777777" w:rsidR="00F74B80" w:rsidRPr="00506990" w:rsidRDefault="00F74B80" w:rsidP="00270AFD">
      <w:pPr>
        <w:pStyle w:val="Prrafodelista"/>
        <w:numPr>
          <w:ilvl w:val="0"/>
          <w:numId w:val="10"/>
        </w:numPr>
        <w:spacing w:before="120" w:after="120"/>
        <w:ind w:left="1071"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Departamento Centralizado de Cobranzas</w:t>
      </w:r>
      <w:r w:rsidRPr="00506990">
        <w:rPr>
          <w:color w:val="0D0D0D" w:themeColor="text1" w:themeTint="F2"/>
          <w:sz w:val="22"/>
          <w:szCs w:val="22"/>
          <w:lang w:val="es-ES_tradnl"/>
        </w:rPr>
        <w:t>:</w:t>
      </w:r>
    </w:p>
    <w:p w14:paraId="5346DC22" w14:textId="77777777" w:rsidR="00F74B80" w:rsidRPr="00506990" w:rsidRDefault="00F74B80" w:rsidP="00270AFD">
      <w:pPr>
        <w:pStyle w:val="Prrafodelista"/>
        <w:numPr>
          <w:ilvl w:val="0"/>
          <w:numId w:val="12"/>
        </w:numPr>
        <w:spacing w:after="120"/>
        <w:ind w:left="1423"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Mora Temprana</w:t>
      </w:r>
      <w:r w:rsidRPr="00506990">
        <w:rPr>
          <w:color w:val="0D0D0D" w:themeColor="text1" w:themeTint="F2"/>
          <w:sz w:val="22"/>
          <w:szCs w:val="22"/>
          <w:lang w:val="es-ES_tradnl"/>
        </w:rPr>
        <w:t>: de 12 a 90 días de mora.</w:t>
      </w:r>
    </w:p>
    <w:p w14:paraId="6077DDAA" w14:textId="5465B70B" w:rsidR="00F74B80" w:rsidRPr="00506990" w:rsidRDefault="00F74B80" w:rsidP="00270AFD">
      <w:pPr>
        <w:pStyle w:val="Prrafodelista"/>
        <w:numPr>
          <w:ilvl w:val="1"/>
          <w:numId w:val="13"/>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Llamados Telefónicos con diferentes mensajes diseñados por días de atraso. Se utiliza sistema predictivo </w:t>
      </w:r>
      <w:r w:rsidR="00F30964" w:rsidRPr="00506990">
        <w:rPr>
          <w:color w:val="0D0D0D" w:themeColor="text1" w:themeTint="F2"/>
          <w:sz w:val="22"/>
          <w:szCs w:val="22"/>
        </w:rPr>
        <w:t>U-contact</w:t>
      </w:r>
      <w:r w:rsidRPr="00506990">
        <w:rPr>
          <w:color w:val="0D0D0D" w:themeColor="text1" w:themeTint="F2"/>
          <w:sz w:val="22"/>
          <w:szCs w:val="22"/>
        </w:rPr>
        <w:t xml:space="preserve">, que permite automatizar de forma inteligente el ordenamiento de llamadas, el mejor número y momento, las prioridades, estrategia de contacto, disponibilidad de modos de marcación (manual, progresivo y predictivo) y combinar llamadas salientes con las actividades de llamadas entrantes.  </w:t>
      </w:r>
    </w:p>
    <w:p w14:paraId="717FB060" w14:textId="77777777" w:rsidR="00F74B80" w:rsidRPr="00506990" w:rsidRDefault="00F74B80" w:rsidP="00270AFD">
      <w:pPr>
        <w:pStyle w:val="Prrafodelista"/>
        <w:numPr>
          <w:ilvl w:val="1"/>
          <w:numId w:val="13"/>
        </w:numPr>
        <w:ind w:left="1786" w:hanging="357"/>
        <w:contextualSpacing w:val="0"/>
        <w:jc w:val="both"/>
        <w:rPr>
          <w:color w:val="0D0D0D" w:themeColor="text1" w:themeTint="F2"/>
          <w:sz w:val="22"/>
          <w:szCs w:val="22"/>
        </w:rPr>
      </w:pPr>
      <w:r w:rsidRPr="00506990">
        <w:rPr>
          <w:color w:val="0D0D0D" w:themeColor="text1" w:themeTint="F2"/>
          <w:sz w:val="22"/>
          <w:szCs w:val="22"/>
        </w:rPr>
        <w:t>Acciones masivas por IVR y/o mensajes de voz y/o whatsapp y/o e-mail.</w:t>
      </w:r>
    </w:p>
    <w:p w14:paraId="4A9E491D" w14:textId="77777777" w:rsidR="00F74B80" w:rsidRPr="00506990" w:rsidRDefault="00F74B80" w:rsidP="00270AFD">
      <w:pPr>
        <w:pStyle w:val="Prrafodelista"/>
        <w:numPr>
          <w:ilvl w:val="1"/>
          <w:numId w:val="13"/>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Envío de Cartas </w:t>
      </w:r>
    </w:p>
    <w:p w14:paraId="3567A94A" w14:textId="77777777" w:rsidR="00F74B80" w:rsidRPr="00506990" w:rsidRDefault="00F74B80" w:rsidP="00270AFD">
      <w:pPr>
        <w:pStyle w:val="Prrafodelista"/>
        <w:numPr>
          <w:ilvl w:val="0"/>
          <w:numId w:val="12"/>
        </w:numPr>
        <w:spacing w:before="240" w:after="120"/>
        <w:ind w:left="1423"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Mora Avanzada</w:t>
      </w:r>
      <w:r w:rsidRPr="00506990">
        <w:rPr>
          <w:color w:val="0D0D0D" w:themeColor="text1" w:themeTint="F2"/>
          <w:sz w:val="22"/>
          <w:szCs w:val="22"/>
          <w:lang w:val="es-ES_tradnl"/>
        </w:rPr>
        <w:t>: De 91 a 120 días de mora:</w:t>
      </w:r>
    </w:p>
    <w:p w14:paraId="64D647DC" w14:textId="77777777" w:rsidR="00F74B80" w:rsidRPr="00506990" w:rsidRDefault="00F74B80" w:rsidP="00270AFD">
      <w:pPr>
        <w:pStyle w:val="Prrafodelista"/>
        <w:numPr>
          <w:ilvl w:val="1"/>
          <w:numId w:val="13"/>
        </w:numPr>
        <w:ind w:left="1786" w:hanging="357"/>
        <w:contextualSpacing w:val="0"/>
        <w:jc w:val="both"/>
        <w:rPr>
          <w:color w:val="0D0D0D" w:themeColor="text1" w:themeTint="F2"/>
          <w:sz w:val="22"/>
          <w:szCs w:val="22"/>
        </w:rPr>
      </w:pPr>
      <w:r w:rsidRPr="00506990">
        <w:rPr>
          <w:color w:val="0D0D0D" w:themeColor="text1" w:themeTint="F2"/>
          <w:sz w:val="22"/>
          <w:szCs w:val="22"/>
        </w:rPr>
        <w:t>Llamados Telefónicos</w:t>
      </w:r>
    </w:p>
    <w:p w14:paraId="0B8FA3CF" w14:textId="77777777" w:rsidR="00F74B80" w:rsidRPr="00506990" w:rsidRDefault="00F74B80" w:rsidP="00270AFD">
      <w:pPr>
        <w:pStyle w:val="Prrafodelista"/>
        <w:numPr>
          <w:ilvl w:val="1"/>
          <w:numId w:val="13"/>
        </w:numPr>
        <w:ind w:left="1786" w:hanging="357"/>
        <w:contextualSpacing w:val="0"/>
        <w:jc w:val="both"/>
        <w:rPr>
          <w:color w:val="0D0D0D" w:themeColor="text1" w:themeTint="F2"/>
          <w:sz w:val="22"/>
          <w:szCs w:val="22"/>
        </w:rPr>
      </w:pPr>
      <w:r w:rsidRPr="00506990">
        <w:rPr>
          <w:color w:val="0D0D0D" w:themeColor="text1" w:themeTint="F2"/>
          <w:sz w:val="22"/>
          <w:szCs w:val="22"/>
        </w:rPr>
        <w:t>Acciones masivas por IVR y/o mensajes de voz y/o e-mail.</w:t>
      </w:r>
    </w:p>
    <w:p w14:paraId="208BEA5B" w14:textId="77777777" w:rsidR="00F74B80" w:rsidRPr="00506990" w:rsidRDefault="00F74B80" w:rsidP="00270AFD">
      <w:pPr>
        <w:pStyle w:val="Prrafodelista"/>
        <w:numPr>
          <w:ilvl w:val="1"/>
          <w:numId w:val="13"/>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Envío de Cartas </w:t>
      </w:r>
    </w:p>
    <w:p w14:paraId="32AA7AB4" w14:textId="77777777" w:rsidR="00F74B80" w:rsidRPr="00506990" w:rsidRDefault="00F74B80" w:rsidP="00F77F79">
      <w:pPr>
        <w:spacing w:before="120" w:after="120"/>
        <w:ind w:left="709" w:firstLine="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Las gestiones descriptas siguen los siguientes principios y secuencias de reclamo:</w:t>
      </w:r>
    </w:p>
    <w:p w14:paraId="51321678" w14:textId="77777777" w:rsidR="00F74B80" w:rsidRPr="00506990" w:rsidRDefault="00F74B80" w:rsidP="00270AFD">
      <w:pPr>
        <w:pStyle w:val="Prrafodelista"/>
        <w:numPr>
          <w:ilvl w:val="2"/>
          <w:numId w:val="18"/>
        </w:numPr>
        <w:contextualSpacing w:val="0"/>
        <w:jc w:val="both"/>
        <w:rPr>
          <w:color w:val="0D0D0D" w:themeColor="text1" w:themeTint="F2"/>
          <w:sz w:val="22"/>
          <w:szCs w:val="22"/>
        </w:rPr>
      </w:pPr>
      <w:r w:rsidRPr="00506990">
        <w:rPr>
          <w:color w:val="0D0D0D" w:themeColor="text1" w:themeTint="F2"/>
          <w:sz w:val="22"/>
          <w:szCs w:val="22"/>
        </w:rPr>
        <w:t>Desde 91 a 120 días de atraso: Intimación Pre Judicial</w:t>
      </w:r>
    </w:p>
    <w:p w14:paraId="0994D396" w14:textId="77777777" w:rsidR="00F74B80" w:rsidRPr="00506990" w:rsidRDefault="00F74B80" w:rsidP="00270AFD">
      <w:pPr>
        <w:pStyle w:val="Prrafodelista"/>
        <w:numPr>
          <w:ilvl w:val="2"/>
          <w:numId w:val="18"/>
        </w:numPr>
        <w:contextualSpacing w:val="0"/>
        <w:jc w:val="both"/>
        <w:rPr>
          <w:color w:val="0D0D0D" w:themeColor="text1" w:themeTint="F2"/>
          <w:sz w:val="22"/>
          <w:szCs w:val="22"/>
        </w:rPr>
      </w:pPr>
      <w:r w:rsidRPr="00506990">
        <w:rPr>
          <w:color w:val="0D0D0D" w:themeColor="text1" w:themeTint="F2"/>
          <w:sz w:val="22"/>
          <w:szCs w:val="22"/>
        </w:rPr>
        <w:t>121 días de atraso: Último Aviso presentación expediente en Tribunales</w:t>
      </w:r>
    </w:p>
    <w:p w14:paraId="2D85DABD" w14:textId="77777777" w:rsidR="00F74B80" w:rsidRPr="00506990" w:rsidRDefault="00F74B80" w:rsidP="00270AFD">
      <w:pPr>
        <w:pStyle w:val="Prrafodelista"/>
        <w:numPr>
          <w:ilvl w:val="0"/>
          <w:numId w:val="12"/>
        </w:numPr>
        <w:spacing w:before="240" w:after="120"/>
        <w:ind w:left="2124" w:hanging="1058"/>
        <w:contextualSpacing w:val="0"/>
        <w:jc w:val="both"/>
        <w:rPr>
          <w:color w:val="0D0D0D" w:themeColor="text1" w:themeTint="F2"/>
          <w:sz w:val="22"/>
          <w:szCs w:val="22"/>
          <w:lang w:val="es-ES_tradnl"/>
        </w:rPr>
      </w:pPr>
      <w:r w:rsidRPr="00506990">
        <w:rPr>
          <w:b/>
          <w:color w:val="0D0D0D" w:themeColor="text1" w:themeTint="F2"/>
          <w:sz w:val="22"/>
          <w:szCs w:val="22"/>
          <w:lang w:val="es-ES_tradnl"/>
        </w:rPr>
        <w:t>Judicial</w:t>
      </w:r>
      <w:r w:rsidRPr="00506990">
        <w:rPr>
          <w:color w:val="0D0D0D" w:themeColor="text1" w:themeTint="F2"/>
          <w:sz w:val="22"/>
          <w:szCs w:val="22"/>
          <w:lang w:val="es-ES_tradnl"/>
        </w:rPr>
        <w:t xml:space="preserve">: Superado los 120 días de mora se definen los créditos a judicializar. En todos los casos se dispone de pagaré firmado por el cliente </w:t>
      </w:r>
      <w:r w:rsidRPr="00506990">
        <w:rPr>
          <w:color w:val="0D0D0D" w:themeColor="text1" w:themeTint="F2"/>
          <w:sz w:val="22"/>
          <w:szCs w:val="22"/>
          <w:lang w:val="es-ES_tradnl"/>
        </w:rPr>
        <w:lastRenderedPageBreak/>
        <w:t>y en su caso garante, lo que facilita la cobrabilidad del juicio en menor tiempo por disponer de procesos ejecutivos.</w:t>
      </w:r>
    </w:p>
    <w:p w14:paraId="032555D0" w14:textId="77777777" w:rsidR="00F74B80" w:rsidRPr="00506990" w:rsidRDefault="00F74B80" w:rsidP="00F77F79">
      <w:pPr>
        <w:spacing w:before="120" w:after="20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De acuerdo a la política de administración de Créditos del Fiduciante considera a un crédito como incobrable cuando su atraso supera los 360 días, en estos casos se previsiona el 100% del capital adeudado más los intereses devengados sin perjuicio de la continuación de las acciones judiciales de cobro..</w:t>
      </w:r>
    </w:p>
    <w:p w14:paraId="4A59B52C" w14:textId="77777777" w:rsidR="00F74B80" w:rsidRPr="00506990" w:rsidRDefault="00F74B80" w:rsidP="00270AFD">
      <w:pPr>
        <w:pStyle w:val="Prrafodelista"/>
        <w:numPr>
          <w:ilvl w:val="0"/>
          <w:numId w:val="10"/>
        </w:numPr>
        <w:spacing w:before="240" w:after="120"/>
        <w:ind w:left="1071"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Otras acciones y modalidades de reclamo:</w:t>
      </w:r>
    </w:p>
    <w:p w14:paraId="6E88440F" w14:textId="77777777" w:rsidR="00F74B80" w:rsidRPr="00506990" w:rsidRDefault="00F74B80" w:rsidP="00270AFD">
      <w:pPr>
        <w:pStyle w:val="Prrafodelista"/>
        <w:numPr>
          <w:ilvl w:val="0"/>
          <w:numId w:val="14"/>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Back Office</w:t>
      </w:r>
      <w:r w:rsidRPr="00506990">
        <w:rPr>
          <w:color w:val="0D0D0D" w:themeColor="text1" w:themeTint="F2"/>
          <w:sz w:val="22"/>
          <w:szCs w:val="22"/>
          <w:lang w:val="es-ES_tradnl"/>
        </w:rPr>
        <w:t>: ante la dificultad de contacto en los teléfonos disponibles, se activa un circuito de averiguación de datos a través de un grupo de operadores, tendientes a localizar al deudor, para luego reinsertarlo en el circuito de reclamos.</w:t>
      </w:r>
    </w:p>
    <w:p w14:paraId="7CA7D394" w14:textId="77777777" w:rsidR="00F74B80" w:rsidRPr="00506990" w:rsidRDefault="00F74B80" w:rsidP="00270AFD">
      <w:pPr>
        <w:pStyle w:val="Prrafodelista"/>
        <w:numPr>
          <w:ilvl w:val="0"/>
          <w:numId w:val="14"/>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Visitas domiciliarias</w:t>
      </w:r>
      <w:r w:rsidRPr="00506990">
        <w:rPr>
          <w:color w:val="0D0D0D" w:themeColor="text1" w:themeTint="F2"/>
          <w:sz w:val="22"/>
          <w:szCs w:val="22"/>
          <w:lang w:val="es-ES_tradnl"/>
        </w:rPr>
        <w:t>: personal de las sucursales de venta realizan acciones personales de cobranza en el domicilio del deudor, cuando no fuera posible ubicarlo por otros medios y/o las características de la deuda lo ameriten.</w:t>
      </w:r>
    </w:p>
    <w:p w14:paraId="50EDFCC5" w14:textId="77777777" w:rsidR="005B4BF5" w:rsidRPr="00506990" w:rsidRDefault="00F74B80" w:rsidP="00270AFD">
      <w:pPr>
        <w:pStyle w:val="Prrafodelista"/>
        <w:numPr>
          <w:ilvl w:val="0"/>
          <w:numId w:val="14"/>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Sucursales</w:t>
      </w:r>
      <w:r w:rsidRPr="00506990">
        <w:rPr>
          <w:color w:val="0D0D0D" w:themeColor="text1" w:themeTint="F2"/>
          <w:sz w:val="22"/>
          <w:szCs w:val="22"/>
          <w:lang w:val="es-ES_tradnl"/>
        </w:rPr>
        <w:t>: personal de crédito y mora de las sucursales realiza acciones telefónicas de refuerzo a las realizadas desde el Call Center Central, cuando el cliente fuera de difícil ubicación y/o las características de la deuda lo ameriten, en coordinación con el Departamento de Cobranzas. En las sucursales se ofrece una atención personal para refinanciar deudas o realizar acuerdos de pago. Las sucursales calificadas como de mayor riesgo crediticio disponen de un encargado de mora que concentra las gestiones anteriores y de visita a domicilio.</w:t>
      </w:r>
      <w:r w:rsidR="005B4BF5" w:rsidRPr="00506990">
        <w:rPr>
          <w:color w:val="0D0D0D" w:themeColor="text1" w:themeTint="F2"/>
          <w:sz w:val="22"/>
          <w:szCs w:val="22"/>
          <w:lang w:val="es-ES_tradnl"/>
        </w:rPr>
        <w:t xml:space="preserve"> Se realiza además un seguimiento de efectividad de cobranzas o refinanciaciones realizadas por los Operadores de Caja de Sucursales, tendiente a recuperar el máximo de lo adeudado.</w:t>
      </w:r>
    </w:p>
    <w:p w14:paraId="4D6CD6C4" w14:textId="65FDB3F7" w:rsidR="00F74B80" w:rsidRPr="0098446E" w:rsidRDefault="00F74B80" w:rsidP="00F77F79">
      <w:pPr>
        <w:spacing w:after="120"/>
        <w:ind w:left="1068"/>
        <w:rPr>
          <w:rFonts w:ascii="Times New Roman" w:hAnsi="Times New Roman" w:cs="Times New Roman"/>
          <w:color w:val="0D0D0D" w:themeColor="text1" w:themeTint="F2"/>
          <w:sz w:val="22"/>
          <w:szCs w:val="22"/>
        </w:rPr>
      </w:pPr>
    </w:p>
    <w:p w14:paraId="1D78EBC0" w14:textId="6FE1BE16" w:rsidR="00CC479E" w:rsidRPr="000579E7" w:rsidRDefault="00F74B80" w:rsidP="00074CF9">
      <w:pPr>
        <w:pStyle w:val="Prrafodelista"/>
        <w:keepNext/>
        <w:numPr>
          <w:ilvl w:val="0"/>
          <w:numId w:val="14"/>
        </w:numPr>
        <w:suppressAutoHyphens/>
        <w:spacing w:after="120" w:line="240" w:lineRule="atLeast"/>
        <w:contextualSpacing w:val="0"/>
        <w:jc w:val="both"/>
        <w:rPr>
          <w:b/>
          <w:color w:val="0D0D0D" w:themeColor="text1" w:themeTint="F2"/>
          <w:sz w:val="22"/>
          <w:szCs w:val="22"/>
        </w:rPr>
      </w:pPr>
      <w:r w:rsidRPr="000579E7">
        <w:rPr>
          <w:b/>
          <w:color w:val="0D0D0D" w:themeColor="text1" w:themeTint="F2"/>
          <w:sz w:val="22"/>
          <w:szCs w:val="22"/>
          <w:lang w:val="es-ES_tradnl"/>
        </w:rPr>
        <w:t>Afectaciones Comerciales</w:t>
      </w:r>
      <w:r w:rsidRPr="000579E7">
        <w:rPr>
          <w:color w:val="0D0D0D" w:themeColor="text1" w:themeTint="F2"/>
          <w:sz w:val="22"/>
          <w:szCs w:val="22"/>
          <w:lang w:val="es-ES_tradnl"/>
        </w:rPr>
        <w:t xml:space="preserve">: mensualmente </w:t>
      </w:r>
      <w:r w:rsidR="00F30964" w:rsidRPr="000579E7">
        <w:rPr>
          <w:color w:val="0D0D0D" w:themeColor="text1" w:themeTint="F2"/>
          <w:sz w:val="22"/>
          <w:szCs w:val="22"/>
          <w:lang w:val="es-ES_tradnl"/>
        </w:rPr>
        <w:t xml:space="preserve">se afecta y desafecta en Institutos de informes a nivel Local, Regional y Nacional, analizándose </w:t>
      </w:r>
      <w:r w:rsidRPr="000579E7">
        <w:rPr>
          <w:color w:val="0D0D0D" w:themeColor="text1" w:themeTint="F2"/>
          <w:sz w:val="22"/>
          <w:szCs w:val="22"/>
          <w:lang w:val="es-ES_tradnl"/>
        </w:rPr>
        <w:t>procedencia según criterios de Gerencia.</w:t>
      </w:r>
    </w:p>
    <w:p w14:paraId="454FBB8C" w14:textId="77777777" w:rsidR="00F74B80" w:rsidRPr="00506990"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377DC830" w14:textId="77777777" w:rsidR="00844A2A" w:rsidRPr="00506990" w:rsidRDefault="00844A2A"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6638ABC6" w14:textId="0D0B2A59" w:rsidR="00F74B80" w:rsidRPr="00506990" w:rsidRDefault="00F74B80" w:rsidP="00F74B80">
      <w:pPr>
        <w:keepNext/>
        <w:suppressAutoHyphens/>
        <w:spacing w:line="240" w:lineRule="atLeast"/>
        <w:rPr>
          <w:rFonts w:ascii="Times New Roman" w:hAnsi="Times New Roman" w:cs="Times New Roman"/>
          <w:b/>
          <w:color w:val="0D0D0D" w:themeColor="text1" w:themeTint="F2"/>
          <w:sz w:val="22"/>
          <w:szCs w:val="22"/>
          <w:u w:val="single"/>
        </w:rPr>
      </w:pPr>
      <w:r w:rsidRPr="00506990">
        <w:rPr>
          <w:rFonts w:ascii="Times New Roman" w:hAnsi="Times New Roman" w:cs="Times New Roman"/>
          <w:sz w:val="22"/>
          <w:szCs w:val="22"/>
        </w:rPr>
        <w:t>De acuerdo a la definición de Valor Fideicomitido prevista en el Contrato Suplementario, el capital transferido de los créditos es igual</w:t>
      </w:r>
      <w:r w:rsidR="00BC73B9" w:rsidRPr="00506990">
        <w:rPr>
          <w:rFonts w:ascii="Times New Roman" w:hAnsi="Times New Roman" w:cs="Times New Roman"/>
          <w:sz w:val="22"/>
          <w:szCs w:val="22"/>
        </w:rPr>
        <w:t xml:space="preserve"> a </w:t>
      </w:r>
      <w:r w:rsidR="00BC1C33" w:rsidRPr="00506990">
        <w:rPr>
          <w:rFonts w:ascii="Times New Roman" w:hAnsi="Times New Roman" w:cs="Times New Roman"/>
          <w:sz w:val="22"/>
          <w:szCs w:val="22"/>
        </w:rPr>
        <w:t>al saldo de capital de los Créditos fideicomitidos</w:t>
      </w:r>
      <w:r w:rsidRPr="00506990">
        <w:rPr>
          <w:rFonts w:ascii="Times New Roman" w:hAnsi="Times New Roman" w:cs="Times New Roman"/>
          <w:sz w:val="22"/>
          <w:szCs w:val="22"/>
        </w:rPr>
        <w:t>.</w:t>
      </w:r>
    </w:p>
    <w:p w14:paraId="2722A72B" w14:textId="77777777" w:rsidR="00F74B80" w:rsidRPr="00506990" w:rsidRDefault="00F74B80" w:rsidP="00F74B80">
      <w:pPr>
        <w:pStyle w:val="Textosinformato"/>
        <w:jc w:val="both"/>
        <w:rPr>
          <w:rFonts w:ascii="Times New Roman" w:hAnsi="Times New Roman"/>
          <w:b/>
          <w:bCs/>
          <w:iCs/>
          <w:color w:val="0D0D0D" w:themeColor="text1" w:themeTint="F2"/>
          <w:sz w:val="22"/>
          <w:szCs w:val="22"/>
          <w:lang w:val="es-ES"/>
        </w:rPr>
      </w:pPr>
    </w:p>
    <w:p w14:paraId="7773E719" w14:textId="77777777"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242F5050" w14:textId="24F125FF" w:rsidR="00545AE5" w:rsidRPr="00506990" w:rsidRDefault="00545AE5" w:rsidP="00F74B80">
      <w:pPr>
        <w:pStyle w:val="Textosinformato"/>
        <w:jc w:val="center"/>
        <w:rPr>
          <w:rFonts w:ascii="Times New Roman" w:hAnsi="Times New Roman"/>
          <w:bCs/>
          <w:i/>
          <w:iCs/>
          <w:color w:val="0D0D0D" w:themeColor="text1" w:themeTint="F2"/>
          <w:sz w:val="22"/>
          <w:szCs w:val="22"/>
          <w:lang w:val="es-ES"/>
        </w:rPr>
      </w:pPr>
      <w:r w:rsidRPr="00506990">
        <w:rPr>
          <w:rFonts w:ascii="Times New Roman" w:hAnsi="Times New Roman"/>
          <w:bCs/>
          <w:i/>
          <w:iCs/>
          <w:color w:val="0D0D0D" w:themeColor="text1" w:themeTint="F2"/>
          <w:sz w:val="22"/>
          <w:szCs w:val="22"/>
          <w:lang w:val="es-ES"/>
        </w:rPr>
        <w:t>Análisis de la cartera a la fecha de corte</w:t>
      </w:r>
    </w:p>
    <w:p w14:paraId="3475990D" w14:textId="77777777"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p>
    <w:p w14:paraId="58F7855A" w14:textId="01BA4342" w:rsidR="00BC1C33" w:rsidRDefault="00696C22" w:rsidP="00BC1C33">
      <w:pPr>
        <w:pStyle w:val="Textosinformato"/>
        <w:jc w:val="center"/>
        <w:rPr>
          <w:rFonts w:ascii="Times New Roman" w:hAnsi="Times New Roman"/>
          <w:b/>
          <w:bCs/>
          <w:iCs/>
          <w:color w:val="0D0D0D" w:themeColor="text1" w:themeTint="F2"/>
          <w:sz w:val="22"/>
          <w:szCs w:val="22"/>
          <w:u w:val="single"/>
          <w:lang w:val="es-ES"/>
        </w:rPr>
      </w:pPr>
      <w:r>
        <w:rPr>
          <w:noProof/>
          <w:lang w:val="es-AR" w:eastAsia="es-AR"/>
        </w:rPr>
        <w:drawing>
          <wp:inline distT="0" distB="0" distL="0" distR="0" wp14:anchorId="61B2DD84" wp14:editId="10F8B526">
            <wp:extent cx="6310630" cy="1021990"/>
            <wp:effectExtent l="0" t="0" r="0" b="698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17708" cy="1023136"/>
                    </a:xfrm>
                    <a:prstGeom prst="rect">
                      <a:avLst/>
                    </a:prstGeom>
                    <a:noFill/>
                    <a:extLst/>
                  </pic:spPr>
                </pic:pic>
              </a:graphicData>
            </a:graphic>
          </wp:inline>
        </w:drawing>
      </w:r>
    </w:p>
    <w:p w14:paraId="76641600" w14:textId="79EF7D06" w:rsidR="00F83881" w:rsidRDefault="00F83881" w:rsidP="00BC1C33">
      <w:pPr>
        <w:pStyle w:val="Textosinformato"/>
        <w:jc w:val="center"/>
        <w:rPr>
          <w:rFonts w:ascii="Times New Roman" w:hAnsi="Times New Roman"/>
          <w:b/>
          <w:bCs/>
          <w:iCs/>
          <w:color w:val="0D0D0D" w:themeColor="text1" w:themeTint="F2"/>
          <w:sz w:val="22"/>
          <w:szCs w:val="22"/>
          <w:u w:val="single"/>
          <w:lang w:val="es-ES"/>
        </w:rPr>
      </w:pPr>
    </w:p>
    <w:p w14:paraId="4E2EA7BF" w14:textId="6E96572C" w:rsidR="00A52B9F" w:rsidRDefault="00A52B9F" w:rsidP="00BC1C33">
      <w:pPr>
        <w:pStyle w:val="Textosinformato"/>
        <w:jc w:val="both"/>
        <w:rPr>
          <w:rFonts w:ascii="Times New Roman" w:hAnsi="Times New Roman"/>
          <w:sz w:val="22"/>
          <w:szCs w:val="22"/>
        </w:rPr>
      </w:pPr>
    </w:p>
    <w:p w14:paraId="69EE293A" w14:textId="77777777" w:rsidR="00F83881" w:rsidRPr="00506990" w:rsidRDefault="00F83881" w:rsidP="00BC1C33">
      <w:pPr>
        <w:pStyle w:val="Textosinformato"/>
        <w:jc w:val="both"/>
        <w:rPr>
          <w:rFonts w:ascii="Times New Roman" w:hAnsi="Times New Roman"/>
          <w:sz w:val="22"/>
          <w:szCs w:val="22"/>
        </w:rPr>
      </w:pPr>
    </w:p>
    <w:p w14:paraId="4E4AD79D" w14:textId="7BB355FC" w:rsidR="00A52B9F" w:rsidRPr="00506990" w:rsidRDefault="00696C22" w:rsidP="00BC1C33">
      <w:pPr>
        <w:pStyle w:val="Textosinformato"/>
        <w:jc w:val="both"/>
        <w:rPr>
          <w:rFonts w:ascii="Times New Roman" w:hAnsi="Times New Roman"/>
          <w:sz w:val="22"/>
          <w:szCs w:val="22"/>
        </w:rPr>
      </w:pPr>
      <w:r>
        <w:rPr>
          <w:noProof/>
          <w:lang w:val="es-AR" w:eastAsia="es-AR"/>
        </w:rPr>
        <w:lastRenderedPageBreak/>
        <w:drawing>
          <wp:inline distT="0" distB="0" distL="0" distR="0" wp14:anchorId="0DE3719B" wp14:editId="6989F683">
            <wp:extent cx="3378994" cy="604837"/>
            <wp:effectExtent l="0" t="0" r="0" b="508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8994" cy="60483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5C686DC" w14:textId="7F810273" w:rsidR="00BC1C33" w:rsidRPr="00506990" w:rsidRDefault="00BC1C33" w:rsidP="00BC1C33">
      <w:pPr>
        <w:pStyle w:val="Textosinformato"/>
        <w:jc w:val="center"/>
        <w:rPr>
          <w:rFonts w:ascii="Times New Roman" w:hAnsi="Times New Roman"/>
          <w:b/>
          <w:bCs/>
          <w:iCs/>
          <w:color w:val="0D0D0D" w:themeColor="text1" w:themeTint="F2"/>
          <w:sz w:val="22"/>
          <w:szCs w:val="22"/>
          <w:u w:val="single"/>
          <w:lang w:val="es-ES"/>
        </w:rPr>
      </w:pPr>
    </w:p>
    <w:p w14:paraId="63C0C969" w14:textId="6F209983" w:rsidR="00414D9D" w:rsidRPr="00506990" w:rsidRDefault="00414D9D" w:rsidP="008F4E11">
      <w:pPr>
        <w:pStyle w:val="Textosinformato"/>
        <w:jc w:val="both"/>
        <w:rPr>
          <w:rFonts w:ascii="Times New Roman" w:hAnsi="Times New Roman"/>
          <w:b/>
          <w:iCs/>
          <w:color w:val="0D0D0D" w:themeColor="text1" w:themeTint="F2"/>
          <w:sz w:val="22"/>
          <w:szCs w:val="22"/>
          <w:lang w:val="es-ES"/>
        </w:rPr>
      </w:pPr>
    </w:p>
    <w:p w14:paraId="725B598E" w14:textId="77777777" w:rsidR="00AF1E9B" w:rsidRPr="00506990" w:rsidRDefault="00AF1E9B" w:rsidP="008F4E11">
      <w:pPr>
        <w:pStyle w:val="Textosinformato"/>
        <w:jc w:val="both"/>
        <w:rPr>
          <w:rFonts w:ascii="Times New Roman" w:hAnsi="Times New Roman"/>
          <w:b/>
          <w:iCs/>
          <w:color w:val="0D0D0D" w:themeColor="text1" w:themeTint="F2"/>
          <w:sz w:val="22"/>
          <w:szCs w:val="22"/>
          <w:lang w:val="es-ES"/>
        </w:rPr>
      </w:pPr>
    </w:p>
    <w:p w14:paraId="5810C7B5" w14:textId="4411AEA5" w:rsidR="00A52B9F" w:rsidRDefault="00696C22" w:rsidP="008F4E11">
      <w:pPr>
        <w:pStyle w:val="Textosinformato"/>
        <w:jc w:val="both"/>
        <w:rPr>
          <w:rFonts w:ascii="Times New Roman" w:hAnsi="Times New Roman"/>
          <w:b/>
          <w:iCs/>
          <w:color w:val="0D0D0D" w:themeColor="text1" w:themeTint="F2"/>
          <w:sz w:val="22"/>
          <w:szCs w:val="22"/>
          <w:lang w:val="es-ES"/>
        </w:rPr>
      </w:pPr>
      <w:r>
        <w:rPr>
          <w:noProof/>
          <w:lang w:val="es-AR" w:eastAsia="es-AR"/>
        </w:rPr>
        <w:drawing>
          <wp:inline distT="0" distB="0" distL="0" distR="0" wp14:anchorId="7565C1E9" wp14:editId="7FEB971F">
            <wp:extent cx="5613400" cy="1169035"/>
            <wp:effectExtent l="0" t="0" r="635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3400" cy="1169035"/>
                    </a:xfrm>
                    <a:prstGeom prst="rect">
                      <a:avLst/>
                    </a:prstGeom>
                    <a:noFill/>
                    <a:extLst/>
                  </pic:spPr>
                </pic:pic>
              </a:graphicData>
            </a:graphic>
          </wp:inline>
        </w:drawing>
      </w:r>
    </w:p>
    <w:p w14:paraId="259C1921" w14:textId="77777777" w:rsidR="00F83881" w:rsidRDefault="00F83881" w:rsidP="008F4E11">
      <w:pPr>
        <w:pStyle w:val="Textosinformato"/>
        <w:jc w:val="both"/>
        <w:rPr>
          <w:rFonts w:ascii="Times New Roman" w:hAnsi="Times New Roman"/>
          <w:b/>
          <w:iCs/>
          <w:color w:val="0D0D0D" w:themeColor="text1" w:themeTint="F2"/>
          <w:sz w:val="22"/>
          <w:szCs w:val="22"/>
          <w:lang w:val="es-ES"/>
        </w:rPr>
      </w:pPr>
    </w:p>
    <w:p w14:paraId="784A0061" w14:textId="469E7DDB" w:rsidR="00F83881" w:rsidRDefault="00F83881" w:rsidP="008F4E11">
      <w:pPr>
        <w:pStyle w:val="Textosinformato"/>
        <w:jc w:val="both"/>
        <w:rPr>
          <w:rFonts w:ascii="Times New Roman" w:hAnsi="Times New Roman"/>
          <w:b/>
          <w:iCs/>
          <w:color w:val="0D0D0D" w:themeColor="text1" w:themeTint="F2"/>
          <w:sz w:val="22"/>
          <w:szCs w:val="22"/>
          <w:lang w:val="es-ES"/>
        </w:rPr>
      </w:pPr>
    </w:p>
    <w:p w14:paraId="3D489997" w14:textId="77777777" w:rsidR="00F83881" w:rsidRPr="00506990" w:rsidRDefault="00F83881" w:rsidP="008F4E11">
      <w:pPr>
        <w:pStyle w:val="Textosinformato"/>
        <w:jc w:val="both"/>
        <w:rPr>
          <w:rFonts w:ascii="Times New Roman" w:hAnsi="Times New Roman"/>
          <w:b/>
          <w:iCs/>
          <w:color w:val="0D0D0D" w:themeColor="text1" w:themeTint="F2"/>
          <w:sz w:val="22"/>
          <w:szCs w:val="22"/>
          <w:lang w:val="es-ES"/>
        </w:rPr>
      </w:pPr>
    </w:p>
    <w:p w14:paraId="7979F06C" w14:textId="77777777" w:rsidR="00F9180C" w:rsidRPr="00506990" w:rsidRDefault="00F9180C">
      <w:pPr>
        <w:pStyle w:val="Textosinformato"/>
        <w:jc w:val="center"/>
        <w:rPr>
          <w:rFonts w:ascii="Times New Roman" w:hAnsi="Times New Roman"/>
          <w:b/>
          <w:iCs/>
          <w:color w:val="0D0D0D" w:themeColor="text1" w:themeTint="F2"/>
          <w:sz w:val="22"/>
          <w:szCs w:val="22"/>
          <w:lang w:val="es-ES"/>
        </w:rPr>
      </w:pPr>
    </w:p>
    <w:p w14:paraId="4985E446" w14:textId="51C04634" w:rsidR="006A097F" w:rsidRPr="00506990"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ORIGINAL</w:t>
      </w:r>
    </w:p>
    <w:p w14:paraId="15339545" w14:textId="3DFFF338" w:rsidR="001F29E8" w:rsidRPr="00506990" w:rsidRDefault="001F29E8" w:rsidP="00F74B80">
      <w:pPr>
        <w:pStyle w:val="Textosinformato"/>
        <w:jc w:val="center"/>
        <w:rPr>
          <w:rFonts w:ascii="Times New Roman" w:hAnsi="Times New Roman"/>
          <w:color w:val="0D0D0D" w:themeColor="text1" w:themeTint="F2"/>
          <w:sz w:val="22"/>
          <w:szCs w:val="22"/>
          <w:highlight w:val="yellow"/>
          <w:u w:val="single"/>
        </w:rPr>
      </w:pPr>
    </w:p>
    <w:p w14:paraId="50204EEB" w14:textId="30B783DF" w:rsidR="00F74B80" w:rsidRDefault="00F74B80" w:rsidP="00121F94">
      <w:pPr>
        <w:pStyle w:val="Textosinformato"/>
        <w:jc w:val="both"/>
        <w:rPr>
          <w:rFonts w:ascii="Times New Roman" w:hAnsi="Times New Roman"/>
          <w:b/>
          <w:iCs/>
          <w:color w:val="0D0D0D" w:themeColor="text1" w:themeTint="F2"/>
          <w:sz w:val="22"/>
          <w:szCs w:val="22"/>
          <w:lang w:val="es-ES"/>
        </w:rPr>
      </w:pPr>
    </w:p>
    <w:p w14:paraId="0F523128" w14:textId="2B038AB5" w:rsidR="00F83881" w:rsidRDefault="00696C22" w:rsidP="00121F94">
      <w:pPr>
        <w:pStyle w:val="Textosinformato"/>
        <w:jc w:val="both"/>
        <w:rPr>
          <w:rFonts w:ascii="Times New Roman" w:hAnsi="Times New Roman"/>
          <w:b/>
          <w:iCs/>
          <w:color w:val="0D0D0D" w:themeColor="text1" w:themeTint="F2"/>
          <w:sz w:val="22"/>
          <w:szCs w:val="22"/>
          <w:lang w:val="es-ES"/>
        </w:rPr>
      </w:pPr>
      <w:r>
        <w:rPr>
          <w:noProof/>
          <w:lang w:val="es-AR" w:eastAsia="es-AR"/>
        </w:rPr>
        <w:drawing>
          <wp:inline distT="0" distB="0" distL="0" distR="0" wp14:anchorId="41ED068A" wp14:editId="1175971B">
            <wp:extent cx="5613400" cy="1976120"/>
            <wp:effectExtent l="0" t="0" r="6350" b="508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3400" cy="1976120"/>
                    </a:xfrm>
                    <a:prstGeom prst="rect">
                      <a:avLst/>
                    </a:prstGeom>
                    <a:noFill/>
                    <a:extLst/>
                  </pic:spPr>
                </pic:pic>
              </a:graphicData>
            </a:graphic>
          </wp:inline>
        </w:drawing>
      </w:r>
    </w:p>
    <w:p w14:paraId="34025462" w14:textId="77777777" w:rsidR="00F83881" w:rsidRDefault="00F83881" w:rsidP="00121F94">
      <w:pPr>
        <w:pStyle w:val="Textosinformato"/>
        <w:jc w:val="both"/>
        <w:rPr>
          <w:rFonts w:ascii="Times New Roman" w:hAnsi="Times New Roman"/>
          <w:b/>
          <w:iCs/>
          <w:color w:val="0D0D0D" w:themeColor="text1" w:themeTint="F2"/>
          <w:sz w:val="22"/>
          <w:szCs w:val="22"/>
          <w:lang w:val="es-ES"/>
        </w:rPr>
      </w:pPr>
    </w:p>
    <w:p w14:paraId="0BADBCD6" w14:textId="70906A6B" w:rsidR="00773CF7" w:rsidRPr="001E47E3" w:rsidRDefault="0076356C" w:rsidP="001E47E3">
      <w:pPr>
        <w:pStyle w:val="Textosinformato"/>
        <w:rPr>
          <w:rFonts w:ascii="Times New Roman" w:hAnsi="Times New Roman"/>
          <w:iCs/>
          <w:color w:val="0D0D0D" w:themeColor="text1" w:themeTint="F2"/>
          <w:sz w:val="22"/>
          <w:szCs w:val="22"/>
          <w:lang w:val="es-ES"/>
        </w:rPr>
      </w:pPr>
      <w:r w:rsidRPr="001E47E3">
        <w:rPr>
          <w:rFonts w:ascii="Times New Roman" w:hAnsi="Times New Roman"/>
          <w:iCs/>
          <w:color w:val="0D0D0D" w:themeColor="text1" w:themeTint="F2"/>
          <w:sz w:val="22"/>
          <w:szCs w:val="22"/>
          <w:lang w:val="es-ES"/>
        </w:rPr>
        <w:t xml:space="preserve">El límite </w:t>
      </w:r>
      <w:r w:rsidR="00773CF7" w:rsidRPr="001E47E3">
        <w:rPr>
          <w:rFonts w:ascii="Times New Roman" w:hAnsi="Times New Roman"/>
          <w:iCs/>
          <w:color w:val="0D0D0D" w:themeColor="text1" w:themeTint="F2"/>
          <w:sz w:val="22"/>
          <w:szCs w:val="22"/>
          <w:lang w:val="es-ES"/>
        </w:rPr>
        <w:t xml:space="preserve">expuesto se corresponde con créditos </w:t>
      </w:r>
      <w:r>
        <w:rPr>
          <w:rFonts w:ascii="Times New Roman" w:hAnsi="Times New Roman"/>
          <w:iCs/>
          <w:color w:val="0D0D0D" w:themeColor="text1" w:themeTint="F2"/>
          <w:sz w:val="22"/>
          <w:szCs w:val="22"/>
          <w:lang w:val="es-ES"/>
        </w:rPr>
        <w:t>originados</w:t>
      </w:r>
      <w:r w:rsidR="00773CF7" w:rsidRPr="001E47E3">
        <w:rPr>
          <w:rFonts w:ascii="Times New Roman" w:hAnsi="Times New Roman"/>
          <w:iCs/>
          <w:color w:val="0D0D0D" w:themeColor="text1" w:themeTint="F2"/>
          <w:sz w:val="22"/>
          <w:szCs w:val="22"/>
          <w:lang w:val="es-ES"/>
        </w:rPr>
        <w:t xml:space="preserve"> bajo las Normas de</w:t>
      </w:r>
      <w:r w:rsidRPr="001E47E3">
        <w:rPr>
          <w:rFonts w:ascii="Times New Roman" w:hAnsi="Times New Roman"/>
          <w:iCs/>
          <w:color w:val="0D0D0D" w:themeColor="text1" w:themeTint="F2"/>
          <w:sz w:val="22"/>
          <w:szCs w:val="22"/>
          <w:lang w:val="es-ES"/>
        </w:rPr>
        <w:t xml:space="preserve"> </w:t>
      </w:r>
      <w:r w:rsidR="00773CF7" w:rsidRPr="001E47E3">
        <w:rPr>
          <w:rFonts w:ascii="Times New Roman" w:hAnsi="Times New Roman"/>
          <w:iCs/>
          <w:color w:val="0D0D0D" w:themeColor="text1" w:themeTint="F2"/>
          <w:sz w:val="22"/>
          <w:szCs w:val="22"/>
          <w:lang w:val="es-ES"/>
        </w:rPr>
        <w:t>Originación vigente</w:t>
      </w:r>
      <w:r w:rsidRPr="001E47E3">
        <w:rPr>
          <w:rFonts w:ascii="Times New Roman" w:hAnsi="Times New Roman"/>
          <w:iCs/>
          <w:color w:val="0D0D0D" w:themeColor="text1" w:themeTint="F2"/>
          <w:sz w:val="22"/>
          <w:szCs w:val="22"/>
          <w:lang w:val="es-ES"/>
        </w:rPr>
        <w:t>s</w:t>
      </w:r>
      <w:r>
        <w:rPr>
          <w:rFonts w:ascii="Times New Roman" w:hAnsi="Times New Roman"/>
          <w:iCs/>
          <w:color w:val="0D0D0D" w:themeColor="text1" w:themeTint="F2"/>
          <w:sz w:val="22"/>
          <w:szCs w:val="22"/>
          <w:lang w:val="es-ES"/>
        </w:rPr>
        <w:t>.</w:t>
      </w:r>
      <w:r w:rsidRPr="001E47E3">
        <w:rPr>
          <w:rFonts w:ascii="Times New Roman" w:hAnsi="Times New Roman"/>
          <w:iCs/>
          <w:color w:val="0D0D0D" w:themeColor="text1" w:themeTint="F2"/>
          <w:sz w:val="22"/>
          <w:szCs w:val="22"/>
          <w:lang w:val="es-ES"/>
        </w:rPr>
        <w:t xml:space="preserve"> (</w:t>
      </w:r>
      <w:r w:rsidRPr="0076356C">
        <w:rPr>
          <w:rFonts w:ascii="Times New Roman" w:hAnsi="Times New Roman"/>
          <w:iCs/>
          <w:color w:val="0D0D0D" w:themeColor="text1" w:themeTint="F2"/>
          <w:sz w:val="22"/>
          <w:szCs w:val="22"/>
          <w:lang w:val="es-ES"/>
        </w:rPr>
        <w:t>Máximo</w:t>
      </w:r>
      <w:r w:rsidRPr="001E47E3">
        <w:rPr>
          <w:rFonts w:ascii="Times New Roman" w:hAnsi="Times New Roman"/>
          <w:iCs/>
          <w:color w:val="0D0D0D" w:themeColor="text1" w:themeTint="F2"/>
          <w:sz w:val="22"/>
          <w:szCs w:val="22"/>
          <w:lang w:val="es-ES"/>
        </w:rPr>
        <w:t xml:space="preserve"> de $ 90</w:t>
      </w:r>
      <w:r w:rsidR="00773CF7" w:rsidRPr="001E47E3">
        <w:rPr>
          <w:rFonts w:ascii="Times New Roman" w:hAnsi="Times New Roman"/>
          <w:iCs/>
          <w:color w:val="0D0D0D" w:themeColor="text1" w:themeTint="F2"/>
          <w:sz w:val="22"/>
          <w:szCs w:val="22"/>
          <w:lang w:val="es-ES"/>
        </w:rPr>
        <w:t>.000).</w:t>
      </w:r>
    </w:p>
    <w:p w14:paraId="7410407A" w14:textId="57A54B85" w:rsidR="00F9180C" w:rsidRPr="00506990" w:rsidRDefault="00F9180C" w:rsidP="00270AFD">
      <w:pPr>
        <w:pStyle w:val="Textosinformato"/>
        <w:rPr>
          <w:rFonts w:ascii="Times New Roman" w:hAnsi="Times New Roman"/>
          <w:b/>
          <w:iCs/>
          <w:color w:val="0D0D0D" w:themeColor="text1" w:themeTint="F2"/>
          <w:sz w:val="22"/>
          <w:szCs w:val="22"/>
          <w:lang w:val="es-ES"/>
        </w:rPr>
      </w:pPr>
    </w:p>
    <w:p w14:paraId="7215F1BF" w14:textId="77777777" w:rsidR="00C85CFC" w:rsidRPr="00506990" w:rsidRDefault="00C85CFC" w:rsidP="00F74B80">
      <w:pPr>
        <w:pStyle w:val="Textosinformato"/>
        <w:jc w:val="center"/>
        <w:rPr>
          <w:rFonts w:ascii="Times New Roman" w:hAnsi="Times New Roman"/>
          <w:b/>
          <w:iCs/>
          <w:color w:val="0D0D0D" w:themeColor="text1" w:themeTint="F2"/>
          <w:sz w:val="22"/>
          <w:szCs w:val="22"/>
          <w:lang w:val="es-ES"/>
        </w:rPr>
      </w:pPr>
    </w:p>
    <w:p w14:paraId="02807F91"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p>
    <w:p w14:paraId="16AA8A43" w14:textId="12203622" w:rsidR="00F74B80" w:rsidRDefault="00F74B80" w:rsidP="00F74B80">
      <w:pPr>
        <w:pStyle w:val="Textosinformato"/>
        <w:jc w:val="center"/>
        <w:rPr>
          <w:rFonts w:ascii="Times New Roman" w:hAnsi="Times New Roman"/>
          <w:color w:val="0D0D0D" w:themeColor="text1" w:themeTint="F2"/>
          <w:sz w:val="22"/>
          <w:szCs w:val="22"/>
          <w:highlight w:val="yellow"/>
          <w:u w:val="single"/>
        </w:rPr>
      </w:pPr>
    </w:p>
    <w:p w14:paraId="7B83F35D" w14:textId="186D8717" w:rsidR="00F83881" w:rsidRDefault="00696C22" w:rsidP="00F74B80">
      <w:pPr>
        <w:pStyle w:val="Textosinformato"/>
        <w:jc w:val="center"/>
        <w:rPr>
          <w:rFonts w:ascii="Times New Roman" w:hAnsi="Times New Roman"/>
          <w:color w:val="0D0D0D" w:themeColor="text1" w:themeTint="F2"/>
          <w:sz w:val="22"/>
          <w:szCs w:val="22"/>
          <w:highlight w:val="yellow"/>
          <w:u w:val="single"/>
        </w:rPr>
      </w:pPr>
      <w:r>
        <w:rPr>
          <w:noProof/>
          <w:lang w:val="es-AR" w:eastAsia="es-AR"/>
        </w:rPr>
        <w:lastRenderedPageBreak/>
        <w:drawing>
          <wp:inline distT="0" distB="0" distL="0" distR="0" wp14:anchorId="6EA701C2" wp14:editId="7A694582">
            <wp:extent cx="5613400" cy="2225040"/>
            <wp:effectExtent l="0" t="0" r="6350" b="381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3400" cy="2225040"/>
                    </a:xfrm>
                    <a:prstGeom prst="rect">
                      <a:avLst/>
                    </a:prstGeom>
                    <a:noFill/>
                    <a:extLst/>
                  </pic:spPr>
                </pic:pic>
              </a:graphicData>
            </a:graphic>
          </wp:inline>
        </w:drawing>
      </w:r>
    </w:p>
    <w:p w14:paraId="36E1E65D" w14:textId="77777777" w:rsidR="00F83881" w:rsidRPr="00506990" w:rsidRDefault="00F83881" w:rsidP="00F74B80">
      <w:pPr>
        <w:pStyle w:val="Textosinformato"/>
        <w:jc w:val="center"/>
        <w:rPr>
          <w:rFonts w:ascii="Times New Roman" w:hAnsi="Times New Roman"/>
          <w:color w:val="0D0D0D" w:themeColor="text1" w:themeTint="F2"/>
          <w:sz w:val="22"/>
          <w:szCs w:val="22"/>
          <w:highlight w:val="yellow"/>
          <w:u w:val="single"/>
        </w:rPr>
      </w:pPr>
    </w:p>
    <w:p w14:paraId="7655BBC3" w14:textId="792709D9" w:rsidR="00A52B9F" w:rsidRPr="00506990" w:rsidRDefault="00A52B9F" w:rsidP="00F74B80">
      <w:pPr>
        <w:pStyle w:val="Textosinformato"/>
        <w:jc w:val="center"/>
        <w:rPr>
          <w:rFonts w:ascii="Times New Roman" w:hAnsi="Times New Roman"/>
          <w:color w:val="0D0D0D" w:themeColor="text1" w:themeTint="F2"/>
          <w:sz w:val="22"/>
          <w:szCs w:val="22"/>
          <w:highlight w:val="yellow"/>
          <w:u w:val="single"/>
        </w:rPr>
      </w:pPr>
    </w:p>
    <w:p w14:paraId="69B1BA13" w14:textId="0E91A3FB" w:rsidR="00AF1E9B" w:rsidRPr="00506990" w:rsidRDefault="00AF1E9B" w:rsidP="00F74B80">
      <w:pPr>
        <w:pStyle w:val="Textosinformato"/>
        <w:jc w:val="center"/>
        <w:rPr>
          <w:rFonts w:ascii="Times New Roman" w:hAnsi="Times New Roman"/>
          <w:color w:val="0D0D0D" w:themeColor="text1" w:themeTint="F2"/>
          <w:sz w:val="22"/>
          <w:szCs w:val="22"/>
          <w:highlight w:val="yellow"/>
          <w:u w:val="single"/>
        </w:rPr>
      </w:pPr>
    </w:p>
    <w:p w14:paraId="7CB5588E" w14:textId="23222538"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color w:val="0D0D0D" w:themeColor="text1" w:themeTint="F2"/>
          <w:sz w:val="22"/>
          <w:szCs w:val="22"/>
          <w:highlight w:val="yellow"/>
          <w:u w:val="single"/>
        </w:rPr>
        <w:t xml:space="preserve"> </w:t>
      </w:r>
    </w:p>
    <w:p w14:paraId="54132F01"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ANTIGÜEDAD</w:t>
      </w:r>
    </w:p>
    <w:p w14:paraId="575AEB6F" w14:textId="2991BEEA" w:rsidR="001F29E8" w:rsidRDefault="001F29E8" w:rsidP="00F74B80">
      <w:pPr>
        <w:pStyle w:val="Textosinformato"/>
        <w:jc w:val="center"/>
        <w:rPr>
          <w:rFonts w:ascii="Times New Roman" w:hAnsi="Times New Roman"/>
          <w:b/>
          <w:iCs/>
          <w:color w:val="0D0D0D" w:themeColor="text1" w:themeTint="F2"/>
          <w:sz w:val="22"/>
          <w:szCs w:val="22"/>
          <w:lang w:val="es-ES"/>
        </w:rPr>
      </w:pPr>
    </w:p>
    <w:p w14:paraId="5F9A305A" w14:textId="77777777" w:rsidR="00F83881" w:rsidRDefault="00F83881" w:rsidP="00F74B80">
      <w:pPr>
        <w:pStyle w:val="Textosinformato"/>
        <w:jc w:val="center"/>
        <w:rPr>
          <w:rFonts w:ascii="Times New Roman" w:hAnsi="Times New Roman"/>
          <w:b/>
          <w:iCs/>
          <w:color w:val="0D0D0D" w:themeColor="text1" w:themeTint="F2"/>
          <w:sz w:val="22"/>
          <w:szCs w:val="22"/>
          <w:lang w:val="es-ES"/>
        </w:rPr>
      </w:pPr>
    </w:p>
    <w:p w14:paraId="2D7E00BD" w14:textId="0124EC05" w:rsidR="00F83881" w:rsidRPr="00506990" w:rsidRDefault="00696C22" w:rsidP="00F74B80">
      <w:pPr>
        <w:pStyle w:val="Textosinformato"/>
        <w:jc w:val="center"/>
        <w:rPr>
          <w:rFonts w:ascii="Times New Roman" w:hAnsi="Times New Roman"/>
          <w:b/>
          <w:iCs/>
          <w:color w:val="0D0D0D" w:themeColor="text1" w:themeTint="F2"/>
          <w:sz w:val="22"/>
          <w:szCs w:val="22"/>
          <w:lang w:val="es-ES"/>
        </w:rPr>
      </w:pPr>
      <w:r>
        <w:rPr>
          <w:noProof/>
          <w:lang w:val="es-AR" w:eastAsia="es-AR"/>
        </w:rPr>
        <w:drawing>
          <wp:inline distT="0" distB="0" distL="0" distR="0" wp14:anchorId="5C4E2A6D" wp14:editId="6CF69F6A">
            <wp:extent cx="5613400" cy="2353945"/>
            <wp:effectExtent l="0" t="0" r="6350" b="8255"/>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3400" cy="2353945"/>
                    </a:xfrm>
                    <a:prstGeom prst="rect">
                      <a:avLst/>
                    </a:prstGeom>
                    <a:noFill/>
                    <a:extLst/>
                  </pic:spPr>
                </pic:pic>
              </a:graphicData>
            </a:graphic>
          </wp:inline>
        </w:drawing>
      </w:r>
    </w:p>
    <w:p w14:paraId="5047146C" w14:textId="77777777" w:rsidR="00AF1E9B" w:rsidRPr="00506990" w:rsidRDefault="00AF1E9B" w:rsidP="00C91547">
      <w:pPr>
        <w:pStyle w:val="Textosinformato"/>
        <w:rPr>
          <w:rFonts w:ascii="Times New Roman" w:hAnsi="Times New Roman"/>
        </w:rPr>
      </w:pPr>
    </w:p>
    <w:p w14:paraId="761FBD3D" w14:textId="7A2D4823" w:rsidR="00F9180C" w:rsidRPr="00506990" w:rsidRDefault="00F9180C" w:rsidP="00F74B80">
      <w:pPr>
        <w:pStyle w:val="Textosinformato"/>
        <w:rPr>
          <w:rFonts w:ascii="Times New Roman" w:hAnsi="Times New Roman"/>
          <w:iCs/>
          <w:color w:val="0D0D0D" w:themeColor="text1" w:themeTint="F2"/>
          <w:sz w:val="22"/>
          <w:szCs w:val="22"/>
          <w:lang w:val="es-ES"/>
        </w:rPr>
      </w:pPr>
    </w:p>
    <w:p w14:paraId="1B61872B" w14:textId="77777777" w:rsidR="00F74B80" w:rsidRPr="00506990" w:rsidRDefault="00F74B80" w:rsidP="00F74B80">
      <w:pPr>
        <w:pStyle w:val="Textosinformato"/>
        <w:rPr>
          <w:rFonts w:ascii="Times New Roman" w:hAnsi="Times New Roman"/>
          <w:iCs/>
          <w:color w:val="0D0D0D" w:themeColor="text1" w:themeTint="F2"/>
          <w:sz w:val="22"/>
          <w:szCs w:val="22"/>
          <w:lang w:val="es-ES"/>
        </w:rPr>
      </w:pPr>
      <w:r w:rsidRPr="00506990">
        <w:rPr>
          <w:rFonts w:ascii="Times New Roman" w:hAnsi="Times New Roman"/>
          <w:iCs/>
          <w:color w:val="0D0D0D" w:themeColor="text1" w:themeTint="F2"/>
          <w:sz w:val="22"/>
          <w:szCs w:val="22"/>
          <w:lang w:val="es-ES"/>
        </w:rPr>
        <w:t>Se entiende por Antigüedad al número de cuotas del crédito vencidas con anterioridad a la fecha de corte.</w:t>
      </w:r>
    </w:p>
    <w:p w14:paraId="078B45E8"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p>
    <w:p w14:paraId="05057B20"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REMANENTE</w:t>
      </w:r>
    </w:p>
    <w:p w14:paraId="07D2E5AA" w14:textId="77777777"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14:paraId="3E5123B0" w14:textId="5162D867" w:rsidR="00F74B80" w:rsidRDefault="00696C22" w:rsidP="00F74B80">
      <w:pPr>
        <w:pStyle w:val="Textosinformato"/>
        <w:jc w:val="center"/>
        <w:rPr>
          <w:rFonts w:ascii="Times New Roman" w:hAnsi="Times New Roman"/>
          <w:color w:val="0D0D0D" w:themeColor="text1" w:themeTint="F2"/>
          <w:sz w:val="22"/>
          <w:szCs w:val="22"/>
          <w:highlight w:val="yellow"/>
          <w:u w:val="single"/>
        </w:rPr>
      </w:pPr>
      <w:r>
        <w:rPr>
          <w:noProof/>
          <w:lang w:val="es-AR" w:eastAsia="es-AR"/>
        </w:rPr>
        <w:lastRenderedPageBreak/>
        <w:drawing>
          <wp:inline distT="0" distB="0" distL="0" distR="0" wp14:anchorId="5814D317" wp14:editId="05CFDD68">
            <wp:extent cx="5613400" cy="1884045"/>
            <wp:effectExtent l="0" t="0" r="6350" b="1905"/>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1884045"/>
                    </a:xfrm>
                    <a:prstGeom prst="rect">
                      <a:avLst/>
                    </a:prstGeom>
                    <a:noFill/>
                    <a:extLst/>
                  </pic:spPr>
                </pic:pic>
              </a:graphicData>
            </a:graphic>
          </wp:inline>
        </w:drawing>
      </w:r>
    </w:p>
    <w:p w14:paraId="1F48654C" w14:textId="77777777" w:rsidR="00F83881" w:rsidRDefault="00F83881" w:rsidP="00F74B80">
      <w:pPr>
        <w:pStyle w:val="Textosinformato"/>
        <w:jc w:val="center"/>
        <w:rPr>
          <w:rFonts w:ascii="Times New Roman" w:hAnsi="Times New Roman"/>
          <w:color w:val="0D0D0D" w:themeColor="text1" w:themeTint="F2"/>
          <w:sz w:val="22"/>
          <w:szCs w:val="22"/>
          <w:highlight w:val="yellow"/>
          <w:u w:val="single"/>
        </w:rPr>
      </w:pPr>
    </w:p>
    <w:p w14:paraId="42B90B4A" w14:textId="77777777" w:rsidR="00F9180C" w:rsidRPr="00506990" w:rsidRDefault="00F9180C" w:rsidP="00F74B80">
      <w:pPr>
        <w:pStyle w:val="Textosinformato"/>
        <w:jc w:val="center"/>
        <w:rPr>
          <w:rFonts w:ascii="Times New Roman" w:hAnsi="Times New Roman"/>
          <w:b/>
          <w:iCs/>
          <w:color w:val="0D0D0D" w:themeColor="text1" w:themeTint="F2"/>
          <w:sz w:val="22"/>
          <w:szCs w:val="22"/>
          <w:lang w:val="es-ES"/>
        </w:rPr>
      </w:pPr>
    </w:p>
    <w:p w14:paraId="39C5727D"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ORIGINAL</w:t>
      </w:r>
    </w:p>
    <w:p w14:paraId="66C5E5EC" w14:textId="2100ECB2" w:rsidR="00F74B80" w:rsidRPr="00506990" w:rsidRDefault="00F74B80" w:rsidP="00F74B80">
      <w:pPr>
        <w:pStyle w:val="Textosinformato"/>
        <w:jc w:val="center"/>
        <w:rPr>
          <w:rFonts w:ascii="Times New Roman" w:hAnsi="Times New Roman"/>
          <w:color w:val="0D0D0D" w:themeColor="text1" w:themeTint="F2"/>
          <w:sz w:val="22"/>
          <w:szCs w:val="22"/>
          <w:highlight w:val="yellow"/>
          <w:u w:val="single"/>
        </w:rPr>
      </w:pPr>
    </w:p>
    <w:p w14:paraId="4C846714" w14:textId="53321EBE" w:rsidR="00F74B80" w:rsidRDefault="00696C22" w:rsidP="00F74B80">
      <w:pPr>
        <w:pStyle w:val="Textosinformato"/>
        <w:jc w:val="center"/>
        <w:rPr>
          <w:rFonts w:ascii="Times New Roman" w:hAnsi="Times New Roman"/>
          <w:highlight w:val="yellow"/>
        </w:rPr>
      </w:pPr>
      <w:r>
        <w:rPr>
          <w:noProof/>
          <w:lang w:val="es-AR" w:eastAsia="es-AR"/>
        </w:rPr>
        <w:drawing>
          <wp:inline distT="0" distB="0" distL="0" distR="0" wp14:anchorId="44D24274" wp14:editId="7761555A">
            <wp:extent cx="5613400" cy="2036445"/>
            <wp:effectExtent l="0" t="0" r="6350" b="1905"/>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2036445"/>
                    </a:xfrm>
                    <a:prstGeom prst="rect">
                      <a:avLst/>
                    </a:prstGeom>
                    <a:noFill/>
                    <a:extLst/>
                  </pic:spPr>
                </pic:pic>
              </a:graphicData>
            </a:graphic>
          </wp:inline>
        </w:drawing>
      </w:r>
    </w:p>
    <w:p w14:paraId="2D82EADB" w14:textId="77777777" w:rsidR="00F83881" w:rsidRDefault="00F83881" w:rsidP="00F74B80">
      <w:pPr>
        <w:pStyle w:val="Textosinformato"/>
        <w:jc w:val="center"/>
        <w:rPr>
          <w:rFonts w:ascii="Times New Roman" w:hAnsi="Times New Roman"/>
          <w:highlight w:val="yellow"/>
        </w:rPr>
      </w:pPr>
    </w:p>
    <w:p w14:paraId="1D33D2AE" w14:textId="77777777" w:rsidR="00F83881" w:rsidRPr="00506990" w:rsidRDefault="00F83881" w:rsidP="00F74B80">
      <w:pPr>
        <w:pStyle w:val="Textosinformato"/>
        <w:jc w:val="center"/>
        <w:rPr>
          <w:rFonts w:ascii="Times New Roman" w:hAnsi="Times New Roman"/>
          <w:highlight w:val="yellow"/>
        </w:rPr>
      </w:pPr>
    </w:p>
    <w:p w14:paraId="79501739" w14:textId="673D031A" w:rsidR="00F74B80" w:rsidRPr="00506990" w:rsidRDefault="00C85CFC" w:rsidP="00F74B80">
      <w:pPr>
        <w:pStyle w:val="Textosinformato"/>
        <w:rPr>
          <w:rFonts w:ascii="Times New Roman" w:hAnsi="Times New Roman"/>
          <w:iCs/>
          <w:color w:val="0D0D0D" w:themeColor="text1" w:themeTint="F2"/>
          <w:sz w:val="22"/>
          <w:szCs w:val="22"/>
          <w:lang w:val="es-ES"/>
        </w:rPr>
      </w:pPr>
      <w:r w:rsidRPr="00506990">
        <w:rPr>
          <w:rFonts w:ascii="Times New Roman" w:hAnsi="Times New Roman"/>
          <w:iCs/>
          <w:color w:val="0D0D0D" w:themeColor="text1" w:themeTint="F2"/>
          <w:sz w:val="22"/>
          <w:szCs w:val="22"/>
          <w:lang w:val="es-ES"/>
        </w:rPr>
        <w:t>El límite expuesto se corresponde con créditos que se originaron en el año 2018 bajo las Normas de Originación vigentes en ese momento</w:t>
      </w:r>
      <w:r w:rsidR="006031AE" w:rsidRPr="00506990">
        <w:rPr>
          <w:rFonts w:ascii="Times New Roman" w:hAnsi="Times New Roman"/>
          <w:iCs/>
          <w:color w:val="0D0D0D" w:themeColor="text1" w:themeTint="F2"/>
          <w:sz w:val="22"/>
          <w:szCs w:val="22"/>
          <w:lang w:val="es-ES"/>
        </w:rPr>
        <w:t xml:space="preserve"> (máximo de 36 meses)</w:t>
      </w:r>
      <w:r w:rsidRPr="00506990">
        <w:rPr>
          <w:rFonts w:ascii="Times New Roman" w:hAnsi="Times New Roman"/>
          <w:iCs/>
          <w:color w:val="0D0D0D" w:themeColor="text1" w:themeTint="F2"/>
          <w:sz w:val="22"/>
          <w:szCs w:val="22"/>
          <w:lang w:val="es-ES"/>
        </w:rPr>
        <w:t>.</w:t>
      </w:r>
    </w:p>
    <w:p w14:paraId="6D0BCD62" w14:textId="77777777" w:rsidR="00F9180C" w:rsidRPr="00506990" w:rsidRDefault="00F9180C" w:rsidP="00270AFD">
      <w:pPr>
        <w:pStyle w:val="Textosinformato"/>
        <w:rPr>
          <w:rFonts w:ascii="Times New Roman" w:hAnsi="Times New Roman"/>
          <w:b/>
          <w:iCs/>
          <w:color w:val="0D0D0D" w:themeColor="text1" w:themeTint="F2"/>
          <w:sz w:val="22"/>
          <w:szCs w:val="22"/>
          <w:lang w:val="es-ES"/>
        </w:rPr>
      </w:pPr>
    </w:p>
    <w:p w14:paraId="1097ECE2"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ATRASO</w:t>
      </w:r>
    </w:p>
    <w:p w14:paraId="22291FDB" w14:textId="4E3E9153"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14:paraId="27408DA6" w14:textId="3C10F5D0" w:rsidR="00F74B80" w:rsidRDefault="00F74B80" w:rsidP="00F74B80">
      <w:pPr>
        <w:pStyle w:val="Textosinformato"/>
        <w:jc w:val="center"/>
        <w:rPr>
          <w:rFonts w:ascii="Times New Roman" w:hAnsi="Times New Roman"/>
          <w:b/>
          <w:iCs/>
          <w:lang w:val="es-ES"/>
        </w:rPr>
      </w:pPr>
    </w:p>
    <w:p w14:paraId="5D21C843" w14:textId="370BAF67" w:rsidR="00F83881" w:rsidRDefault="00696C22" w:rsidP="00F74B80">
      <w:pPr>
        <w:pStyle w:val="Textosinformato"/>
        <w:jc w:val="center"/>
        <w:rPr>
          <w:rFonts w:ascii="Times New Roman" w:hAnsi="Times New Roman"/>
          <w:b/>
          <w:iCs/>
          <w:lang w:val="es-ES"/>
        </w:rPr>
      </w:pPr>
      <w:r>
        <w:rPr>
          <w:noProof/>
          <w:lang w:val="es-AR" w:eastAsia="es-AR"/>
        </w:rPr>
        <w:drawing>
          <wp:inline distT="0" distB="0" distL="0" distR="0" wp14:anchorId="5654CD92" wp14:editId="0655CA43">
            <wp:extent cx="5613400" cy="873760"/>
            <wp:effectExtent l="0" t="0" r="6350" b="254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873760"/>
                    </a:xfrm>
                    <a:prstGeom prst="rect">
                      <a:avLst/>
                    </a:prstGeom>
                    <a:noFill/>
                    <a:extLst/>
                  </pic:spPr>
                </pic:pic>
              </a:graphicData>
            </a:graphic>
          </wp:inline>
        </w:drawing>
      </w:r>
    </w:p>
    <w:p w14:paraId="13D0C658" w14:textId="77777777" w:rsidR="00A52B9F" w:rsidRPr="0098446E" w:rsidRDefault="00A52B9F" w:rsidP="00F74B80">
      <w:pPr>
        <w:pStyle w:val="Textosinformato"/>
        <w:jc w:val="center"/>
        <w:rPr>
          <w:rFonts w:ascii="Times New Roman" w:hAnsi="Times New Roman"/>
          <w:b/>
          <w:iCs/>
          <w:lang w:val="es-ES"/>
        </w:rPr>
      </w:pPr>
    </w:p>
    <w:p w14:paraId="4EF8E8CC" w14:textId="36F44C70" w:rsidR="00A52B9F" w:rsidRPr="0098446E" w:rsidRDefault="00A52B9F" w:rsidP="00F74B80">
      <w:pPr>
        <w:pStyle w:val="Textosinformato"/>
        <w:jc w:val="center"/>
        <w:rPr>
          <w:rFonts w:ascii="Times New Roman" w:hAnsi="Times New Roman"/>
          <w:b/>
          <w:iCs/>
          <w:lang w:val="es-ES"/>
        </w:rPr>
      </w:pPr>
    </w:p>
    <w:p w14:paraId="7286E401" w14:textId="77777777" w:rsidR="00F74B80" w:rsidRPr="00506990" w:rsidRDefault="00F74B80" w:rsidP="00F74B80">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El atraso de los créditos se encuentra calculado a la Fecha de Selección.</w:t>
      </w:r>
    </w:p>
    <w:p w14:paraId="3BE5FE3D" w14:textId="77777777" w:rsidR="00F74B80" w:rsidRPr="00506990" w:rsidRDefault="00F74B80" w:rsidP="00F74B80">
      <w:pPr>
        <w:pStyle w:val="Textosinformato"/>
        <w:rPr>
          <w:rFonts w:ascii="Times New Roman" w:hAnsi="Times New Roman"/>
          <w:b/>
          <w:iCs/>
          <w:color w:val="0D0D0D" w:themeColor="text1" w:themeTint="F2"/>
          <w:sz w:val="22"/>
          <w:szCs w:val="22"/>
          <w:lang w:val="es-ES"/>
        </w:rPr>
      </w:pPr>
    </w:p>
    <w:p w14:paraId="01573804"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TIPO DE CLIENTE</w:t>
      </w:r>
    </w:p>
    <w:p w14:paraId="2151BE69" w14:textId="77777777" w:rsidR="00F83881" w:rsidRDefault="00F83881" w:rsidP="00F74B80">
      <w:pPr>
        <w:pStyle w:val="Textosinformato"/>
        <w:jc w:val="center"/>
        <w:rPr>
          <w:rFonts w:ascii="Times New Roman" w:hAnsi="Times New Roman"/>
          <w:b/>
          <w:iCs/>
          <w:color w:val="0D0D0D" w:themeColor="text1" w:themeTint="F2"/>
          <w:sz w:val="22"/>
          <w:szCs w:val="22"/>
          <w:lang w:val="es-ES"/>
        </w:rPr>
      </w:pPr>
    </w:p>
    <w:p w14:paraId="34C7A91F" w14:textId="4C820985" w:rsidR="00F83881" w:rsidRPr="00506990" w:rsidRDefault="00696C22" w:rsidP="00F74B80">
      <w:pPr>
        <w:pStyle w:val="Textosinformato"/>
        <w:jc w:val="center"/>
        <w:rPr>
          <w:rFonts w:ascii="Times New Roman" w:hAnsi="Times New Roman"/>
          <w:b/>
          <w:iCs/>
          <w:color w:val="0D0D0D" w:themeColor="text1" w:themeTint="F2"/>
          <w:sz w:val="22"/>
          <w:szCs w:val="22"/>
          <w:lang w:val="es-ES"/>
        </w:rPr>
      </w:pPr>
      <w:r w:rsidRPr="00696C22">
        <w:rPr>
          <w:noProof/>
          <w:lang w:val="es-AR" w:eastAsia="es-AR"/>
        </w:rPr>
        <w:lastRenderedPageBreak/>
        <w:t xml:space="preserve"> </w:t>
      </w:r>
      <w:r>
        <w:rPr>
          <w:noProof/>
          <w:lang w:val="es-AR" w:eastAsia="es-AR"/>
        </w:rPr>
        <w:drawing>
          <wp:inline distT="0" distB="0" distL="0" distR="0" wp14:anchorId="4D2D6E70" wp14:editId="6D910202">
            <wp:extent cx="5613400" cy="859790"/>
            <wp:effectExtent l="0" t="0" r="635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859790"/>
                    </a:xfrm>
                    <a:prstGeom prst="rect">
                      <a:avLst/>
                    </a:prstGeom>
                    <a:noFill/>
                    <a:extLst/>
                  </pic:spPr>
                </pic:pic>
              </a:graphicData>
            </a:graphic>
          </wp:inline>
        </w:drawing>
      </w:r>
    </w:p>
    <w:p w14:paraId="064F7AAA"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p>
    <w:p w14:paraId="322173CF"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TASA DE INTERÉS</w:t>
      </w:r>
    </w:p>
    <w:p w14:paraId="032F6E6B" w14:textId="77777777"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14:paraId="48649631" w14:textId="124D6BC6" w:rsidR="00F74B80" w:rsidRPr="00506990" w:rsidRDefault="00696C22" w:rsidP="00F74B80">
      <w:pPr>
        <w:pStyle w:val="Textosinformato"/>
        <w:jc w:val="center"/>
        <w:rPr>
          <w:rFonts w:ascii="Times New Roman" w:hAnsi="Times New Roman"/>
          <w:color w:val="0D0D0D" w:themeColor="text1" w:themeTint="F2"/>
          <w:sz w:val="22"/>
          <w:szCs w:val="22"/>
          <w:highlight w:val="yellow"/>
          <w:u w:val="single"/>
        </w:rPr>
      </w:pPr>
      <w:r>
        <w:rPr>
          <w:noProof/>
          <w:lang w:val="es-AR" w:eastAsia="es-AR"/>
        </w:rPr>
        <w:drawing>
          <wp:inline distT="0" distB="0" distL="0" distR="0" wp14:anchorId="27617850" wp14:editId="001774CA">
            <wp:extent cx="5613400" cy="3061335"/>
            <wp:effectExtent l="0" t="0" r="6350" b="571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3061335"/>
                    </a:xfrm>
                    <a:prstGeom prst="rect">
                      <a:avLst/>
                    </a:prstGeom>
                    <a:noFill/>
                    <a:extLst/>
                  </pic:spPr>
                </pic:pic>
              </a:graphicData>
            </a:graphic>
          </wp:inline>
        </w:drawing>
      </w:r>
    </w:p>
    <w:p w14:paraId="6ADC3962" w14:textId="77777777" w:rsidR="00A52B9F" w:rsidRPr="00506990" w:rsidRDefault="00A52B9F" w:rsidP="00F74B80">
      <w:pPr>
        <w:pStyle w:val="Textosinformato"/>
        <w:jc w:val="center"/>
        <w:rPr>
          <w:rFonts w:ascii="Times New Roman" w:hAnsi="Times New Roman"/>
          <w:color w:val="0D0D0D" w:themeColor="text1" w:themeTint="F2"/>
          <w:sz w:val="22"/>
          <w:szCs w:val="22"/>
          <w:highlight w:val="yellow"/>
          <w:u w:val="single"/>
        </w:rPr>
      </w:pPr>
    </w:p>
    <w:p w14:paraId="55E2AAA8" w14:textId="33C1ABC1" w:rsidR="00F74B80" w:rsidRPr="00506990" w:rsidRDefault="00F74B80" w:rsidP="00F74B80">
      <w:pPr>
        <w:pStyle w:val="Textosinformato"/>
        <w:jc w:val="center"/>
        <w:rPr>
          <w:rFonts w:ascii="Times New Roman" w:hAnsi="Times New Roman"/>
          <w:color w:val="0D0D0D" w:themeColor="text1" w:themeTint="F2"/>
          <w:sz w:val="22"/>
          <w:szCs w:val="22"/>
          <w:highlight w:val="yellow"/>
          <w:u w:val="single"/>
        </w:rPr>
      </w:pPr>
    </w:p>
    <w:p w14:paraId="3A8F76D9"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COSTO FINANCIERO TOTAL</w:t>
      </w:r>
    </w:p>
    <w:p w14:paraId="1A5F8782" w14:textId="77777777"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14:paraId="18FD28B5" w14:textId="047CC7C1"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14:paraId="493AFD9A" w14:textId="19241A80" w:rsidR="003F329D" w:rsidRPr="00506990" w:rsidRDefault="007578DF" w:rsidP="0074407B">
      <w:pPr>
        <w:pStyle w:val="Textosinformato"/>
        <w:tabs>
          <w:tab w:val="left" w:pos="4500"/>
          <w:tab w:val="left" w:pos="6390"/>
        </w:tabs>
        <w:rPr>
          <w:rFonts w:ascii="Times New Roman" w:hAnsi="Times New Roman"/>
          <w:lang w:val="es-ES"/>
        </w:rPr>
      </w:pPr>
      <w:r>
        <w:rPr>
          <w:rFonts w:ascii="Times New Roman" w:hAnsi="Times New Roman"/>
          <w:b/>
          <w:iCs/>
          <w:color w:val="0D0D0D" w:themeColor="text1" w:themeTint="F2"/>
          <w:sz w:val="22"/>
          <w:szCs w:val="22"/>
          <w:lang w:val="es-ES"/>
        </w:rPr>
        <w:lastRenderedPageBreak/>
        <w:tab/>
      </w:r>
      <w:r w:rsidR="00696C22">
        <w:rPr>
          <w:noProof/>
          <w:lang w:val="es-AR" w:eastAsia="es-AR"/>
        </w:rPr>
        <w:drawing>
          <wp:inline distT="0" distB="0" distL="0" distR="0" wp14:anchorId="7938DCA8" wp14:editId="5F1488AD">
            <wp:extent cx="5613400" cy="4470400"/>
            <wp:effectExtent l="0" t="0" r="6350" b="635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4470400"/>
                    </a:xfrm>
                    <a:prstGeom prst="rect">
                      <a:avLst/>
                    </a:prstGeom>
                    <a:noFill/>
                    <a:extLst/>
                  </pic:spPr>
                </pic:pic>
              </a:graphicData>
            </a:graphic>
          </wp:inline>
        </w:drawing>
      </w:r>
      <w:r w:rsidR="00696C22">
        <w:rPr>
          <w:rFonts w:ascii="Times New Roman" w:hAnsi="Times New Roman"/>
          <w:b/>
          <w:iCs/>
          <w:color w:val="0D0D0D" w:themeColor="text1" w:themeTint="F2"/>
          <w:sz w:val="22"/>
          <w:szCs w:val="22"/>
          <w:lang w:val="es-ES"/>
        </w:rPr>
        <w:tab/>
      </w:r>
    </w:p>
    <w:p w14:paraId="7E295623" w14:textId="1D1B89B2" w:rsidR="000836AE" w:rsidRPr="00506990" w:rsidRDefault="00F74B80" w:rsidP="00B228F5">
      <w:pPr>
        <w:pStyle w:val="Ttulo1"/>
        <w:jc w:val="center"/>
        <w:rPr>
          <w:rFonts w:ascii="Times New Roman" w:hAnsi="Times New Roman"/>
          <w:sz w:val="22"/>
          <w:szCs w:val="22"/>
        </w:rPr>
      </w:pPr>
      <w:bookmarkStart w:id="107" w:name="_Toc20409091"/>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107"/>
    </w:p>
    <w:p w14:paraId="7CBB3657" w14:textId="77777777" w:rsidR="000836AE" w:rsidRPr="0098446E" w:rsidRDefault="000836AE" w:rsidP="00270AFD">
      <w:pPr>
        <w:rPr>
          <w:rFonts w:ascii="Times New Roman" w:hAnsi="Times New Roman" w:cs="Times New Roman"/>
        </w:rPr>
      </w:pPr>
    </w:p>
    <w:p w14:paraId="447E291C" w14:textId="494A727C" w:rsidR="000836AE" w:rsidRPr="0098446E" w:rsidRDefault="000836AE" w:rsidP="000836AE">
      <w:pPr>
        <w:rPr>
          <w:rFonts w:ascii="Times New Roman" w:hAnsi="Times New Roman" w:cs="Times New Roman"/>
        </w:rPr>
      </w:pPr>
    </w:p>
    <w:p w14:paraId="26975611" w14:textId="2E360E71" w:rsidR="002F7733" w:rsidRPr="00506990" w:rsidRDefault="000836AE"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r w:rsidRPr="0098446E">
        <w:rPr>
          <w:rFonts w:ascii="Times New Roman" w:hAnsi="Times New Roman" w:cs="Times New Roman"/>
        </w:rPr>
        <w:lastRenderedPageBreak/>
        <w:tab/>
      </w:r>
      <w:r w:rsidR="00F74B80" w:rsidRPr="00506990">
        <w:rPr>
          <w:rFonts w:ascii="Times New Roman" w:hAnsi="Times New Roman" w:cs="Times New Roman"/>
          <w:b/>
          <w:bCs/>
          <w:iCs/>
          <w:color w:val="0D0D0D" w:themeColor="text1" w:themeTint="F2"/>
          <w:sz w:val="22"/>
          <w:szCs w:val="22"/>
        </w:rPr>
        <w:t>Fecha de Corte:</w:t>
      </w:r>
      <w:r w:rsidR="00CA39FE" w:rsidRPr="00506990">
        <w:rPr>
          <w:rFonts w:ascii="Times New Roman" w:hAnsi="Times New Roman" w:cs="Times New Roman"/>
          <w:b/>
          <w:bCs/>
          <w:iCs/>
          <w:color w:val="0D0D0D" w:themeColor="text1" w:themeTint="F2"/>
          <w:sz w:val="22"/>
          <w:szCs w:val="22"/>
        </w:rPr>
        <w:t xml:space="preserve"> </w:t>
      </w:r>
      <w:r w:rsidR="006E06A3">
        <w:rPr>
          <w:rFonts w:ascii="Times New Roman" w:hAnsi="Times New Roman" w:cs="Times New Roman"/>
          <w:b/>
          <w:bCs/>
          <w:iCs/>
          <w:color w:val="0D0D0D" w:themeColor="text1" w:themeTint="F2"/>
          <w:sz w:val="22"/>
          <w:szCs w:val="22"/>
        </w:rPr>
        <w:t xml:space="preserve">31 </w:t>
      </w:r>
      <w:r w:rsidR="002509E8" w:rsidRPr="00506990">
        <w:rPr>
          <w:rFonts w:ascii="Times New Roman" w:hAnsi="Times New Roman" w:cs="Times New Roman"/>
          <w:b/>
          <w:bCs/>
          <w:iCs/>
          <w:color w:val="0D0D0D" w:themeColor="text1" w:themeTint="F2"/>
          <w:sz w:val="22"/>
          <w:szCs w:val="22"/>
        </w:rPr>
        <w:t xml:space="preserve">de </w:t>
      </w:r>
      <w:r w:rsidR="001A0AD5">
        <w:rPr>
          <w:rFonts w:ascii="Times New Roman" w:hAnsi="Times New Roman" w:cs="Times New Roman"/>
          <w:b/>
          <w:bCs/>
          <w:iCs/>
          <w:color w:val="0D0D0D" w:themeColor="text1" w:themeTint="F2"/>
          <w:sz w:val="22"/>
          <w:szCs w:val="22"/>
        </w:rPr>
        <w:t>Marzo</w:t>
      </w:r>
      <w:r w:rsidR="001A0AD5" w:rsidRPr="00506990">
        <w:rPr>
          <w:rFonts w:ascii="Times New Roman" w:hAnsi="Times New Roman" w:cs="Times New Roman"/>
          <w:b/>
          <w:bCs/>
          <w:iCs/>
          <w:color w:val="0D0D0D" w:themeColor="text1" w:themeTint="F2"/>
          <w:sz w:val="22"/>
          <w:szCs w:val="22"/>
        </w:rPr>
        <w:t xml:space="preserve"> </w:t>
      </w:r>
      <w:r w:rsidR="00F74B80" w:rsidRPr="00506990">
        <w:rPr>
          <w:rFonts w:ascii="Times New Roman" w:hAnsi="Times New Roman" w:cs="Times New Roman"/>
          <w:b/>
          <w:bCs/>
          <w:iCs/>
          <w:color w:val="0D0D0D" w:themeColor="text1" w:themeTint="F2"/>
          <w:sz w:val="22"/>
          <w:szCs w:val="22"/>
        </w:rPr>
        <w:t>de 20</w:t>
      </w:r>
      <w:r w:rsidR="00EE42B9" w:rsidRPr="00506990">
        <w:rPr>
          <w:rFonts w:ascii="Times New Roman" w:hAnsi="Times New Roman" w:cs="Times New Roman"/>
          <w:b/>
          <w:bCs/>
          <w:iCs/>
          <w:color w:val="0D0D0D" w:themeColor="text1" w:themeTint="F2"/>
          <w:sz w:val="22"/>
          <w:szCs w:val="22"/>
        </w:rPr>
        <w:t>2</w:t>
      </w:r>
      <w:r w:rsidR="00D014F1">
        <w:rPr>
          <w:rFonts w:ascii="Times New Roman" w:hAnsi="Times New Roman" w:cs="Times New Roman"/>
          <w:b/>
          <w:bCs/>
          <w:iCs/>
          <w:color w:val="0D0D0D" w:themeColor="text1" w:themeTint="F2"/>
          <w:sz w:val="22"/>
          <w:szCs w:val="22"/>
        </w:rPr>
        <w:t>0</w:t>
      </w:r>
    </w:p>
    <w:p w14:paraId="16CD7E67" w14:textId="2116B5F9" w:rsidR="002F7733" w:rsidRDefault="002F773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54D7B65B" w14:textId="55B92132" w:rsidR="006E06A3" w:rsidRDefault="007733CA"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r>
        <w:rPr>
          <w:noProof/>
          <w:lang w:val="es-AR" w:eastAsia="es-AR"/>
        </w:rPr>
        <w:drawing>
          <wp:inline distT="0" distB="0" distL="0" distR="0" wp14:anchorId="3A3B66FD" wp14:editId="733530AC">
            <wp:extent cx="5858052" cy="4105275"/>
            <wp:effectExtent l="0" t="0" r="9525" b="0"/>
            <wp:docPr id="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62227" cy="4108201"/>
                    </a:xfrm>
                    <a:prstGeom prst="rect">
                      <a:avLst/>
                    </a:prstGeom>
                    <a:noFill/>
                    <a:extLst/>
                  </pic:spPr>
                </pic:pic>
              </a:graphicData>
            </a:graphic>
          </wp:inline>
        </w:drawing>
      </w:r>
    </w:p>
    <w:p w14:paraId="22EDE5B0" w14:textId="77777777" w:rsidR="006E06A3"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B915952" w14:textId="4BDEEC99"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27736656" w14:textId="58B00C8F" w:rsidR="00F74B80" w:rsidRPr="00506990" w:rsidRDefault="00F74B80" w:rsidP="00F74B80">
      <w:pPr>
        <w:keepNext/>
        <w:suppressAutoHyphens/>
        <w:spacing w:line="240" w:lineRule="atLeast"/>
        <w:jc w:val="center"/>
        <w:rPr>
          <w:rFonts w:ascii="Times New Roman" w:hAnsi="Times New Roman" w:cs="Times New Roman"/>
          <w:b/>
          <w:color w:val="0D0D0D" w:themeColor="text1" w:themeTint="F2"/>
          <w:sz w:val="22"/>
          <w:szCs w:val="22"/>
          <w:u w:val="single"/>
        </w:rPr>
      </w:pPr>
    </w:p>
    <w:p w14:paraId="51810149" w14:textId="75C93734" w:rsidR="00BC1C33" w:rsidRPr="00506990" w:rsidRDefault="00BC1C33"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A la fecha del presente Suplemento de Prospecto, no existe Cobranza acumulada.</w:t>
      </w:r>
    </w:p>
    <w:p w14:paraId="6B07C024" w14:textId="77777777" w:rsidR="00A43B76" w:rsidRPr="00506990" w:rsidRDefault="00A43B76" w:rsidP="00F77F79">
      <w:pPr>
        <w:pStyle w:val="Textosinformato"/>
        <w:jc w:val="both"/>
        <w:rPr>
          <w:rFonts w:ascii="Times New Roman" w:hAnsi="Times New Roman"/>
          <w:color w:val="0D0D0D"/>
          <w:sz w:val="22"/>
          <w:szCs w:val="22"/>
          <w:lang w:val="es-AR"/>
        </w:rPr>
      </w:pPr>
    </w:p>
    <w:p w14:paraId="4EF55CF2" w14:textId="34224F61" w:rsidR="006B015C" w:rsidRPr="00506990" w:rsidRDefault="006B015C"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 xml:space="preserve">Al mes de </w:t>
      </w:r>
      <w:r w:rsidR="001A0AD5">
        <w:rPr>
          <w:rFonts w:ascii="Times New Roman" w:hAnsi="Times New Roman"/>
          <w:color w:val="0D0D0D"/>
          <w:sz w:val="22"/>
          <w:szCs w:val="22"/>
          <w:lang w:val="es-AR"/>
        </w:rPr>
        <w:t>febrero</w:t>
      </w:r>
      <w:r w:rsidR="001A0AD5" w:rsidRPr="00506990">
        <w:rPr>
          <w:rFonts w:ascii="Times New Roman" w:hAnsi="Times New Roman"/>
          <w:color w:val="0D0D0D"/>
          <w:sz w:val="22"/>
          <w:szCs w:val="22"/>
          <w:lang w:val="es-AR"/>
        </w:rPr>
        <w:t xml:space="preserve"> </w:t>
      </w:r>
      <w:r w:rsidRPr="00506990">
        <w:rPr>
          <w:rFonts w:ascii="Times New Roman" w:hAnsi="Times New Roman"/>
          <w:color w:val="0D0D0D"/>
          <w:sz w:val="22"/>
          <w:szCs w:val="22"/>
          <w:lang w:val="es-AR"/>
        </w:rPr>
        <w:t xml:space="preserve">de 2020, los gastos mencionados incluye la devolución de los Gastos Afrontados por el Fiduciante que se menciona en el artículo 1.6 inc ii). </w:t>
      </w:r>
    </w:p>
    <w:p w14:paraId="5F60ED28" w14:textId="77777777" w:rsidR="00F646DB" w:rsidRPr="00506990" w:rsidRDefault="00F646DB" w:rsidP="00482F96">
      <w:pPr>
        <w:pStyle w:val="Textosinformato"/>
        <w:jc w:val="center"/>
        <w:rPr>
          <w:rFonts w:ascii="Times New Roman" w:hAnsi="Times New Roman"/>
          <w:b/>
          <w:iCs/>
          <w:color w:val="0D0D0D" w:themeColor="text1" w:themeTint="F2"/>
          <w:sz w:val="22"/>
          <w:szCs w:val="22"/>
          <w:lang w:val="es-AR"/>
        </w:rPr>
      </w:pPr>
    </w:p>
    <w:p w14:paraId="31D4CF49" w14:textId="1C0694DA" w:rsidR="00A7122D" w:rsidRPr="00506990" w:rsidRDefault="00F74B80" w:rsidP="00B228F5">
      <w:pPr>
        <w:pStyle w:val="Ttulo1"/>
        <w:jc w:val="center"/>
        <w:rPr>
          <w:rFonts w:ascii="Times New Roman" w:hAnsi="Times New Roman"/>
          <w:sz w:val="22"/>
          <w:szCs w:val="22"/>
          <w:lang w:val="es-AR"/>
        </w:rPr>
      </w:pPr>
      <w:bookmarkStart w:id="108" w:name="_Toc2040909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8"/>
    </w:p>
    <w:p w14:paraId="273A5464"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5597899" w14:textId="4C20F3EB"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6474571A"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0AAA66D1" w14:textId="47A26806" w:rsidR="00826AB1" w:rsidRPr="00506990" w:rsidRDefault="00826AB1" w:rsidP="00826AB1">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Para el armado del cuadro de pago de servicios han sido considerados: incobrabilidad, mora y precancelaciones de la cartera por un monto global de $ </w:t>
      </w:r>
      <w:r w:rsidR="007733CA">
        <w:rPr>
          <w:rFonts w:ascii="Times New Roman" w:hAnsi="Times New Roman" w:cs="Times New Roman"/>
          <w:bCs/>
          <w:iCs/>
          <w:color w:val="0D0D0D" w:themeColor="text1" w:themeTint="F2"/>
          <w:sz w:val="22"/>
          <w:szCs w:val="22"/>
          <w:lang w:val="es-AR"/>
        </w:rPr>
        <w:t>46</w:t>
      </w:r>
      <w:r w:rsidR="006E06A3">
        <w:rPr>
          <w:rFonts w:ascii="Times New Roman" w:hAnsi="Times New Roman" w:cs="Times New Roman"/>
          <w:bCs/>
          <w:iCs/>
          <w:color w:val="0D0D0D" w:themeColor="text1" w:themeTint="F2"/>
          <w:sz w:val="22"/>
          <w:szCs w:val="22"/>
          <w:lang w:val="es-AR"/>
        </w:rPr>
        <w:t>.</w:t>
      </w:r>
      <w:r w:rsidR="007733CA">
        <w:rPr>
          <w:rFonts w:ascii="Times New Roman" w:hAnsi="Times New Roman" w:cs="Times New Roman"/>
          <w:bCs/>
          <w:iCs/>
          <w:color w:val="0D0D0D" w:themeColor="text1" w:themeTint="F2"/>
          <w:sz w:val="22"/>
          <w:szCs w:val="22"/>
          <w:lang w:val="es-AR"/>
        </w:rPr>
        <w:t>586</w:t>
      </w:r>
      <w:r w:rsidR="006E06A3">
        <w:rPr>
          <w:rFonts w:ascii="Times New Roman" w:hAnsi="Times New Roman" w:cs="Times New Roman"/>
          <w:bCs/>
          <w:iCs/>
          <w:color w:val="0D0D0D" w:themeColor="text1" w:themeTint="F2"/>
          <w:sz w:val="22"/>
          <w:szCs w:val="22"/>
          <w:lang w:val="es-AR"/>
        </w:rPr>
        <w:t>.</w:t>
      </w:r>
      <w:r w:rsidR="007733CA">
        <w:rPr>
          <w:rFonts w:ascii="Times New Roman" w:hAnsi="Times New Roman" w:cs="Times New Roman"/>
          <w:bCs/>
          <w:iCs/>
          <w:color w:val="0D0D0D" w:themeColor="text1" w:themeTint="F2"/>
          <w:sz w:val="22"/>
          <w:szCs w:val="22"/>
          <w:lang w:val="es-AR"/>
        </w:rPr>
        <w:t>517</w:t>
      </w:r>
      <w:r w:rsidR="00BD21B2">
        <w:rPr>
          <w:rFonts w:ascii="Times New Roman" w:hAnsi="Times New Roman" w:cs="Times New Roman"/>
          <w:bCs/>
          <w:iCs/>
          <w:color w:val="0D0D0D" w:themeColor="text1" w:themeTint="F2"/>
          <w:sz w:val="22"/>
          <w:szCs w:val="22"/>
          <w:lang w:val="es-AR"/>
        </w:rPr>
        <w:t>,</w:t>
      </w:r>
      <w:r w:rsidR="006E06A3">
        <w:rPr>
          <w:rFonts w:ascii="Times New Roman" w:hAnsi="Times New Roman" w:cs="Times New Roman"/>
          <w:bCs/>
          <w:iCs/>
          <w:color w:val="0D0D0D" w:themeColor="text1" w:themeTint="F2"/>
          <w:sz w:val="22"/>
          <w:szCs w:val="22"/>
          <w:lang w:val="es-AR"/>
        </w:rPr>
        <w:t>0</w:t>
      </w:r>
      <w:r w:rsidR="00DA04B9">
        <w:rPr>
          <w:rFonts w:ascii="Times New Roman" w:hAnsi="Times New Roman" w:cs="Times New Roman"/>
          <w:bCs/>
          <w:iCs/>
          <w:color w:val="0D0D0D" w:themeColor="text1" w:themeTint="F2"/>
          <w:sz w:val="22"/>
          <w:szCs w:val="22"/>
          <w:lang w:val="es-AR"/>
        </w:rPr>
        <w:t>7</w:t>
      </w:r>
      <w:r w:rsidRPr="00506990">
        <w:rPr>
          <w:rFonts w:ascii="Times New Roman" w:hAnsi="Times New Roman" w:cs="Times New Roman"/>
          <w:iCs/>
          <w:color w:val="0D0D0D" w:themeColor="text1" w:themeTint="F2"/>
          <w:sz w:val="22"/>
          <w:szCs w:val="22"/>
        </w:rPr>
        <w:t xml:space="preserve"> (pesos </w:t>
      </w:r>
      <w:r w:rsidR="007733CA">
        <w:rPr>
          <w:rFonts w:ascii="Times New Roman" w:hAnsi="Times New Roman" w:cs="Times New Roman"/>
          <w:bCs/>
          <w:iCs/>
          <w:color w:val="0D0D0D" w:themeColor="text1" w:themeTint="F2"/>
          <w:sz w:val="22"/>
          <w:szCs w:val="22"/>
          <w:lang w:val="es-AR"/>
        </w:rPr>
        <w:t>cuarenta</w:t>
      </w:r>
      <w:r w:rsidR="00DA04B9">
        <w:rPr>
          <w:rFonts w:ascii="Times New Roman" w:hAnsi="Times New Roman" w:cs="Times New Roman"/>
          <w:bCs/>
          <w:iCs/>
          <w:color w:val="0D0D0D" w:themeColor="text1" w:themeTint="F2"/>
          <w:sz w:val="22"/>
          <w:szCs w:val="22"/>
          <w:lang w:val="es-AR"/>
        </w:rPr>
        <w:t xml:space="preserve"> </w:t>
      </w:r>
      <w:r w:rsidR="006E06A3">
        <w:rPr>
          <w:rFonts w:ascii="Times New Roman" w:hAnsi="Times New Roman" w:cs="Times New Roman"/>
          <w:bCs/>
          <w:iCs/>
          <w:color w:val="0D0D0D" w:themeColor="text1" w:themeTint="F2"/>
          <w:sz w:val="22"/>
          <w:szCs w:val="22"/>
          <w:lang w:val="es-AR"/>
        </w:rPr>
        <w:t xml:space="preserve">y </w:t>
      </w:r>
      <w:r w:rsidR="007733CA">
        <w:rPr>
          <w:rFonts w:ascii="Times New Roman" w:hAnsi="Times New Roman" w:cs="Times New Roman"/>
          <w:bCs/>
          <w:iCs/>
          <w:color w:val="0D0D0D" w:themeColor="text1" w:themeTint="F2"/>
          <w:sz w:val="22"/>
          <w:szCs w:val="22"/>
          <w:lang w:val="es-AR"/>
        </w:rPr>
        <w:t xml:space="preserve">seis </w:t>
      </w:r>
      <w:r w:rsidR="006E06A3">
        <w:rPr>
          <w:rFonts w:ascii="Times New Roman" w:hAnsi="Times New Roman" w:cs="Times New Roman"/>
          <w:bCs/>
          <w:iCs/>
          <w:color w:val="0D0D0D" w:themeColor="text1" w:themeTint="F2"/>
          <w:sz w:val="22"/>
          <w:szCs w:val="22"/>
          <w:lang w:val="es-AR"/>
        </w:rPr>
        <w:t xml:space="preserve">millones </w:t>
      </w:r>
      <w:r w:rsidR="007733CA">
        <w:rPr>
          <w:rFonts w:ascii="Times New Roman" w:hAnsi="Times New Roman" w:cs="Times New Roman"/>
          <w:bCs/>
          <w:iCs/>
          <w:color w:val="0D0D0D" w:themeColor="text1" w:themeTint="F2"/>
          <w:sz w:val="22"/>
          <w:szCs w:val="22"/>
          <w:lang w:val="es-AR"/>
        </w:rPr>
        <w:t xml:space="preserve">quinientos ochenta y seis mil quinientos diecisiete </w:t>
      </w:r>
      <w:r w:rsidR="00DA04B9">
        <w:rPr>
          <w:rFonts w:ascii="Times New Roman" w:hAnsi="Times New Roman" w:cs="Times New Roman"/>
          <w:bCs/>
          <w:iCs/>
          <w:color w:val="0D0D0D" w:themeColor="text1" w:themeTint="F2"/>
          <w:sz w:val="22"/>
          <w:szCs w:val="22"/>
          <w:lang w:val="es-AR"/>
        </w:rPr>
        <w:t xml:space="preserve">con </w:t>
      </w:r>
      <w:r w:rsidR="006E06A3">
        <w:rPr>
          <w:rFonts w:ascii="Times New Roman" w:hAnsi="Times New Roman" w:cs="Times New Roman"/>
          <w:bCs/>
          <w:iCs/>
          <w:color w:val="0D0D0D" w:themeColor="text1" w:themeTint="F2"/>
          <w:sz w:val="22"/>
          <w:szCs w:val="22"/>
          <w:lang w:val="es-AR"/>
        </w:rPr>
        <w:t>0</w:t>
      </w:r>
      <w:r w:rsidR="00DA04B9">
        <w:rPr>
          <w:rFonts w:ascii="Times New Roman" w:hAnsi="Times New Roman" w:cs="Times New Roman"/>
          <w:bCs/>
          <w:iCs/>
          <w:color w:val="0D0D0D" w:themeColor="text1" w:themeTint="F2"/>
          <w:sz w:val="22"/>
          <w:szCs w:val="22"/>
          <w:lang w:val="es-AR"/>
        </w:rPr>
        <w:t>7</w:t>
      </w:r>
      <w:r w:rsidR="006E06A3">
        <w:rPr>
          <w:rFonts w:ascii="Times New Roman" w:hAnsi="Times New Roman" w:cs="Times New Roman"/>
          <w:bCs/>
          <w:iCs/>
          <w:color w:val="0D0D0D" w:themeColor="text1" w:themeTint="F2"/>
          <w:sz w:val="22"/>
          <w:szCs w:val="22"/>
          <w:lang w:val="es-AR"/>
        </w:rPr>
        <w:t>/100</w:t>
      </w:r>
      <w:r w:rsidRPr="00506990">
        <w:rPr>
          <w:rFonts w:ascii="Times New Roman" w:hAnsi="Times New Roman" w:cs="Times New Roman"/>
          <w:iCs/>
          <w:color w:val="0D0D0D" w:themeColor="text1" w:themeTint="F2"/>
          <w:sz w:val="22"/>
          <w:szCs w:val="22"/>
        </w:rPr>
        <w:t xml:space="preserve">), Gastos del Fideicomiso por $ </w:t>
      </w:r>
      <w:r w:rsidR="006E06A3">
        <w:rPr>
          <w:rFonts w:ascii="Times New Roman" w:hAnsi="Times New Roman" w:cs="Times New Roman"/>
          <w:bCs/>
          <w:iCs/>
          <w:color w:val="0D0D0D" w:themeColor="text1" w:themeTint="F2"/>
          <w:sz w:val="22"/>
          <w:szCs w:val="22"/>
          <w:lang w:val="es-AR"/>
        </w:rPr>
        <w:t>3.</w:t>
      </w:r>
      <w:r w:rsidR="007733CA">
        <w:rPr>
          <w:rFonts w:ascii="Times New Roman" w:hAnsi="Times New Roman" w:cs="Times New Roman"/>
          <w:bCs/>
          <w:iCs/>
          <w:color w:val="0D0D0D" w:themeColor="text1" w:themeTint="F2"/>
          <w:sz w:val="22"/>
          <w:szCs w:val="22"/>
          <w:lang w:val="es-AR"/>
        </w:rPr>
        <w:t>402</w:t>
      </w:r>
      <w:r w:rsidR="006E06A3">
        <w:rPr>
          <w:rFonts w:ascii="Times New Roman" w:hAnsi="Times New Roman" w:cs="Times New Roman"/>
          <w:bCs/>
          <w:iCs/>
          <w:color w:val="0D0D0D" w:themeColor="text1" w:themeTint="F2"/>
          <w:sz w:val="22"/>
          <w:szCs w:val="22"/>
          <w:lang w:val="es-AR"/>
        </w:rPr>
        <w:t>.3</w:t>
      </w:r>
      <w:r w:rsidR="007733CA">
        <w:rPr>
          <w:rFonts w:ascii="Times New Roman" w:hAnsi="Times New Roman" w:cs="Times New Roman"/>
          <w:bCs/>
          <w:iCs/>
          <w:color w:val="0D0D0D" w:themeColor="text1" w:themeTint="F2"/>
          <w:sz w:val="22"/>
          <w:szCs w:val="22"/>
          <w:lang w:val="es-AR"/>
        </w:rPr>
        <w:t>00</w:t>
      </w:r>
      <w:r w:rsidRPr="00506990">
        <w:rPr>
          <w:rFonts w:ascii="Times New Roman" w:hAnsi="Times New Roman" w:cs="Times New Roman"/>
          <w:iCs/>
          <w:color w:val="0D0D0D" w:themeColor="text1" w:themeTint="F2"/>
          <w:sz w:val="22"/>
          <w:szCs w:val="22"/>
        </w:rPr>
        <w:t xml:space="preserve">.- (pesos </w:t>
      </w:r>
      <w:r w:rsidR="006E06A3">
        <w:rPr>
          <w:rFonts w:ascii="Times New Roman" w:hAnsi="Times New Roman" w:cs="Times New Roman"/>
          <w:bCs/>
          <w:iCs/>
          <w:color w:val="0D0D0D" w:themeColor="text1" w:themeTint="F2"/>
          <w:sz w:val="22"/>
          <w:szCs w:val="22"/>
          <w:lang w:val="es-AR"/>
        </w:rPr>
        <w:t xml:space="preserve">tres millones </w:t>
      </w:r>
      <w:r w:rsidR="007733CA">
        <w:rPr>
          <w:rFonts w:ascii="Times New Roman" w:hAnsi="Times New Roman" w:cs="Times New Roman"/>
          <w:bCs/>
          <w:iCs/>
          <w:color w:val="0D0D0D" w:themeColor="text1" w:themeTint="F2"/>
          <w:sz w:val="22"/>
          <w:szCs w:val="22"/>
          <w:lang w:val="es-AR"/>
        </w:rPr>
        <w:t>cuatrocientos dos mil trescientos</w:t>
      </w:r>
      <w:r w:rsidRPr="00506990">
        <w:rPr>
          <w:rFonts w:ascii="Times New Roman" w:hAnsi="Times New Roman" w:cs="Times New Roman"/>
          <w:iCs/>
          <w:color w:val="0D0D0D" w:themeColor="text1" w:themeTint="F2"/>
          <w:sz w:val="22"/>
          <w:szCs w:val="22"/>
        </w:rPr>
        <w:t xml:space="preserve">) e Impuesto sobre los Ingresos Brutos por $ </w:t>
      </w:r>
      <w:r w:rsidR="006E06A3">
        <w:rPr>
          <w:rFonts w:ascii="Times New Roman" w:hAnsi="Times New Roman" w:cs="Times New Roman"/>
          <w:bCs/>
          <w:iCs/>
          <w:color w:val="0D0D0D" w:themeColor="text1" w:themeTint="F2"/>
          <w:sz w:val="22"/>
          <w:szCs w:val="22"/>
          <w:lang w:val="es-AR"/>
        </w:rPr>
        <w:t>1</w:t>
      </w:r>
      <w:r w:rsidR="00806A35">
        <w:rPr>
          <w:rFonts w:ascii="Times New Roman" w:hAnsi="Times New Roman" w:cs="Times New Roman"/>
          <w:bCs/>
          <w:iCs/>
          <w:color w:val="0D0D0D" w:themeColor="text1" w:themeTint="F2"/>
          <w:sz w:val="22"/>
          <w:szCs w:val="22"/>
          <w:lang w:val="es-AR"/>
        </w:rPr>
        <w:t>2</w:t>
      </w:r>
      <w:r w:rsidR="006E06A3">
        <w:rPr>
          <w:rFonts w:ascii="Times New Roman" w:hAnsi="Times New Roman" w:cs="Times New Roman"/>
          <w:bCs/>
          <w:iCs/>
          <w:color w:val="0D0D0D" w:themeColor="text1" w:themeTint="F2"/>
          <w:sz w:val="22"/>
          <w:szCs w:val="22"/>
          <w:lang w:val="es-AR"/>
        </w:rPr>
        <w:t>.</w:t>
      </w:r>
      <w:r w:rsidR="00806A35">
        <w:rPr>
          <w:rFonts w:ascii="Times New Roman" w:hAnsi="Times New Roman" w:cs="Times New Roman"/>
          <w:bCs/>
          <w:iCs/>
          <w:color w:val="0D0D0D" w:themeColor="text1" w:themeTint="F2"/>
          <w:sz w:val="22"/>
          <w:szCs w:val="22"/>
          <w:lang w:val="es-AR"/>
        </w:rPr>
        <w:t>379</w:t>
      </w:r>
      <w:r w:rsidR="006E06A3">
        <w:rPr>
          <w:rFonts w:ascii="Times New Roman" w:hAnsi="Times New Roman" w:cs="Times New Roman"/>
          <w:bCs/>
          <w:iCs/>
          <w:color w:val="0D0D0D" w:themeColor="text1" w:themeTint="F2"/>
          <w:sz w:val="22"/>
          <w:szCs w:val="22"/>
          <w:lang w:val="es-AR"/>
        </w:rPr>
        <w:t>.</w:t>
      </w:r>
      <w:r w:rsidR="00806A35">
        <w:rPr>
          <w:rFonts w:ascii="Times New Roman" w:hAnsi="Times New Roman" w:cs="Times New Roman"/>
          <w:bCs/>
          <w:iCs/>
          <w:color w:val="0D0D0D" w:themeColor="text1" w:themeTint="F2"/>
          <w:sz w:val="22"/>
          <w:szCs w:val="22"/>
          <w:lang w:val="es-AR"/>
        </w:rPr>
        <w:t>906</w:t>
      </w:r>
      <w:r w:rsidRPr="00506990">
        <w:rPr>
          <w:rFonts w:ascii="Times New Roman" w:hAnsi="Times New Roman" w:cs="Times New Roman"/>
          <w:iCs/>
          <w:color w:val="0D0D0D" w:themeColor="text1" w:themeTint="F2"/>
          <w:sz w:val="22"/>
          <w:szCs w:val="22"/>
        </w:rPr>
        <w:t xml:space="preserve">- (pesos </w:t>
      </w:r>
      <w:r w:rsidR="00806A35">
        <w:rPr>
          <w:rFonts w:ascii="Times New Roman" w:hAnsi="Times New Roman" w:cs="Times New Roman"/>
          <w:bCs/>
          <w:iCs/>
          <w:color w:val="0D0D0D" w:themeColor="text1" w:themeTint="F2"/>
          <w:sz w:val="22"/>
          <w:szCs w:val="22"/>
          <w:lang w:val="es-AR"/>
        </w:rPr>
        <w:t>doce</w:t>
      </w:r>
      <w:r w:rsidR="00DA04B9">
        <w:rPr>
          <w:rFonts w:ascii="Times New Roman" w:hAnsi="Times New Roman" w:cs="Times New Roman"/>
          <w:bCs/>
          <w:iCs/>
          <w:color w:val="0D0D0D" w:themeColor="text1" w:themeTint="F2"/>
          <w:sz w:val="22"/>
          <w:szCs w:val="22"/>
          <w:lang w:val="es-AR"/>
        </w:rPr>
        <w:t xml:space="preserve"> millones </w:t>
      </w:r>
      <w:r w:rsidR="00806A35">
        <w:rPr>
          <w:rFonts w:ascii="Times New Roman" w:hAnsi="Times New Roman" w:cs="Times New Roman"/>
          <w:bCs/>
          <w:iCs/>
          <w:color w:val="0D0D0D" w:themeColor="text1" w:themeTint="F2"/>
          <w:sz w:val="22"/>
          <w:szCs w:val="22"/>
          <w:lang w:val="es-AR"/>
        </w:rPr>
        <w:t>trescientos setenta y nueve mil novecientos seis</w:t>
      </w:r>
      <w:r w:rsidRPr="00506990">
        <w:rPr>
          <w:rFonts w:ascii="Times New Roman" w:hAnsi="Times New Roman" w:cs="Times New Roman"/>
          <w:iCs/>
          <w:color w:val="0D0D0D" w:themeColor="text1" w:themeTint="F2"/>
          <w:sz w:val="22"/>
          <w:szCs w:val="22"/>
        </w:rPr>
        <w:t xml:space="preserve">). Dichos conceptos arrojan un total del </w:t>
      </w:r>
      <w:r w:rsidR="00806A35">
        <w:rPr>
          <w:rFonts w:ascii="Times New Roman" w:hAnsi="Times New Roman" w:cs="Times New Roman"/>
          <w:bCs/>
          <w:iCs/>
          <w:color w:val="0D0D0D" w:themeColor="text1" w:themeTint="F2"/>
          <w:sz w:val="22"/>
          <w:szCs w:val="22"/>
          <w:lang w:val="es-AR"/>
        </w:rPr>
        <w:t>14</w:t>
      </w:r>
      <w:r w:rsidR="00F836A7">
        <w:rPr>
          <w:rFonts w:ascii="Times New Roman" w:hAnsi="Times New Roman" w:cs="Times New Roman"/>
          <w:bCs/>
          <w:iCs/>
          <w:color w:val="0D0D0D" w:themeColor="text1" w:themeTint="F2"/>
          <w:sz w:val="22"/>
          <w:szCs w:val="22"/>
          <w:lang w:val="es-AR"/>
        </w:rPr>
        <w:t>,</w:t>
      </w:r>
      <w:r w:rsidR="00806A35">
        <w:rPr>
          <w:rFonts w:ascii="Times New Roman" w:hAnsi="Times New Roman" w:cs="Times New Roman"/>
          <w:bCs/>
          <w:iCs/>
          <w:color w:val="0D0D0D" w:themeColor="text1" w:themeTint="F2"/>
          <w:sz w:val="22"/>
          <w:szCs w:val="22"/>
          <w:lang w:val="es-AR"/>
        </w:rPr>
        <w:t>23</w:t>
      </w:r>
      <w:r w:rsidRPr="00506990">
        <w:rPr>
          <w:rFonts w:ascii="Times New Roman" w:hAnsi="Times New Roman" w:cs="Times New Roman"/>
          <w:iCs/>
          <w:color w:val="0D0D0D" w:themeColor="text1" w:themeTint="F2"/>
          <w:sz w:val="22"/>
          <w:szCs w:val="22"/>
        </w:rPr>
        <w:t xml:space="preserve">% </w:t>
      </w:r>
      <w:r w:rsidR="00D5338B" w:rsidRPr="00506990">
        <w:rPr>
          <w:rFonts w:ascii="Times New Roman" w:hAnsi="Times New Roman" w:cs="Times New Roman"/>
          <w:iCs/>
          <w:color w:val="0D0D0D" w:themeColor="text1" w:themeTint="F2"/>
          <w:sz w:val="22"/>
          <w:szCs w:val="22"/>
        </w:rPr>
        <w:t xml:space="preserve">sobre el </w:t>
      </w:r>
      <w:r w:rsidR="003D7C6D" w:rsidRPr="00506990">
        <w:rPr>
          <w:rFonts w:ascii="Times New Roman" w:hAnsi="Times New Roman" w:cs="Times New Roman"/>
          <w:iCs/>
          <w:color w:val="0D0D0D" w:themeColor="text1" w:themeTint="F2"/>
          <w:sz w:val="22"/>
          <w:szCs w:val="22"/>
        </w:rPr>
        <w:t>“</w:t>
      </w:r>
      <w:r w:rsidR="00D5338B" w:rsidRPr="00506990">
        <w:rPr>
          <w:rFonts w:ascii="Times New Roman" w:hAnsi="Times New Roman" w:cs="Times New Roman"/>
          <w:iCs/>
          <w:color w:val="0D0D0D" w:themeColor="text1" w:themeTint="F2"/>
          <w:sz w:val="22"/>
          <w:szCs w:val="22"/>
        </w:rPr>
        <w:t>Valor Nominal</w:t>
      </w:r>
      <w:r w:rsidR="003D7C6D" w:rsidRPr="00506990">
        <w:rPr>
          <w:rFonts w:ascii="Times New Roman" w:hAnsi="Times New Roman" w:cs="Times New Roman"/>
          <w:iCs/>
          <w:color w:val="0D0D0D" w:themeColor="text1" w:themeTint="F2"/>
          <w:sz w:val="22"/>
          <w:szCs w:val="22"/>
        </w:rPr>
        <w:t>”</w:t>
      </w:r>
      <w:r w:rsidR="00D5338B"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del </w:t>
      </w:r>
      <w:r w:rsidR="00D5338B" w:rsidRPr="00506990">
        <w:rPr>
          <w:rFonts w:ascii="Times New Roman" w:hAnsi="Times New Roman" w:cs="Times New Roman"/>
          <w:iCs/>
          <w:color w:val="0D0D0D" w:themeColor="text1" w:themeTint="F2"/>
          <w:sz w:val="22"/>
          <w:szCs w:val="22"/>
        </w:rPr>
        <w:t>flujo teórico de la cartera</w:t>
      </w:r>
      <w:r w:rsidRPr="00506990">
        <w:rPr>
          <w:rFonts w:ascii="Times New Roman" w:hAnsi="Times New Roman" w:cs="Times New Roman"/>
          <w:iCs/>
          <w:color w:val="0D0D0D" w:themeColor="text1" w:themeTint="F2"/>
          <w:sz w:val="22"/>
          <w:szCs w:val="22"/>
        </w:rPr>
        <w:t xml:space="preserve"> del Fideicomiso. Asimismo, se consideró la rentabilidad derivada de la inversión de Fondos Líquidos Disponibles por $</w:t>
      </w:r>
      <w:r w:rsidR="00806A35">
        <w:rPr>
          <w:rFonts w:ascii="Times New Roman" w:hAnsi="Times New Roman" w:cs="Times New Roman"/>
          <w:bCs/>
          <w:iCs/>
          <w:color w:val="0D0D0D" w:themeColor="text1" w:themeTint="F2"/>
          <w:sz w:val="22"/>
          <w:szCs w:val="22"/>
          <w:lang w:val="es-AR"/>
        </w:rPr>
        <w:t>2</w:t>
      </w:r>
      <w:r w:rsidR="00F836A7">
        <w:rPr>
          <w:rFonts w:ascii="Times New Roman" w:hAnsi="Times New Roman" w:cs="Times New Roman"/>
          <w:bCs/>
          <w:iCs/>
          <w:color w:val="0D0D0D" w:themeColor="text1" w:themeTint="F2"/>
          <w:sz w:val="22"/>
          <w:szCs w:val="22"/>
          <w:lang w:val="es-AR"/>
        </w:rPr>
        <w:t>.</w:t>
      </w:r>
      <w:r w:rsidR="00806A35">
        <w:rPr>
          <w:rFonts w:ascii="Times New Roman" w:hAnsi="Times New Roman" w:cs="Times New Roman"/>
          <w:bCs/>
          <w:iCs/>
          <w:color w:val="0D0D0D" w:themeColor="text1" w:themeTint="F2"/>
          <w:sz w:val="22"/>
          <w:szCs w:val="22"/>
          <w:lang w:val="es-AR"/>
        </w:rPr>
        <w:t>937</w:t>
      </w:r>
      <w:r w:rsidR="00F836A7">
        <w:rPr>
          <w:rFonts w:ascii="Times New Roman" w:hAnsi="Times New Roman" w:cs="Times New Roman"/>
          <w:bCs/>
          <w:iCs/>
          <w:color w:val="0D0D0D" w:themeColor="text1" w:themeTint="F2"/>
          <w:sz w:val="22"/>
          <w:szCs w:val="22"/>
          <w:lang w:val="es-AR"/>
        </w:rPr>
        <w:t>.</w:t>
      </w:r>
      <w:r w:rsidR="00806A35">
        <w:rPr>
          <w:rFonts w:ascii="Times New Roman" w:hAnsi="Times New Roman" w:cs="Times New Roman"/>
          <w:bCs/>
          <w:iCs/>
          <w:color w:val="0D0D0D" w:themeColor="text1" w:themeTint="F2"/>
          <w:sz w:val="22"/>
          <w:szCs w:val="22"/>
          <w:lang w:val="es-AR"/>
        </w:rPr>
        <w:t>249</w:t>
      </w:r>
      <w:r w:rsidRPr="00506990">
        <w:rPr>
          <w:rFonts w:ascii="Times New Roman" w:hAnsi="Times New Roman" w:cs="Times New Roman"/>
          <w:iCs/>
          <w:color w:val="0D0D0D" w:themeColor="text1" w:themeTint="F2"/>
          <w:sz w:val="22"/>
          <w:szCs w:val="22"/>
        </w:rPr>
        <w:t xml:space="preserve">.- (pesos </w:t>
      </w:r>
      <w:r w:rsidR="00806A35">
        <w:rPr>
          <w:rFonts w:ascii="Times New Roman" w:hAnsi="Times New Roman" w:cs="Times New Roman"/>
          <w:bCs/>
          <w:iCs/>
          <w:color w:val="0D0D0D" w:themeColor="text1" w:themeTint="F2"/>
          <w:sz w:val="22"/>
          <w:szCs w:val="22"/>
          <w:lang w:val="es-AR"/>
        </w:rPr>
        <w:t>dos</w:t>
      </w:r>
      <w:r w:rsidR="00DA04B9">
        <w:rPr>
          <w:rFonts w:ascii="Times New Roman" w:hAnsi="Times New Roman" w:cs="Times New Roman"/>
          <w:bCs/>
          <w:iCs/>
          <w:color w:val="0D0D0D" w:themeColor="text1" w:themeTint="F2"/>
          <w:sz w:val="22"/>
          <w:szCs w:val="22"/>
          <w:lang w:val="es-AR"/>
        </w:rPr>
        <w:t xml:space="preserve"> </w:t>
      </w:r>
      <w:r w:rsidR="00F836A7">
        <w:rPr>
          <w:rFonts w:ascii="Times New Roman" w:hAnsi="Times New Roman" w:cs="Times New Roman"/>
          <w:bCs/>
          <w:iCs/>
          <w:color w:val="0D0D0D" w:themeColor="text1" w:themeTint="F2"/>
          <w:sz w:val="22"/>
          <w:szCs w:val="22"/>
          <w:lang w:val="es-AR"/>
        </w:rPr>
        <w:t>millones</w:t>
      </w:r>
      <w:r w:rsidR="00806A35">
        <w:rPr>
          <w:rFonts w:ascii="Times New Roman" w:hAnsi="Times New Roman" w:cs="Times New Roman"/>
          <w:bCs/>
          <w:iCs/>
          <w:color w:val="0D0D0D" w:themeColor="text1" w:themeTint="F2"/>
          <w:sz w:val="22"/>
          <w:szCs w:val="22"/>
          <w:lang w:val="es-AR"/>
        </w:rPr>
        <w:t xml:space="preserve"> novecientos treinta y siete</w:t>
      </w:r>
      <w:r w:rsidR="00DA04B9">
        <w:rPr>
          <w:rFonts w:ascii="Times New Roman" w:hAnsi="Times New Roman" w:cs="Times New Roman"/>
          <w:bCs/>
          <w:iCs/>
          <w:color w:val="0D0D0D" w:themeColor="text1" w:themeTint="F2"/>
          <w:sz w:val="22"/>
          <w:szCs w:val="22"/>
          <w:lang w:val="es-AR"/>
        </w:rPr>
        <w:t xml:space="preserve"> mil doscientos </w:t>
      </w:r>
      <w:r w:rsidR="00806A35">
        <w:rPr>
          <w:rFonts w:ascii="Times New Roman" w:hAnsi="Times New Roman" w:cs="Times New Roman"/>
          <w:bCs/>
          <w:iCs/>
          <w:color w:val="0D0D0D" w:themeColor="text1" w:themeTint="F2"/>
          <w:sz w:val="22"/>
          <w:szCs w:val="22"/>
          <w:lang w:val="es-AR"/>
        </w:rPr>
        <w:t>cuarenta</w:t>
      </w:r>
      <w:r w:rsidR="00DA04B9">
        <w:rPr>
          <w:rFonts w:ascii="Times New Roman" w:hAnsi="Times New Roman" w:cs="Times New Roman"/>
          <w:bCs/>
          <w:iCs/>
          <w:color w:val="0D0D0D" w:themeColor="text1" w:themeTint="F2"/>
          <w:sz w:val="22"/>
          <w:szCs w:val="22"/>
          <w:lang w:val="es-AR"/>
        </w:rPr>
        <w:t xml:space="preserve"> y nueve</w:t>
      </w:r>
      <w:r w:rsidRPr="00506990">
        <w:rPr>
          <w:rFonts w:ascii="Times New Roman" w:hAnsi="Times New Roman" w:cs="Times New Roman"/>
          <w:iCs/>
          <w:color w:val="0D0D0D" w:themeColor="text1" w:themeTint="F2"/>
          <w:sz w:val="22"/>
          <w:szCs w:val="22"/>
        </w:rPr>
        <w:t xml:space="preserve">), conforme a la facultad del fiduciario de invertir y colocar en forma </w:t>
      </w:r>
      <w:r w:rsidRPr="00506990">
        <w:rPr>
          <w:rFonts w:ascii="Times New Roman" w:hAnsi="Times New Roman" w:cs="Times New Roman"/>
          <w:iCs/>
          <w:color w:val="0D0D0D" w:themeColor="text1" w:themeTint="F2"/>
          <w:sz w:val="22"/>
          <w:szCs w:val="22"/>
        </w:rPr>
        <w:lastRenderedPageBreak/>
        <w:t>transitoria los Fondos Líquidos Disponibles de acuerdo a lo previsto en el artículo 1.8 del Contrato Suplementario.</w:t>
      </w:r>
    </w:p>
    <w:p w14:paraId="0A988CCC" w14:textId="77777777" w:rsidR="00F74B80" w:rsidRPr="00506990" w:rsidRDefault="00F74B80" w:rsidP="00F74B80">
      <w:pPr>
        <w:rPr>
          <w:rFonts w:ascii="Times New Roman" w:hAnsi="Times New Roman" w:cs="Times New Roman"/>
          <w:iCs/>
          <w:color w:val="0D0D0D" w:themeColor="text1" w:themeTint="F2"/>
          <w:sz w:val="22"/>
          <w:szCs w:val="22"/>
        </w:rPr>
      </w:pPr>
    </w:p>
    <w:p w14:paraId="195E35AB" w14:textId="610191CA" w:rsidR="00F74B80" w:rsidRPr="0050699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gastos del Fideicomiso, incluyen – enunciativamente – honorarios del fiduciario, honorarios de asesores impositivos y auditores externos, agente de control y revisión, aranceles de oferta pública, listado y negociación secundaria.</w:t>
      </w:r>
      <w:r w:rsidR="00A31B9A" w:rsidRPr="00506990">
        <w:rPr>
          <w:rFonts w:ascii="Times New Roman" w:hAnsi="Times New Roman" w:cs="Times New Roman"/>
          <w:iCs/>
          <w:color w:val="0D0D0D" w:themeColor="text1" w:themeTint="F2"/>
          <w:sz w:val="22"/>
          <w:szCs w:val="22"/>
        </w:rPr>
        <w:t xml:space="preserve"> Asimismo, no se incluye el pago de Impuesto a las Ganancias tal como se manifiesta en el Capítulo REGIMEN IMPOSITIVO. </w:t>
      </w:r>
    </w:p>
    <w:p w14:paraId="765BF1C7" w14:textId="54C37906" w:rsidR="00BD415E" w:rsidRPr="0098446E" w:rsidRDefault="00BD415E" w:rsidP="00BD415E">
      <w:pPr>
        <w:pStyle w:val="Ttulo1"/>
        <w:jc w:val="left"/>
        <w:rPr>
          <w:rFonts w:ascii="Times New Roman" w:hAnsi="Times New Roman"/>
          <w:b w:val="0"/>
        </w:rPr>
      </w:pPr>
      <w:r w:rsidRPr="0098446E">
        <w:rPr>
          <w:rFonts w:ascii="Times New Roman" w:hAnsi="Times New Roman"/>
        </w:rPr>
        <w:t>Cuadro de Pago de Servicios considerando el interés m</w:t>
      </w:r>
      <w:r>
        <w:rPr>
          <w:rFonts w:ascii="Times New Roman" w:hAnsi="Times New Roman"/>
        </w:rPr>
        <w:t>ínimo</w:t>
      </w:r>
    </w:p>
    <w:p w14:paraId="4E3DA681" w14:textId="77777777" w:rsidR="00F74B80" w:rsidRPr="00506990" w:rsidRDefault="00F74B80" w:rsidP="00F74B80">
      <w:pPr>
        <w:rPr>
          <w:rFonts w:ascii="Times New Roman" w:hAnsi="Times New Roman" w:cs="Times New Roman"/>
          <w:iCs/>
          <w:color w:val="0D0D0D" w:themeColor="text1" w:themeTint="F2"/>
          <w:sz w:val="22"/>
          <w:szCs w:val="22"/>
        </w:rPr>
      </w:pPr>
    </w:p>
    <w:p w14:paraId="2A159BCA" w14:textId="6A953886" w:rsidR="00F836A7" w:rsidRDefault="007578DF" w:rsidP="006E1DEB">
      <w:pPr>
        <w:tabs>
          <w:tab w:val="center" w:pos="4420"/>
          <w:tab w:val="right" w:pos="8840"/>
        </w:tabs>
        <w:jc w:val="left"/>
        <w:rPr>
          <w:rFonts w:ascii="Times New Roman" w:hAnsi="Times New Roman" w:cs="Times New Roman"/>
        </w:rPr>
      </w:pPr>
      <w:r>
        <w:rPr>
          <w:rFonts w:ascii="Times New Roman" w:hAnsi="Times New Roman" w:cs="Times New Roman"/>
        </w:rPr>
        <w:tab/>
      </w:r>
      <w:r w:rsidR="00F74B80" w:rsidRPr="0098446E" w:rsidDel="00413336">
        <w:rPr>
          <w:rFonts w:ascii="Times New Roman" w:hAnsi="Times New Roman" w:cs="Times New Roman"/>
        </w:rPr>
        <w:t xml:space="preserve"> </w:t>
      </w:r>
    </w:p>
    <w:p w14:paraId="0146EED6" w14:textId="0B5232E7" w:rsidR="00F836A7" w:rsidRDefault="006C7FDA" w:rsidP="006E1DEB">
      <w:pPr>
        <w:tabs>
          <w:tab w:val="center" w:pos="4420"/>
          <w:tab w:val="right" w:pos="8840"/>
        </w:tabs>
        <w:jc w:val="left"/>
        <w:rPr>
          <w:rFonts w:ascii="Times New Roman" w:hAnsi="Times New Roman" w:cs="Times New Roman"/>
        </w:rPr>
      </w:pPr>
      <w:r>
        <w:rPr>
          <w:noProof/>
          <w:lang w:val="es-AR" w:eastAsia="es-AR"/>
        </w:rPr>
        <w:drawing>
          <wp:inline distT="0" distB="0" distL="0" distR="0" wp14:anchorId="6B7781D6" wp14:editId="62BCD83D">
            <wp:extent cx="4783231" cy="2441201"/>
            <wp:effectExtent l="0" t="0" r="0"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83231" cy="24412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E298459" w14:textId="21B71E60" w:rsidR="00F74B80" w:rsidRPr="0098446E" w:rsidRDefault="007578DF" w:rsidP="006E1DEB">
      <w:pPr>
        <w:tabs>
          <w:tab w:val="center" w:pos="4420"/>
          <w:tab w:val="right" w:pos="8840"/>
        </w:tabs>
        <w:jc w:val="left"/>
        <w:rPr>
          <w:rFonts w:ascii="Times New Roman" w:hAnsi="Times New Roman" w:cs="Times New Roman"/>
        </w:rPr>
      </w:pPr>
      <w:r>
        <w:rPr>
          <w:rFonts w:ascii="Times New Roman" w:hAnsi="Times New Roman" w:cs="Times New Roman"/>
        </w:rPr>
        <w:tab/>
      </w:r>
    </w:p>
    <w:p w14:paraId="2F2D3FCD" w14:textId="77777777" w:rsidR="00F74B80" w:rsidRPr="00506990" w:rsidRDefault="00F74B80" w:rsidP="00F74B80">
      <w:pPr>
        <w:rPr>
          <w:rFonts w:ascii="Times New Roman" w:hAnsi="Times New Roman" w:cs="Times New Roman"/>
          <w:iCs/>
          <w:color w:val="0D0D0D" w:themeColor="text1" w:themeTint="F2"/>
          <w:sz w:val="22"/>
          <w:szCs w:val="22"/>
        </w:rPr>
      </w:pPr>
    </w:p>
    <w:p w14:paraId="089A53F8" w14:textId="299BA602" w:rsidR="005A3478" w:rsidRPr="00506990" w:rsidRDefault="005A3478" w:rsidP="005A3478">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Este Cuadro de Pago de Servicios (VDFA) se ha confeccionado considerando que el interés mínimo establecido en este Suplemento de Prospecto rige para todos los Períodos de Devengamiento (</w:t>
      </w:r>
      <w:r w:rsidR="00F836A7">
        <w:rPr>
          <w:rFonts w:ascii="Times New Roman" w:hAnsi="Times New Roman" w:cs="Times New Roman"/>
          <w:bCs/>
          <w:iCs/>
          <w:color w:val="0D0D0D" w:themeColor="text1" w:themeTint="F2"/>
          <w:sz w:val="22"/>
          <w:szCs w:val="22"/>
          <w:lang w:val="es-AR"/>
        </w:rPr>
        <w:t>33,0</w:t>
      </w:r>
      <w:r w:rsidRPr="00506990">
        <w:rPr>
          <w:rFonts w:ascii="Times New Roman" w:hAnsi="Times New Roman" w:cs="Times New Roman"/>
          <w:iCs/>
          <w:color w:val="0D0D0D" w:themeColor="text1" w:themeTint="F2"/>
          <w:sz w:val="22"/>
          <w:szCs w:val="22"/>
        </w:rPr>
        <w:t>% Tasa Nominal Anual).</w:t>
      </w:r>
    </w:p>
    <w:p w14:paraId="4315170C" w14:textId="533C54F2" w:rsidR="003F329D" w:rsidRDefault="003F329D" w:rsidP="00121F94">
      <w:pPr>
        <w:jc w:val="center"/>
        <w:rPr>
          <w:rFonts w:ascii="Times New Roman" w:hAnsi="Times New Roman" w:cs="Times New Roman"/>
        </w:rPr>
      </w:pPr>
    </w:p>
    <w:p w14:paraId="62893FF0" w14:textId="4A1657F1" w:rsidR="00F836A7" w:rsidRDefault="006C7FDA" w:rsidP="001E47E3">
      <w:pPr>
        <w:rPr>
          <w:rFonts w:ascii="Times New Roman" w:hAnsi="Times New Roman" w:cs="Times New Roman"/>
        </w:rPr>
      </w:pPr>
      <w:r>
        <w:rPr>
          <w:noProof/>
          <w:lang w:val="es-AR" w:eastAsia="es-AR"/>
        </w:rPr>
        <w:drawing>
          <wp:inline distT="0" distB="0" distL="0" distR="0" wp14:anchorId="56388979" wp14:editId="51FEC764">
            <wp:extent cx="4783231" cy="1331819"/>
            <wp:effectExtent l="0" t="0" r="0" b="1905"/>
            <wp:docPr id="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83231" cy="13318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E0FF7B9" w14:textId="4C6C226E" w:rsidR="00F836A7" w:rsidRPr="0098446E" w:rsidRDefault="00F836A7" w:rsidP="00121F94">
      <w:pPr>
        <w:jc w:val="center"/>
        <w:rPr>
          <w:rFonts w:ascii="Times New Roman" w:hAnsi="Times New Roman" w:cs="Times New Roman"/>
        </w:rPr>
      </w:pPr>
    </w:p>
    <w:p w14:paraId="28EF204A" w14:textId="218804B8" w:rsidR="005A3478" w:rsidRPr="00506990" w:rsidRDefault="005A3478" w:rsidP="005A3478">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Este Cuadro de Pago de Servicios (VDFB) se ha confeccionado considerando que el interés mínimo establecido en este Suplemento de Prospecto rige para todos los Períodos de Devengamiento (</w:t>
      </w:r>
      <w:r w:rsidR="00F836A7">
        <w:rPr>
          <w:rFonts w:ascii="Times New Roman" w:hAnsi="Times New Roman" w:cs="Times New Roman"/>
          <w:bCs/>
          <w:iCs/>
          <w:color w:val="0D0D0D" w:themeColor="text1" w:themeTint="F2"/>
          <w:sz w:val="22"/>
          <w:szCs w:val="22"/>
          <w:lang w:val="es-AR"/>
        </w:rPr>
        <w:t>34,0</w:t>
      </w:r>
      <w:r w:rsidRPr="00506990">
        <w:rPr>
          <w:rFonts w:ascii="Times New Roman" w:hAnsi="Times New Roman" w:cs="Times New Roman"/>
          <w:iCs/>
          <w:color w:val="0D0D0D" w:themeColor="text1" w:themeTint="F2"/>
          <w:sz w:val="22"/>
          <w:szCs w:val="22"/>
        </w:rPr>
        <w:t>% Tasa Nominal Anual).</w:t>
      </w:r>
    </w:p>
    <w:p w14:paraId="01451C54" w14:textId="77777777" w:rsidR="00671CEA" w:rsidRPr="0098446E" w:rsidRDefault="00671CEA" w:rsidP="00671CEA">
      <w:pPr>
        <w:pStyle w:val="Ttulo1"/>
        <w:jc w:val="left"/>
        <w:rPr>
          <w:rFonts w:ascii="Times New Roman" w:hAnsi="Times New Roman"/>
          <w:b w:val="0"/>
        </w:rPr>
      </w:pPr>
      <w:r w:rsidRPr="0098446E">
        <w:rPr>
          <w:rFonts w:ascii="Times New Roman" w:hAnsi="Times New Roman"/>
        </w:rPr>
        <w:t>Cuadro de Pago de Servicios considerando el interés máximo</w:t>
      </w:r>
    </w:p>
    <w:p w14:paraId="30569E18" w14:textId="77777777" w:rsidR="005A3478" w:rsidRPr="00506990" w:rsidRDefault="005A3478" w:rsidP="004619DF">
      <w:pPr>
        <w:rPr>
          <w:rFonts w:ascii="Times New Roman" w:hAnsi="Times New Roman" w:cs="Times New Roman"/>
          <w:iCs/>
          <w:color w:val="0D0D0D" w:themeColor="text1" w:themeTint="F2"/>
          <w:sz w:val="22"/>
          <w:szCs w:val="22"/>
        </w:rPr>
      </w:pPr>
    </w:p>
    <w:p w14:paraId="535C6548" w14:textId="6C19F4EE" w:rsidR="00671CEA" w:rsidRPr="00506990" w:rsidRDefault="00671CEA" w:rsidP="004619DF">
      <w:pPr>
        <w:rPr>
          <w:rFonts w:ascii="Times New Roman" w:hAnsi="Times New Roman" w:cs="Times New Roman"/>
          <w:iCs/>
          <w:color w:val="0D0D0D" w:themeColor="text1" w:themeTint="F2"/>
          <w:sz w:val="22"/>
          <w:szCs w:val="22"/>
        </w:rPr>
      </w:pPr>
    </w:p>
    <w:p w14:paraId="19E8F8FF" w14:textId="6C6D66FC" w:rsidR="00671CEA" w:rsidRDefault="006C7FDA" w:rsidP="00671CEA">
      <w:pPr>
        <w:rPr>
          <w:rFonts w:ascii="Times New Roman" w:hAnsi="Times New Roman" w:cs="Times New Roman"/>
          <w:iCs/>
          <w:color w:val="0D0D0D" w:themeColor="text1" w:themeTint="F2"/>
          <w:sz w:val="22"/>
          <w:szCs w:val="22"/>
        </w:rPr>
      </w:pPr>
      <w:r>
        <w:rPr>
          <w:noProof/>
          <w:lang w:val="es-AR" w:eastAsia="es-AR"/>
        </w:rPr>
        <w:lastRenderedPageBreak/>
        <w:drawing>
          <wp:inline distT="0" distB="0" distL="0" distR="0" wp14:anchorId="3C14B055" wp14:editId="00BD7E2E">
            <wp:extent cx="4783231" cy="2441201"/>
            <wp:effectExtent l="0" t="0" r="0" b="0"/>
            <wp:docPr id="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83231" cy="24412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B31B420" w14:textId="16226E1E" w:rsidR="00F836A7" w:rsidRDefault="00F836A7" w:rsidP="00671CEA">
      <w:pPr>
        <w:rPr>
          <w:rFonts w:ascii="Times New Roman" w:hAnsi="Times New Roman" w:cs="Times New Roman"/>
          <w:iCs/>
          <w:color w:val="0D0D0D" w:themeColor="text1" w:themeTint="F2"/>
          <w:sz w:val="22"/>
          <w:szCs w:val="22"/>
        </w:rPr>
      </w:pPr>
    </w:p>
    <w:p w14:paraId="0084B10A" w14:textId="36DAEB53" w:rsidR="00671CEA" w:rsidRPr="00506990" w:rsidRDefault="00671CEA" w:rsidP="00671CEA">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Este Cuadro de Pago de Servicios (VDFA) se ha confeccionado considerando que el interés máximo establecido en este Suplemento de Prospecto rige para todos los Períodos de Devengamiento (</w:t>
      </w:r>
      <w:r w:rsidR="00F836A7">
        <w:rPr>
          <w:rFonts w:ascii="Times New Roman" w:hAnsi="Times New Roman" w:cs="Times New Roman"/>
          <w:bCs/>
          <w:iCs/>
          <w:color w:val="0D0D0D" w:themeColor="text1" w:themeTint="F2"/>
          <w:sz w:val="22"/>
          <w:szCs w:val="22"/>
          <w:lang w:val="es-AR"/>
        </w:rPr>
        <w:t>43,0</w:t>
      </w:r>
      <w:r w:rsidRPr="00506990">
        <w:rPr>
          <w:rFonts w:ascii="Times New Roman" w:hAnsi="Times New Roman" w:cs="Times New Roman"/>
          <w:iCs/>
          <w:color w:val="0D0D0D" w:themeColor="text1" w:themeTint="F2"/>
          <w:sz w:val="22"/>
          <w:szCs w:val="22"/>
        </w:rPr>
        <w:t>% Tasa Nominal Anual).</w:t>
      </w:r>
    </w:p>
    <w:p w14:paraId="593D7C4F" w14:textId="77777777" w:rsidR="00671CEA" w:rsidRPr="00506990" w:rsidRDefault="00671CEA" w:rsidP="004619DF">
      <w:pPr>
        <w:rPr>
          <w:rFonts w:ascii="Times New Roman" w:hAnsi="Times New Roman" w:cs="Times New Roman"/>
          <w:iCs/>
          <w:color w:val="0D0D0D" w:themeColor="text1" w:themeTint="F2"/>
          <w:sz w:val="22"/>
          <w:szCs w:val="22"/>
        </w:rPr>
      </w:pPr>
    </w:p>
    <w:p w14:paraId="514880EC" w14:textId="0782ACF7" w:rsidR="00671CEA" w:rsidRDefault="00671CEA" w:rsidP="004619DF">
      <w:pPr>
        <w:rPr>
          <w:rFonts w:ascii="Times New Roman" w:hAnsi="Times New Roman" w:cs="Times New Roman"/>
          <w:iCs/>
          <w:color w:val="0D0D0D" w:themeColor="text1" w:themeTint="F2"/>
          <w:sz w:val="22"/>
          <w:szCs w:val="22"/>
        </w:rPr>
      </w:pPr>
    </w:p>
    <w:p w14:paraId="2E1A81C5" w14:textId="13A9FE22" w:rsidR="00F836A7" w:rsidRDefault="006C7FDA" w:rsidP="004619DF">
      <w:pPr>
        <w:rPr>
          <w:rFonts w:ascii="Times New Roman" w:hAnsi="Times New Roman" w:cs="Times New Roman"/>
          <w:iCs/>
          <w:color w:val="0D0D0D" w:themeColor="text1" w:themeTint="F2"/>
          <w:sz w:val="22"/>
          <w:szCs w:val="22"/>
        </w:rPr>
      </w:pPr>
      <w:r>
        <w:rPr>
          <w:noProof/>
          <w:lang w:val="es-AR" w:eastAsia="es-AR"/>
        </w:rPr>
        <w:drawing>
          <wp:inline distT="0" distB="0" distL="0" distR="0" wp14:anchorId="7B87169F" wp14:editId="087BBB6A">
            <wp:extent cx="4783231" cy="1522319"/>
            <wp:effectExtent l="0" t="0" r="0" b="1905"/>
            <wp:docPr id="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83231" cy="15223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C4E19CC" w14:textId="7B475F1A" w:rsidR="00F836A7" w:rsidRPr="00506990" w:rsidRDefault="00F836A7" w:rsidP="004619DF">
      <w:pPr>
        <w:rPr>
          <w:rFonts w:ascii="Times New Roman" w:hAnsi="Times New Roman" w:cs="Times New Roman"/>
          <w:iCs/>
          <w:color w:val="0D0D0D" w:themeColor="text1" w:themeTint="F2"/>
          <w:sz w:val="22"/>
          <w:szCs w:val="22"/>
        </w:rPr>
      </w:pPr>
    </w:p>
    <w:p w14:paraId="151930CD" w14:textId="77777777" w:rsidR="00671CEA" w:rsidRPr="00506990" w:rsidRDefault="00671CEA" w:rsidP="004619DF">
      <w:pPr>
        <w:rPr>
          <w:rFonts w:ascii="Times New Roman" w:hAnsi="Times New Roman" w:cs="Times New Roman"/>
          <w:iCs/>
          <w:color w:val="0D0D0D" w:themeColor="text1" w:themeTint="F2"/>
          <w:sz w:val="22"/>
          <w:szCs w:val="22"/>
        </w:rPr>
      </w:pPr>
    </w:p>
    <w:p w14:paraId="34BEE1CB" w14:textId="7E152DF4" w:rsidR="00671CEA" w:rsidRPr="00506990" w:rsidRDefault="00671CEA" w:rsidP="00671CEA">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Este Cuadro de Pago de Servicios (VDFB) se ha confeccionado considerando que el interés máximo establecido en este Suplemento de Prospecto rige para todos los Períodos de Devengamiento (</w:t>
      </w:r>
      <w:r w:rsidR="00F836A7">
        <w:rPr>
          <w:rFonts w:ascii="Times New Roman" w:hAnsi="Times New Roman" w:cs="Times New Roman"/>
          <w:bCs/>
          <w:iCs/>
          <w:color w:val="0D0D0D" w:themeColor="text1" w:themeTint="F2"/>
          <w:sz w:val="22"/>
          <w:szCs w:val="22"/>
          <w:lang w:val="es-AR"/>
        </w:rPr>
        <w:t>44,0</w:t>
      </w:r>
      <w:r w:rsidRPr="00506990">
        <w:rPr>
          <w:rFonts w:ascii="Times New Roman" w:hAnsi="Times New Roman" w:cs="Times New Roman"/>
          <w:iCs/>
          <w:color w:val="0D0D0D" w:themeColor="text1" w:themeTint="F2"/>
          <w:sz w:val="22"/>
          <w:szCs w:val="22"/>
        </w:rPr>
        <w:t>% Tasa Nominal Anual).</w:t>
      </w:r>
    </w:p>
    <w:p w14:paraId="77F379EF" w14:textId="05FC8D11" w:rsidR="00F74B80" w:rsidRPr="00506990" w:rsidRDefault="00F74B80">
      <w:pPr>
        <w:keepNext/>
        <w:suppressAutoHyphens/>
        <w:spacing w:line="240" w:lineRule="atLeast"/>
        <w:rPr>
          <w:rFonts w:ascii="Times New Roman" w:hAnsi="Times New Roman" w:cs="Times New Roman"/>
          <w:iCs/>
          <w:color w:val="0D0D0D" w:themeColor="text1" w:themeTint="F2"/>
          <w:sz w:val="22"/>
          <w:szCs w:val="22"/>
        </w:rPr>
      </w:pPr>
    </w:p>
    <w:p w14:paraId="6D58DFFE" w14:textId="2A0517FE" w:rsidR="00482F96" w:rsidRPr="00506990" w:rsidRDefault="00DC49CE" w:rsidP="00B228F5">
      <w:pPr>
        <w:pStyle w:val="Ttulo1"/>
        <w:jc w:val="center"/>
        <w:rPr>
          <w:rFonts w:ascii="Times New Roman" w:hAnsi="Times New Roman"/>
          <w:sz w:val="22"/>
          <w:szCs w:val="22"/>
        </w:rPr>
      </w:pPr>
      <w:bookmarkStart w:id="109" w:name="_Toc521424875"/>
      <w:bookmarkStart w:id="110" w:name="_Toc20409093"/>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09"/>
      <w:bookmarkEnd w:id="110"/>
    </w:p>
    <w:p w14:paraId="4803F781" w14:textId="4BB2735D" w:rsidR="00850C95" w:rsidRPr="00506990" w:rsidRDefault="00850C95" w:rsidP="000C5F90">
      <w:pPr>
        <w:suppressAutoHyphens/>
        <w:jc w:val="center"/>
        <w:rPr>
          <w:rFonts w:ascii="Times New Roman" w:hAnsi="Times New Roman" w:cs="Times New Roman"/>
          <w:b/>
          <w:bCs/>
          <w:iCs/>
          <w:color w:val="0D0D0D" w:themeColor="text1" w:themeTint="F2"/>
          <w:sz w:val="22"/>
          <w:szCs w:val="22"/>
          <w:u w:val="single"/>
        </w:rPr>
      </w:pPr>
    </w:p>
    <w:p w14:paraId="679EB2AD" w14:textId="77777777" w:rsidR="00BD415E" w:rsidRPr="00506990" w:rsidRDefault="00BD415E" w:rsidP="00BD415E">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7BA36CE6" w14:textId="054A07EF" w:rsidR="00850C95" w:rsidRPr="00506990" w:rsidRDefault="00850C95" w:rsidP="000C5F90">
      <w:pPr>
        <w:suppressAutoHyphens/>
        <w:jc w:val="center"/>
        <w:rPr>
          <w:rFonts w:ascii="Times New Roman" w:hAnsi="Times New Roman" w:cs="Times New Roman"/>
          <w:b/>
          <w:bCs/>
          <w:iCs/>
          <w:color w:val="0D0D0D" w:themeColor="text1" w:themeTint="F2"/>
          <w:sz w:val="22"/>
          <w:szCs w:val="22"/>
          <w:u w:val="single"/>
        </w:rPr>
      </w:pPr>
    </w:p>
    <w:p w14:paraId="59A490C2" w14:textId="0AA4906B" w:rsidR="000C5F90" w:rsidRPr="00506990" w:rsidRDefault="000C5F90" w:rsidP="00B228F5">
      <w:pPr>
        <w:pStyle w:val="Ttulo1"/>
        <w:jc w:val="center"/>
        <w:rPr>
          <w:rFonts w:ascii="Times New Roman" w:hAnsi="Times New Roman"/>
          <w:sz w:val="22"/>
          <w:szCs w:val="22"/>
        </w:rPr>
      </w:pPr>
      <w:bookmarkStart w:id="111" w:name="_Toc521424876"/>
      <w:bookmarkStart w:id="112" w:name="_Toc20409094"/>
      <w:r w:rsidRPr="00506990">
        <w:rPr>
          <w:rFonts w:ascii="Times New Roman" w:hAnsi="Times New Roman"/>
          <w:sz w:val="22"/>
          <w:szCs w:val="22"/>
        </w:rPr>
        <w:t>X</w:t>
      </w:r>
      <w:r w:rsidR="00F74B80" w:rsidRPr="00506990">
        <w:rPr>
          <w:rFonts w:ascii="Times New Roman" w:hAnsi="Times New Roman"/>
          <w:sz w:val="22"/>
          <w:szCs w:val="22"/>
        </w:rPr>
        <w:t>V</w:t>
      </w:r>
      <w:r w:rsidRPr="00506990">
        <w:rPr>
          <w:rFonts w:ascii="Times New Roman" w:hAnsi="Times New Roman"/>
          <w:sz w:val="22"/>
          <w:szCs w:val="22"/>
        </w:rPr>
        <w:t xml:space="preserve">.- </w:t>
      </w:r>
      <w:r w:rsidR="00A7122D" w:rsidRPr="00506990">
        <w:rPr>
          <w:rFonts w:ascii="Times New Roman" w:hAnsi="Times New Roman"/>
          <w:sz w:val="22"/>
          <w:szCs w:val="22"/>
        </w:rPr>
        <w:t xml:space="preserve">PROCEDIMIENTO DE </w:t>
      </w:r>
      <w:r w:rsidR="004C0989" w:rsidRPr="00506990">
        <w:rPr>
          <w:rFonts w:ascii="Times New Roman" w:hAnsi="Times New Roman"/>
          <w:sz w:val="22"/>
          <w:szCs w:val="22"/>
        </w:rPr>
        <w:t xml:space="preserve">COLOCACIÓN Y NEGOCIACIÓN DE LOS VALORES </w:t>
      </w:r>
      <w:r w:rsidR="008758B7" w:rsidRPr="00506990">
        <w:rPr>
          <w:rFonts w:ascii="Times New Roman" w:hAnsi="Times New Roman"/>
          <w:sz w:val="22"/>
          <w:szCs w:val="22"/>
        </w:rPr>
        <w:t xml:space="preserve">DE DEUDA </w:t>
      </w:r>
      <w:r w:rsidR="00B866EE" w:rsidRPr="00506990">
        <w:rPr>
          <w:rFonts w:ascii="Times New Roman" w:hAnsi="Times New Roman"/>
          <w:sz w:val="22"/>
          <w:szCs w:val="22"/>
        </w:rPr>
        <w:t>FIDUCIARI</w:t>
      </w:r>
      <w:r w:rsidR="008758B7" w:rsidRPr="00506990">
        <w:rPr>
          <w:rFonts w:ascii="Times New Roman" w:hAnsi="Times New Roman"/>
          <w:sz w:val="22"/>
          <w:szCs w:val="22"/>
        </w:rPr>
        <w:t>A</w:t>
      </w:r>
      <w:r w:rsidRPr="00506990">
        <w:rPr>
          <w:rFonts w:ascii="Times New Roman" w:hAnsi="Times New Roman"/>
          <w:sz w:val="22"/>
          <w:szCs w:val="22"/>
        </w:rPr>
        <w:t>.</w:t>
      </w:r>
      <w:bookmarkEnd w:id="111"/>
      <w:bookmarkEnd w:id="112"/>
    </w:p>
    <w:p w14:paraId="195256EB"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29309DFB" w14:textId="100DCF8A"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005F07">
        <w:rPr>
          <w:rFonts w:ascii="Times New Roman" w:eastAsia="Times New Roman" w:hAnsi="Times New Roman" w:cs="Times New Roman"/>
          <w:color w:val="0D0D0D" w:themeColor="text1" w:themeTint="F2"/>
          <w:sz w:val="22"/>
          <w:szCs w:val="22"/>
          <w:lang w:val="es-AR"/>
        </w:rPr>
        <w:t>Option</w:t>
      </w:r>
      <w:r w:rsidR="00E23F41"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e</w:t>
      </w:r>
      <w:r w:rsidRPr="00806657">
        <w:rPr>
          <w:rFonts w:ascii="Times New Roman" w:eastAsia="Times New Roman" w:hAnsi="Times New Roman" w:cs="Times New Roman"/>
          <w:color w:val="0D0D0D" w:themeColor="text1" w:themeTint="F2"/>
          <w:sz w:val="22"/>
          <w:szCs w:val="22"/>
          <w:lang w:val="es-AR"/>
        </w:rPr>
        <w:t xml:space="preserve"> INTL CIBSA S.A.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w:t>
      </w:r>
      <w:r w:rsidRPr="00506990">
        <w:rPr>
          <w:rFonts w:ascii="Times New Roman" w:eastAsia="Times New Roman" w:hAnsi="Times New Roman" w:cs="Times New Roman"/>
          <w:color w:val="0D0D0D" w:themeColor="text1" w:themeTint="F2"/>
          <w:sz w:val="22"/>
          <w:szCs w:val="22"/>
          <w:lang w:val="es-AR"/>
        </w:rPr>
        <w:lastRenderedPageBreak/>
        <w:t xml:space="preserve">citado sistema. Los Valores de Deuda </w:t>
      </w:r>
      <w:r w:rsidRPr="00506990">
        <w:rPr>
          <w:rFonts w:ascii="Times New Roman" w:hAnsi="Times New Roman" w:cs="Times New Roman"/>
          <w:iCs/>
          <w:color w:val="0D0D0D" w:themeColor="text1" w:themeTint="F2"/>
          <w:sz w:val="22"/>
          <w:szCs w:val="22"/>
        </w:rPr>
        <w:t>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 establecido en las NORMAS de CNV, a través del sistema informático de colocación de Mercado Argentino de Valores S.A. (SEMAV) autorizado por la CNV bajo la modalidad abierta.</w:t>
      </w:r>
    </w:p>
    <w:p w14:paraId="46EE1729" w14:textId="2B7CE63B" w:rsidR="00AF3B0A" w:rsidRPr="00506990"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 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64B52D49"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7664EB3E" w14:textId="4E229263"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Los inversores interesados podrán retirar copias del Prospecto y del Suplemento de Prospecto en las oficinas del Mercado Argentino de Valores S.A., sito en Paraguay 777, 8° piso, Rosario, Pcia. de Santa Fe, en el horario de 11 a 16 horas.</w:t>
      </w:r>
    </w:p>
    <w:p w14:paraId="18A19DA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0B2A4B38" w14:textId="4E67B2BB"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Autorizada la oferta pública, y en la oportunidad que determine el Fiduciario según las condiciones del mercado, se publicará un Aviso de Suscripción en AIF y los sistemas de información de los mercados autorizados donde negocien los Valores</w:t>
      </w:r>
      <w:r w:rsidR="008758B7" w:rsidRPr="00506990">
        <w:rPr>
          <w:rFonts w:ascii="Times New Roman" w:eastAsia="Times New Roman" w:hAnsi="Times New Roman" w:cs="Times New Roman"/>
          <w:color w:val="0D0D0D" w:themeColor="text1" w:themeTint="F2"/>
          <w:sz w:val="22"/>
          <w:szCs w:val="22"/>
          <w:lang w:val="es-AR"/>
        </w:rPr>
        <w:t xml:space="preserve"> </w:t>
      </w:r>
      <w:r w:rsidR="008758B7" w:rsidRPr="00B43F7C">
        <w:rPr>
          <w:rFonts w:ascii="Times New Roman" w:hAnsi="Times New Roman" w:cs="Times New Roman"/>
          <w:iCs/>
          <w:color w:val="0D0D0D" w:themeColor="text1" w:themeTint="F2"/>
          <w:sz w:val="22"/>
          <w:szCs w:val="22"/>
          <w:lang w:val="es-AR"/>
        </w:rPr>
        <w:t>de Deuda</w:t>
      </w:r>
      <w:r w:rsidRPr="00506990">
        <w:rPr>
          <w:rFonts w:ascii="Times New Roman" w:eastAsia="Times New Roman" w:hAnsi="Times New Roman" w:cs="Times New Roman"/>
          <w:color w:val="0D0D0D" w:themeColor="text1" w:themeTint="F2"/>
          <w:sz w:val="22"/>
          <w:szCs w:val="22"/>
          <w:lang w:val="es-AR"/>
        </w:rPr>
        <w:t xml:space="preserve"> </w:t>
      </w:r>
      <w:r w:rsidR="00B866EE" w:rsidRPr="00506990">
        <w:rPr>
          <w:rFonts w:ascii="Times New Roman" w:hAnsi="Times New Roman" w:cs="Times New Roman"/>
          <w:iCs/>
          <w:color w:val="0D0D0D" w:themeColor="text1" w:themeTint="F2"/>
          <w:sz w:val="22"/>
          <w:szCs w:val="22"/>
        </w:rPr>
        <w:t>Fiduciari</w:t>
      </w:r>
      <w:r w:rsidR="008758B7" w:rsidRPr="00506990">
        <w:rPr>
          <w:rFonts w:ascii="Times New Roman" w:hAnsi="Times New Roman" w:cs="Times New Roman"/>
          <w:iCs/>
          <w:color w:val="0D0D0D" w:themeColor="text1" w:themeTint="F2"/>
          <w:sz w:val="22"/>
          <w:szCs w:val="22"/>
        </w:rPr>
        <w:t>a</w:t>
      </w:r>
      <w:r w:rsidRPr="00506990">
        <w:rPr>
          <w:rFonts w:ascii="Times New Roman" w:eastAsia="Times New Roman" w:hAnsi="Times New Roman" w:cs="Times New Roman"/>
          <w:color w:val="0D0D0D" w:themeColor="text1" w:themeTint="F2"/>
          <w:sz w:val="22"/>
          <w:szCs w:val="22"/>
          <w:lang w:val="es-AR"/>
        </w:rPr>
        <w:t xml:space="preserve">, en el que se indicará la fecha de inicio y de finalización del Período de Difusión y del Periodo de Licitación y la Fecha de Liquidación y Emisión de los Valores </w:t>
      </w:r>
      <w:r w:rsidR="008758B7"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w:t>
      </w:r>
    </w:p>
    <w:p w14:paraId="70944941"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03CB3F5F" w14:textId="7B408CFE"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Valores </w:t>
      </w:r>
      <w:r w:rsidR="008758B7" w:rsidRPr="00B43F7C">
        <w:rPr>
          <w:rFonts w:ascii="Times New Roman" w:hAnsi="Times New Roman" w:cs="Times New Roman"/>
          <w:iCs/>
          <w:color w:val="0D0D0D" w:themeColor="text1" w:themeTint="F2"/>
          <w:sz w:val="22"/>
          <w:szCs w:val="22"/>
          <w:lang w:val="es-AR"/>
        </w:rPr>
        <w:t xml:space="preserve">de Deuda </w:t>
      </w:r>
      <w:r w:rsidR="004D1480"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274AE3A0"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7F0B28DE" w14:textId="766DE880" w:rsidR="0050339C" w:rsidRPr="00506990" w:rsidRDefault="0050339C" w:rsidP="0050339C">
      <w:pPr>
        <w:widowControl w:val="0"/>
        <w:suppressAutoHyphens/>
        <w:rPr>
          <w:rFonts w:ascii="Times New Roman" w:eastAsia="Times New Roman" w:hAnsi="Times New Roman" w:cs="Times New Roman"/>
          <w:b/>
          <w:color w:val="0D0D0D" w:themeColor="text1" w:themeTint="F2"/>
          <w:sz w:val="22"/>
          <w:szCs w:val="22"/>
          <w:lang w:val="es-AR"/>
        </w:rPr>
      </w:pPr>
      <w:r w:rsidRPr="00506990">
        <w:rPr>
          <w:rFonts w:ascii="Times New Roman" w:eastAsia="Times New Roman" w:hAnsi="Times New Roman" w:cs="Times New Roman"/>
          <w:b/>
          <w:color w:val="0D0D0D" w:themeColor="text1" w:themeTint="F2"/>
          <w:sz w:val="22"/>
          <w:szCs w:val="22"/>
          <w:lang w:val="es-AR"/>
        </w:rPr>
        <w:t xml:space="preserve">I.- </w:t>
      </w:r>
      <w:r w:rsidRPr="00506990">
        <w:rPr>
          <w:rFonts w:ascii="Times New Roman" w:eastAsia="Times New Roman" w:hAnsi="Times New Roman" w:cs="Times New Roman"/>
          <w:b/>
          <w:color w:val="0D0D0D" w:themeColor="text1" w:themeTint="F2"/>
          <w:sz w:val="22"/>
          <w:szCs w:val="22"/>
          <w:u w:val="single"/>
          <w:lang w:val="es-AR"/>
        </w:rPr>
        <w:t>Colocación de los V</w:t>
      </w:r>
      <w:r w:rsidR="004D1480" w:rsidRPr="00506990">
        <w:rPr>
          <w:rFonts w:ascii="Times New Roman" w:eastAsia="Times New Roman" w:hAnsi="Times New Roman" w:cs="Times New Roman"/>
          <w:b/>
          <w:color w:val="0D0D0D" w:themeColor="text1" w:themeTint="F2"/>
          <w:sz w:val="22"/>
          <w:szCs w:val="22"/>
          <w:u w:val="single"/>
          <w:lang w:val="es-AR"/>
        </w:rPr>
        <w:t xml:space="preserve">alores </w:t>
      </w:r>
      <w:r w:rsidR="008758B7" w:rsidRPr="00B43F7C">
        <w:rPr>
          <w:rFonts w:ascii="Times New Roman" w:hAnsi="Times New Roman" w:cs="Times New Roman"/>
          <w:b/>
          <w:iCs/>
          <w:color w:val="0D0D0D" w:themeColor="text1" w:themeTint="F2"/>
          <w:sz w:val="22"/>
          <w:szCs w:val="22"/>
          <w:u w:val="single"/>
          <w:lang w:val="es-AR"/>
        </w:rPr>
        <w:t xml:space="preserve">de Deuda </w:t>
      </w:r>
      <w:r w:rsidRPr="00506990">
        <w:rPr>
          <w:rFonts w:ascii="Times New Roman" w:eastAsia="Times New Roman" w:hAnsi="Times New Roman" w:cs="Times New Roman"/>
          <w:b/>
          <w:color w:val="0D0D0D" w:themeColor="text1" w:themeTint="F2"/>
          <w:sz w:val="22"/>
          <w:szCs w:val="22"/>
          <w:u w:val="single"/>
          <w:lang w:val="es-AR"/>
        </w:rPr>
        <w:t>F</w:t>
      </w:r>
      <w:r w:rsidR="004D1480" w:rsidRPr="00506990">
        <w:rPr>
          <w:rFonts w:ascii="Times New Roman" w:eastAsia="Times New Roman" w:hAnsi="Times New Roman" w:cs="Times New Roman"/>
          <w:b/>
          <w:color w:val="0D0D0D" w:themeColor="text1" w:themeTint="F2"/>
          <w:sz w:val="22"/>
          <w:szCs w:val="22"/>
          <w:u w:val="single"/>
          <w:lang w:val="es-AR"/>
        </w:rPr>
        <w:t>iduciari</w:t>
      </w:r>
      <w:r w:rsidR="008758B7" w:rsidRPr="00506990">
        <w:rPr>
          <w:rFonts w:ascii="Times New Roman" w:eastAsia="Times New Roman" w:hAnsi="Times New Roman" w:cs="Times New Roman"/>
          <w:b/>
          <w:color w:val="0D0D0D" w:themeColor="text1" w:themeTint="F2"/>
          <w:sz w:val="22"/>
          <w:szCs w:val="22"/>
          <w:u w:val="single"/>
          <w:lang w:val="es-AR"/>
        </w:rPr>
        <w:t>a</w:t>
      </w:r>
      <w:r w:rsidRPr="00506990">
        <w:rPr>
          <w:rFonts w:ascii="Times New Roman" w:eastAsia="Times New Roman" w:hAnsi="Times New Roman" w:cs="Times New Roman"/>
          <w:b/>
          <w:color w:val="0D0D0D" w:themeColor="text1" w:themeTint="F2"/>
          <w:sz w:val="22"/>
          <w:szCs w:val="22"/>
          <w:lang w:val="es-AR"/>
        </w:rPr>
        <w:t>:</w:t>
      </w:r>
    </w:p>
    <w:p w14:paraId="6A2BD23E"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2E2D8FA2" w14:textId="3F70EDCC"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1.1 Los Valores </w:t>
      </w:r>
      <w:r w:rsidR="008758B7"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serán colocados mediante el sistema denominado “Subasta Holandesa Modificada” al precio que surja de la oferta y demanda conforme el rango de TIR (Tasa Interna de Retorno) ofrecidos en las solicitudes de suscripción durante el Periodo de Licitación (la “Tasa de Corte” )</w:t>
      </w:r>
      <w:r w:rsidRPr="00506990">
        <w:rPr>
          <w:rFonts w:ascii="Times New Roman" w:eastAsia="Times New Roman" w:hAnsi="Times New Roman" w:cs="Times New Roman"/>
          <w:bCs/>
          <w:color w:val="0D0D0D" w:themeColor="text1" w:themeTint="F2"/>
          <w:sz w:val="22"/>
          <w:szCs w:val="22"/>
          <w:lang w:val="es-AR" w:eastAsia="es-AR"/>
        </w:rPr>
        <w:t>.</w:t>
      </w:r>
      <w:r w:rsidR="0090347D" w:rsidRPr="00506990">
        <w:rPr>
          <w:rFonts w:ascii="Times New Roman" w:eastAsia="Times New Roman" w:hAnsi="Times New Roman" w:cs="Times New Roman"/>
          <w:bCs/>
          <w:color w:val="0D0D0D" w:themeColor="text1" w:themeTint="F2"/>
          <w:sz w:val="22"/>
          <w:szCs w:val="22"/>
          <w:lang w:val="es-AR" w:eastAsia="es-AR"/>
        </w:rPr>
        <w:t xml:space="preserve"> </w:t>
      </w:r>
      <w:r w:rsidRPr="00506990">
        <w:rPr>
          <w:rFonts w:ascii="Times New Roman" w:eastAsia="Times New Roman" w:hAnsi="Times New Roman" w:cs="Times New Roman"/>
          <w:bCs/>
          <w:color w:val="0D0D0D" w:themeColor="text1" w:themeTint="F2"/>
          <w:sz w:val="22"/>
          <w:szCs w:val="22"/>
          <w:lang w:val="es-AR" w:eastAsia="es-AR"/>
        </w:rPr>
        <w:t>Una vez finalizado el Período de Licitación, l</w:t>
      </w:r>
      <w:r w:rsidR="006E36BA" w:rsidRPr="00506990">
        <w:rPr>
          <w:rFonts w:ascii="Times New Roman" w:eastAsia="Times New Roman" w:hAnsi="Times New Roman" w:cs="Times New Roman"/>
          <w:bCs/>
          <w:color w:val="0D0D0D" w:themeColor="text1" w:themeTint="F2"/>
          <w:sz w:val="22"/>
          <w:szCs w:val="22"/>
          <w:lang w:val="es-AR" w:eastAsia="es-AR"/>
        </w:rPr>
        <w:t>os</w:t>
      </w:r>
      <w:r w:rsidRPr="00506990">
        <w:rPr>
          <w:rFonts w:ascii="Times New Roman" w:eastAsia="Times New Roman" w:hAnsi="Times New Roman" w:cs="Times New Roman"/>
          <w:bCs/>
          <w:color w:val="0D0D0D" w:themeColor="text1" w:themeTint="F2"/>
          <w:sz w:val="22"/>
          <w:szCs w:val="22"/>
          <w:lang w:val="es-AR" w:eastAsia="es-AR"/>
        </w:rPr>
        <w:t xml:space="preserve"> Fiduciante</w:t>
      </w:r>
      <w:r w:rsidR="006E36BA" w:rsidRPr="00506990">
        <w:rPr>
          <w:rFonts w:ascii="Times New Roman" w:eastAsia="Times New Roman" w:hAnsi="Times New Roman" w:cs="Times New Roman"/>
          <w:bCs/>
          <w:color w:val="0D0D0D" w:themeColor="text1" w:themeTint="F2"/>
          <w:sz w:val="22"/>
          <w:szCs w:val="22"/>
          <w:lang w:val="es-AR" w:eastAsia="es-AR"/>
        </w:rPr>
        <w:t>s</w:t>
      </w:r>
      <w:r w:rsidRPr="00506990">
        <w:rPr>
          <w:rFonts w:ascii="Times New Roman" w:eastAsia="Times New Roman" w:hAnsi="Times New Roman" w:cs="Times New Roman"/>
          <w:bCs/>
          <w:color w:val="0D0D0D" w:themeColor="text1" w:themeTint="F2"/>
          <w:sz w:val="22"/>
          <w:szCs w:val="22"/>
          <w:lang w:val="es-AR" w:eastAsia="es-AR"/>
        </w:rPr>
        <w:t xml:space="preserve"> podrá</w:t>
      </w:r>
      <w:r w:rsidR="006E36BA" w:rsidRPr="00506990">
        <w:rPr>
          <w:rFonts w:ascii="Times New Roman" w:eastAsia="Times New Roman" w:hAnsi="Times New Roman" w:cs="Times New Roman"/>
          <w:bCs/>
          <w:color w:val="0D0D0D" w:themeColor="text1" w:themeTint="F2"/>
          <w:sz w:val="22"/>
          <w:szCs w:val="22"/>
          <w:lang w:val="es-AR" w:eastAsia="es-AR"/>
        </w:rPr>
        <w:t>n</w:t>
      </w:r>
      <w:r w:rsidRPr="00506990">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sidR="004A686B" w:rsidRPr="00506990">
        <w:rPr>
          <w:rFonts w:ascii="Times New Roman" w:eastAsia="Times New Roman" w:hAnsi="Times New Roman" w:cs="Times New Roman"/>
          <w:bCs/>
          <w:color w:val="0D0D0D" w:themeColor="text1" w:themeTint="F2"/>
          <w:sz w:val="22"/>
          <w:szCs w:val="22"/>
          <w:lang w:val="es-AR" w:eastAsia="es-AR"/>
        </w:rPr>
        <w:t xml:space="preserve">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w:t>
      </w:r>
      <w:r w:rsidR="004A686B" w:rsidRPr="00506990">
        <w:rPr>
          <w:rFonts w:ascii="Times New Roman" w:eastAsia="Times New Roman" w:hAnsi="Times New Roman" w:cs="Times New Roman"/>
          <w:bCs/>
          <w:color w:val="0D0D0D" w:themeColor="text1" w:themeTint="F2"/>
          <w:sz w:val="22"/>
          <w:szCs w:val="22"/>
          <w:lang w:val="es-AR" w:eastAsia="es-AR"/>
        </w:rPr>
        <w:t>iduciari</w:t>
      </w:r>
      <w:r w:rsidR="00286ECE" w:rsidRPr="00506990">
        <w:rPr>
          <w:rFonts w:ascii="Times New Roman" w:eastAsia="Times New Roman" w:hAnsi="Times New Roman" w:cs="Times New Roman"/>
          <w:bCs/>
          <w:color w:val="0D0D0D" w:themeColor="text1" w:themeTint="F2"/>
          <w:sz w:val="22"/>
          <w:szCs w:val="22"/>
          <w:lang w:val="es-AR" w:eastAsia="es-AR"/>
        </w:rPr>
        <w:t>a</w:t>
      </w:r>
      <w:r w:rsidRPr="00506990">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0090347D" w:rsidRPr="00506990">
        <w:rPr>
          <w:rFonts w:ascii="Times New Roman" w:eastAsia="Times New Roman" w:hAnsi="Times New Roman" w:cs="Times New Roman"/>
          <w:bCs/>
          <w:color w:val="0D0D0D" w:themeColor="text1" w:themeTint="F2"/>
          <w:sz w:val="22"/>
          <w:szCs w:val="22"/>
          <w:lang w:val="es-AR" w:eastAsia="es-AR"/>
        </w:rPr>
        <w:t xml:space="preserve"> </w:t>
      </w:r>
    </w:p>
    <w:p w14:paraId="24EBFE0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0C7D845A" w14:textId="002B127D"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w:t>
      </w:r>
      <w:r w:rsidR="00F51C68" w:rsidRPr="00506990">
        <w:rPr>
          <w:rFonts w:ascii="Times New Roman" w:eastAsia="Times New Roman" w:hAnsi="Times New Roman" w:cs="Times New Roman"/>
          <w:color w:val="0D0D0D" w:themeColor="text1" w:themeTint="F2"/>
          <w:sz w:val="22"/>
          <w:szCs w:val="22"/>
          <w:lang w:val="es-AR"/>
        </w:rPr>
        <w:t xml:space="preserve"> </w:t>
      </w:r>
    </w:p>
    <w:p w14:paraId="464B2572"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4BE85B75" w14:textId="01C36FBB"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 que será la mayor tasa aceptada para las ofertas registradas en el Tramo Competitivo conforme al procedimiento indicado en 1.4.</w:t>
      </w:r>
    </w:p>
    <w:p w14:paraId="2C097790"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01B15E7C" w14:textId="36DAB421" w:rsidR="004A686B"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1.4. A efectos de determinar la Tasa de Corte de los VDF</w:t>
      </w:r>
      <w:r w:rsidR="00F57D61" w:rsidRPr="00506990">
        <w:rPr>
          <w:rFonts w:ascii="Times New Roman" w:eastAsia="Times New Roman" w:hAnsi="Times New Roman" w:cs="Times New Roman"/>
          <w:color w:val="0D0D0D" w:themeColor="text1" w:themeTint="F2"/>
          <w:sz w:val="22"/>
          <w:szCs w:val="22"/>
          <w:lang w:val="es-AR"/>
        </w:rPr>
        <w:t xml:space="preserve"> de cada clase</w:t>
      </w:r>
      <w:r w:rsidRPr="00506990">
        <w:rPr>
          <w:rFonts w:ascii="Times New Roman" w:eastAsia="Times New Roman" w:hAnsi="Times New Roman" w:cs="Times New Roman"/>
          <w:color w:val="0D0D0D" w:themeColor="text1" w:themeTint="F2"/>
          <w:sz w:val="22"/>
          <w:szCs w:val="22"/>
          <w:lang w:val="es-AR"/>
        </w:rPr>
        <w:t xml:space="preserve">, las ofertas se anotarán comenzando con las ofertas registradas en el Tramo No Competitivo hasta alcanzar el 50% (cincuenta por ciento) del valor nominal de la Clase, o hasta alcanzar la totalidad de las ofertas que </w:t>
      </w:r>
      <w:r w:rsidRPr="00506990">
        <w:rPr>
          <w:rFonts w:ascii="Times New Roman" w:eastAsia="Times New Roman" w:hAnsi="Times New Roman" w:cs="Times New Roman"/>
          <w:color w:val="0D0D0D" w:themeColor="text1" w:themeTint="F2"/>
          <w:sz w:val="22"/>
          <w:szCs w:val="22"/>
          <w:lang w:val="es-AR"/>
        </w:rPr>
        <w:lastRenderedPageBreak/>
        <w:t xml:space="preserve">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6B68D7E4"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302F3327" w14:textId="0BC14B49"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Los Valores de Deuda Fiduciaria se adjudicarán considerando las ofertas recibidas a una tasa inferior o igual a la tasa cupón </w:t>
      </w:r>
      <w:r w:rsidRPr="00506990">
        <w:rPr>
          <w:rFonts w:ascii="Times New Roman" w:hAnsi="Times New Roman" w:cs="Times New Roman"/>
          <w:iCs/>
          <w:color w:val="0D0D0D" w:themeColor="text1" w:themeTint="F2"/>
          <w:sz w:val="22"/>
          <w:szCs w:val="22"/>
        </w:rPr>
        <w:t xml:space="preserve">considerándose tal </w:t>
      </w:r>
      <w:r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Pr="00506990">
        <w:rPr>
          <w:rFonts w:ascii="Times New Roman" w:hAnsi="Times New Roman" w:cs="Times New Roman"/>
          <w:iCs/>
          <w:color w:val="0D0D0D" w:themeColor="text1" w:themeTint="F2"/>
          <w:sz w:val="22"/>
          <w:szCs w:val="22"/>
        </w:rPr>
        <w:t xml:space="preserve"> </w:t>
      </w:r>
      <w:r w:rsidR="00BD415E">
        <w:rPr>
          <w:rFonts w:ascii="Times New Roman" w:hAnsi="Times New Roman" w:cs="Times New Roman"/>
          <w:iCs/>
          <w:color w:val="0D0D0D" w:themeColor="text1" w:themeTint="F2"/>
          <w:sz w:val="22"/>
          <w:szCs w:val="22"/>
        </w:rPr>
        <w:t xml:space="preserve">considerando el interés mínimo </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hAnsi="Times New Roman" w:cs="Times New Roman"/>
          <w:iCs/>
          <w:color w:val="0D0D0D" w:themeColor="text1" w:themeTint="F2"/>
          <w:sz w:val="22"/>
          <w:szCs w:val="22"/>
        </w:rPr>
        <w:t>“Tasa Cupón”),</w:t>
      </w:r>
      <w:r w:rsidRPr="00506990">
        <w:rPr>
          <w:rFonts w:ascii="Times New Roman" w:hAnsi="Times New Roman" w:cs="Times New Roman"/>
          <w:b/>
          <w:iCs/>
          <w:color w:val="0D0D0D" w:themeColor="text1" w:themeTint="F2"/>
          <w:sz w:val="22"/>
          <w:szCs w:val="22"/>
        </w:rPr>
        <w:t xml:space="preserve"> </w:t>
      </w:r>
      <w:r w:rsidRPr="00506990">
        <w:rPr>
          <w:rFonts w:ascii="Times New Roman" w:eastAsia="Times New Roman" w:hAnsi="Times New Roman" w:cs="Times New Roman"/>
          <w:color w:val="0D0D0D" w:themeColor="text1" w:themeTint="F2"/>
          <w:sz w:val="22"/>
          <w:szCs w:val="22"/>
          <w:lang w:val="es-AR"/>
        </w:rPr>
        <w:t xml:space="preserve">conforme al mecanismo detallado en el presente apartado. </w:t>
      </w:r>
      <w:r w:rsidR="006E36BA" w:rsidRPr="00506990">
        <w:rPr>
          <w:rFonts w:ascii="Times New Roman" w:eastAsia="Times New Roman" w:hAnsi="Times New Roman" w:cs="Times New Roman"/>
          <w:color w:val="0D0D0D" w:themeColor="text1" w:themeTint="F2"/>
          <w:sz w:val="22"/>
          <w:szCs w:val="22"/>
          <w:lang w:val="es-AR"/>
        </w:rPr>
        <w:t>Los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podrá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ejercer su derecho de aceptar ofertas por los Valores de Deuda Fiduciaria hasta un nivel de tasa ofrecida, estableciendo una Tasa de Corte que será igual o superior a la Tasa Cupón. En el caso de que, como consecuencia de lo mencionado precedentemente, queden Valores de Deuda Fiduciaria sin colocar, los mismos serán adjudicados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en pago por la cartera transferida al Fideicomiso a la Tasa de Corte. En el supuesto que no existieran ofertas para los Valores de Deuda Fiduciaria,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podrá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declarar desierta la colocación.</w:t>
      </w:r>
    </w:p>
    <w:p w14:paraId="53B8AB95" w14:textId="77777777" w:rsidR="004A686B" w:rsidRPr="00506990" w:rsidRDefault="004A686B" w:rsidP="0050339C">
      <w:pPr>
        <w:rPr>
          <w:rFonts w:ascii="Times New Roman" w:eastAsia="Times New Roman" w:hAnsi="Times New Roman" w:cs="Times New Roman"/>
          <w:color w:val="0D0D0D" w:themeColor="text1" w:themeTint="F2"/>
          <w:sz w:val="22"/>
          <w:szCs w:val="22"/>
          <w:lang w:val="es-AR"/>
        </w:rPr>
      </w:pPr>
    </w:p>
    <w:p w14:paraId="4DB9E318" w14:textId="5815F4D8"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 los Valores </w:t>
      </w:r>
      <w:r w:rsidR="008758B7" w:rsidRPr="00506990">
        <w:rPr>
          <w:rFonts w:ascii="Times New Roman" w:eastAsia="Times New Roman" w:hAnsi="Times New Roman" w:cs="Times New Roman"/>
          <w:color w:val="0D0D0D" w:themeColor="text1" w:themeTint="F2"/>
          <w:sz w:val="22"/>
          <w:szCs w:val="22"/>
          <w:lang w:val="es-AR"/>
        </w:rPr>
        <w:t xml:space="preserve">de </w:t>
      </w:r>
      <w:r w:rsidR="008758B7" w:rsidRPr="00B43F7C">
        <w:rPr>
          <w:rFonts w:ascii="Times New Roman" w:hAnsi="Times New Roman" w:cs="Times New Roman"/>
          <w:iCs/>
          <w:color w:val="0D0D0D" w:themeColor="text1" w:themeTint="F2"/>
          <w:sz w:val="22"/>
          <w:szCs w:val="22"/>
          <w:lang w:val="es-AR"/>
        </w:rPr>
        <w:t xml:space="preserve">Deuda </w:t>
      </w:r>
      <w:r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 y en orden creciente de tasa  y continuando hasta agotar los </w:t>
      </w:r>
      <w:r w:rsidR="00286ECE" w:rsidRPr="00506990">
        <w:rPr>
          <w:rFonts w:ascii="Times New Roman" w:eastAsia="Times New Roman" w:hAnsi="Times New Roman" w:cs="Times New Roman"/>
          <w:iCs/>
          <w:color w:val="0D0D0D" w:themeColor="text1" w:themeTint="F2"/>
          <w:sz w:val="22"/>
          <w:szCs w:val="22"/>
          <w:lang w:val="es-AR"/>
        </w:rPr>
        <w:t>v</w:t>
      </w:r>
      <w:r w:rsidRPr="00506990">
        <w:rPr>
          <w:rFonts w:ascii="Times New Roman" w:eastAsia="Times New Roman" w:hAnsi="Times New Roman" w:cs="Times New Roman"/>
          <w:iCs/>
          <w:color w:val="0D0D0D" w:themeColor="text1" w:themeTint="F2"/>
          <w:sz w:val="22"/>
          <w:szCs w:val="22"/>
          <w:lang w:val="es-AR"/>
        </w:rPr>
        <w:t xml:space="preserve">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00806657"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00806657"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6F49E090" w14:textId="77777777" w:rsidR="0050339C" w:rsidRPr="00506990" w:rsidRDefault="0050339C" w:rsidP="0050339C">
      <w:pPr>
        <w:widowControl w:val="0"/>
        <w:suppressAutoHyphens/>
        <w:rPr>
          <w:rFonts w:ascii="Times New Roman" w:eastAsia="Times New Roman" w:hAnsi="Times New Roman" w:cs="Times New Roman"/>
          <w:iCs/>
          <w:color w:val="0D0D0D" w:themeColor="text1" w:themeTint="F2"/>
          <w:sz w:val="22"/>
          <w:szCs w:val="22"/>
          <w:lang w:val="es-AR"/>
        </w:rPr>
      </w:pPr>
    </w:p>
    <w:p w14:paraId="0038F425" w14:textId="0C7CEA1B" w:rsidR="0050339C" w:rsidRPr="00506990" w:rsidRDefault="0050339C" w:rsidP="0050339C">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3133CDED" w14:textId="77777777" w:rsidR="0098209D" w:rsidRPr="00506990" w:rsidRDefault="0098209D" w:rsidP="00557525">
      <w:pPr>
        <w:rPr>
          <w:rFonts w:ascii="Times New Roman" w:eastAsia="Times New Roman" w:hAnsi="Times New Roman" w:cs="Times New Roman"/>
          <w:color w:val="0D0D0D" w:themeColor="text1" w:themeTint="F2"/>
          <w:sz w:val="22"/>
          <w:szCs w:val="22"/>
          <w:lang w:val="es-AR"/>
        </w:rPr>
      </w:pPr>
    </w:p>
    <w:p w14:paraId="1F4528D5" w14:textId="5BBED09F" w:rsidR="0098209D" w:rsidRPr="00506990" w:rsidRDefault="0098209D" w:rsidP="00557525">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3B3C3BC3" w14:textId="77777777" w:rsidR="0098209D" w:rsidRPr="00506990" w:rsidRDefault="0098209D" w:rsidP="0098209D">
      <w:pPr>
        <w:widowControl w:val="0"/>
        <w:suppressAutoHyphens/>
        <w:rPr>
          <w:rFonts w:ascii="Times New Roman" w:eastAsia="Times New Roman" w:hAnsi="Times New Roman" w:cs="Times New Roman"/>
          <w:color w:val="0D0D0D" w:themeColor="text1" w:themeTint="F2"/>
          <w:sz w:val="22"/>
          <w:szCs w:val="22"/>
          <w:lang w:val="es-AR"/>
        </w:rPr>
      </w:pPr>
    </w:p>
    <w:p w14:paraId="23FADE6C"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6A33AACD" w14:textId="77777777" w:rsidR="0050339C" w:rsidRPr="00506990" w:rsidRDefault="0050339C" w:rsidP="0050339C">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5B2C7355" w14:textId="77777777" w:rsidR="0050339C" w:rsidRPr="00506990" w:rsidRDefault="0050339C" w:rsidP="0050339C">
      <w:pPr>
        <w:rPr>
          <w:rFonts w:ascii="Times New Roman" w:eastAsia="Times New Roman" w:hAnsi="Times New Roman" w:cs="Times New Roman"/>
          <w:color w:val="0D0D0D" w:themeColor="text1" w:themeTint="F2"/>
          <w:sz w:val="22"/>
          <w:szCs w:val="22"/>
          <w:u w:val="single"/>
          <w:lang w:val="es-AR"/>
        </w:rPr>
      </w:pPr>
    </w:p>
    <w:p w14:paraId="53515D31" w14:textId="23E522BC"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tres (3) Días Hábiles bursátiles. Una vez finalizado el Periodo de Difusión comenzará el Periodo de Licitación que será de por lo menos un </w:t>
      </w:r>
      <w:r w:rsidRPr="00506990">
        <w:rPr>
          <w:rFonts w:ascii="Times New Roman" w:eastAsia="Times New Roman" w:hAnsi="Times New Roman" w:cs="Times New Roman"/>
          <w:color w:val="0D0D0D" w:themeColor="text1" w:themeTint="F2"/>
          <w:sz w:val="22"/>
          <w:szCs w:val="22"/>
          <w:lang w:val="es-AR"/>
        </w:rPr>
        <w:lastRenderedPageBreak/>
        <w:t xml:space="preserve">Día Hábil.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Periodo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73710E6B"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5343151B" w14:textId="01DB54E7"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286ECE" w:rsidRPr="00506990">
        <w:rPr>
          <w:rFonts w:ascii="Times New Roman" w:eastAsia="Times New Roman" w:hAnsi="Times New Roman" w:cs="Times New Roman"/>
          <w:color w:val="0D0D0D" w:themeColor="text1" w:themeTint="F2"/>
          <w:sz w:val="22"/>
          <w:szCs w:val="22"/>
          <w:lang w:val="es-AR"/>
        </w:rPr>
        <w:t>de</w:t>
      </w:r>
      <w:r w:rsidRPr="00506990">
        <w:rPr>
          <w:rFonts w:ascii="Times New Roman" w:eastAsia="Times New Roman" w:hAnsi="Times New Roman" w:cs="Times New Roman"/>
          <w:color w:val="0D0D0D" w:themeColor="text1" w:themeTint="F2"/>
          <w:sz w:val="22"/>
          <w:szCs w:val="22"/>
          <w:lang w:val="es-AR"/>
        </w:rPr>
        <w:t xml:space="preserve"> los VDF y las cantidades asignadas, quedando perfeccionado el contrato de suscripción conforme con dichos parámetros, debiéndose pagar el precio dentro de los 2 Días Hábiles siguientes. </w:t>
      </w:r>
      <w:r w:rsidR="00280683" w:rsidRPr="00506990">
        <w:rPr>
          <w:rFonts w:ascii="Times New Roman" w:eastAsia="Times New Roman" w:hAnsi="Times New Roman" w:cs="Times New Roman"/>
          <w:color w:val="0D0D0D" w:themeColor="text1" w:themeTint="F2"/>
          <w:sz w:val="22"/>
          <w:szCs w:val="22"/>
          <w:lang w:val="es-AR"/>
        </w:rPr>
        <w:t xml:space="preserve">En aquellos supuestos en los que se licite un valor fiduciario sin que se estipule previamente una tasa respectiva a los efectos del proceso de subasta, ante el rechazo y/o no aceptación de las ofertas recibidas durante el Período de </w:t>
      </w:r>
      <w:r w:rsidR="00DF4F71" w:rsidRPr="00506990">
        <w:rPr>
          <w:rFonts w:ascii="Times New Roman" w:eastAsia="Times New Roman" w:hAnsi="Times New Roman" w:cs="Times New Roman"/>
          <w:color w:val="0D0D0D" w:themeColor="text1" w:themeTint="F2"/>
          <w:sz w:val="22"/>
          <w:szCs w:val="22"/>
          <w:lang w:val="es-AR"/>
        </w:rPr>
        <w:t>Licitación</w:t>
      </w:r>
      <w:r w:rsidR="00280683" w:rsidRPr="00506990">
        <w:rPr>
          <w:rFonts w:ascii="Times New Roman" w:eastAsia="Times New Roman" w:hAnsi="Times New Roman" w:cs="Times New Roman"/>
          <w:color w:val="0D0D0D" w:themeColor="text1" w:themeTint="F2"/>
          <w:sz w:val="22"/>
          <w:szCs w:val="22"/>
          <w:lang w:val="es-AR"/>
        </w:rPr>
        <w:t>,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4F8D9EEC"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0716B614" w14:textId="68B8F570" w:rsidR="0050339C" w:rsidRPr="00506990" w:rsidRDefault="0050339C" w:rsidP="0050339C">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w:t>
      </w:r>
      <w:r w:rsidR="00286ECE" w:rsidRPr="00506990">
        <w:rPr>
          <w:rFonts w:ascii="Times New Roman" w:eastAsia="Times New Roman" w:hAnsi="Times New Roman" w:cs="Times New Roman"/>
          <w:color w:val="0D0D0D" w:themeColor="text1" w:themeTint="F2"/>
          <w:sz w:val="22"/>
          <w:szCs w:val="22"/>
          <w:lang w:val="es-AR"/>
        </w:rPr>
        <w:t>v</w:t>
      </w:r>
      <w:r w:rsidRPr="00506990">
        <w:rPr>
          <w:rFonts w:ascii="Times New Roman" w:eastAsia="Times New Roman" w:hAnsi="Times New Roman" w:cs="Times New Roman"/>
          <w:color w:val="0D0D0D" w:themeColor="text1" w:themeTint="F2"/>
          <w:sz w:val="22"/>
          <w:szCs w:val="22"/>
          <w:lang w:val="es-AR"/>
        </w:rPr>
        <w:t xml:space="preserve">alores a adjudicar. Contrariamente, si contuviera decimales iguales o por encima de V$N 0,50, los mismos serán ponderados hacia arriba, otorgando a dichos decimales V$N 1 de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a adjudicar.  </w:t>
      </w:r>
    </w:p>
    <w:p w14:paraId="0D53D7CA"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648A0E89" w14:textId="1BC554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w:t>
      </w:r>
      <w:r w:rsidR="00857599" w:rsidRPr="00506990">
        <w:rPr>
          <w:rFonts w:ascii="Times New Roman" w:eastAsia="Times New Roman" w:hAnsi="Times New Roman" w:cs="Times New Roman"/>
          <w:color w:val="0D0D0D" w:themeColor="text1" w:themeTint="F2"/>
          <w:sz w:val="22"/>
          <w:szCs w:val="22"/>
          <w:lang w:val="es-AR"/>
        </w:rPr>
        <w:t xml:space="preserve">, </w:t>
      </w:r>
      <w:r w:rsidR="0033127E">
        <w:rPr>
          <w:rFonts w:ascii="Times New Roman" w:eastAsia="Times New Roman" w:hAnsi="Times New Roman" w:cs="Times New Roman"/>
          <w:color w:val="0D0D0D" w:themeColor="text1" w:themeTint="F2"/>
          <w:sz w:val="22"/>
          <w:szCs w:val="22"/>
          <w:lang w:val="es-AR"/>
        </w:rPr>
        <w:t xml:space="preserve">28/18 y </w:t>
      </w:r>
      <w:r w:rsidR="0076132E" w:rsidRPr="00506990">
        <w:rPr>
          <w:rFonts w:ascii="Times New Roman" w:eastAsia="Times New Roman" w:hAnsi="Times New Roman" w:cs="Times New Roman"/>
          <w:color w:val="0D0D0D" w:themeColor="text1" w:themeTint="F2"/>
          <w:sz w:val="22"/>
          <w:szCs w:val="22"/>
          <w:lang w:val="es-AR"/>
        </w:rPr>
        <w:t>156/18</w:t>
      </w:r>
      <w:r w:rsidRPr="00506990">
        <w:rPr>
          <w:rFonts w:ascii="Times New Roman" w:eastAsia="Times New Roman" w:hAnsi="Times New Roman" w:cs="Times New Roman"/>
          <w:color w:val="0D0D0D" w:themeColor="text1" w:themeTint="F2"/>
          <w:sz w:val="22"/>
          <w:szCs w:val="22"/>
          <w:lang w:val="es-AR"/>
        </w:rPr>
        <w:t xml:space="preserve"> de la UIF y sus modificaciones).</w:t>
      </w:r>
    </w:p>
    <w:p w14:paraId="1F5C99C7"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3E84325F" w14:textId="203A7065"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2.5. En cumplimiento</w:t>
      </w:r>
      <w:r w:rsidR="00215FC4" w:rsidRPr="00506990">
        <w:rPr>
          <w:rFonts w:ascii="Times New Roman" w:eastAsia="Times New Roman" w:hAnsi="Times New Roman" w:cs="Times New Roman"/>
          <w:color w:val="0D0D0D" w:themeColor="text1" w:themeTint="F2"/>
          <w:sz w:val="22"/>
          <w:szCs w:val="22"/>
          <w:lang w:val="es-AR"/>
        </w:rPr>
        <w:t xml:space="preserve"> de lo dispuesto </w:t>
      </w:r>
      <w:r w:rsidR="00330758" w:rsidRPr="00506990">
        <w:rPr>
          <w:rFonts w:ascii="Times New Roman" w:eastAsia="Times New Roman" w:hAnsi="Times New Roman" w:cs="Times New Roman"/>
          <w:color w:val="0D0D0D" w:themeColor="text1" w:themeTint="F2"/>
          <w:sz w:val="22"/>
          <w:szCs w:val="22"/>
          <w:lang w:val="es-AR"/>
        </w:rPr>
        <w:t>en</w:t>
      </w:r>
      <w:r w:rsidR="00215FC4" w:rsidRPr="00506990">
        <w:rPr>
          <w:rFonts w:ascii="Times New Roman" w:eastAsia="Times New Roman" w:hAnsi="Times New Roman" w:cs="Times New Roman"/>
          <w:color w:val="0D0D0D" w:themeColor="text1" w:themeTint="F2"/>
          <w:sz w:val="22"/>
          <w:szCs w:val="22"/>
          <w:lang w:val="es-AR"/>
        </w:rPr>
        <w:t xml:space="preserve"> la Resolución Nº </w:t>
      </w:r>
      <w:r w:rsidR="00AE3003" w:rsidRPr="00506990">
        <w:rPr>
          <w:rFonts w:ascii="Times New Roman" w:eastAsia="Times New Roman" w:hAnsi="Times New Roman" w:cs="Times New Roman"/>
          <w:color w:val="0D0D0D" w:themeColor="text1" w:themeTint="F2"/>
          <w:sz w:val="22"/>
          <w:szCs w:val="22"/>
          <w:lang w:val="es-AR"/>
        </w:rPr>
        <w:t>156</w:t>
      </w:r>
      <w:r w:rsidR="00215FC4" w:rsidRPr="00506990">
        <w:rPr>
          <w:rFonts w:ascii="Times New Roman" w:eastAsia="Times New Roman" w:hAnsi="Times New Roman" w:cs="Times New Roman"/>
          <w:color w:val="0D0D0D" w:themeColor="text1" w:themeTint="F2"/>
          <w:sz w:val="22"/>
          <w:szCs w:val="22"/>
          <w:lang w:val="es-AR"/>
        </w:rPr>
        <w:t xml:space="preserve">/2018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w:t>
      </w:r>
      <w:r w:rsidR="00D93206" w:rsidRPr="00506990">
        <w:rPr>
          <w:rFonts w:ascii="Times New Roman" w:eastAsia="Times New Roman" w:hAnsi="Times New Roman" w:cs="Times New Roman"/>
          <w:color w:val="0D0D0D" w:themeColor="text1" w:themeTint="F2"/>
          <w:sz w:val="22"/>
          <w:szCs w:val="22"/>
          <w:lang w:val="es-AR"/>
        </w:rPr>
        <w:t>156</w:t>
      </w:r>
      <w:r w:rsidR="00215FC4" w:rsidRPr="00506990">
        <w:rPr>
          <w:rFonts w:ascii="Times New Roman" w:eastAsia="Times New Roman" w:hAnsi="Times New Roman" w:cs="Times New Roman"/>
          <w:color w:val="0D0D0D" w:themeColor="text1" w:themeTint="F2"/>
          <w:sz w:val="22"/>
          <w:szCs w:val="22"/>
          <w:lang w:val="es-AR"/>
        </w:rPr>
        <w:t xml:space="preserve">/2018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08D407F"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75F04E1B" w14:textId="70AEB4BE"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Valores</w:t>
      </w:r>
      <w:r w:rsidR="00286ECE" w:rsidRPr="00B43F7C">
        <w:rPr>
          <w:rFonts w:ascii="Times New Roman" w:hAnsi="Times New Roman" w:cs="Times New Roman"/>
          <w:iCs/>
          <w:color w:val="0D0D0D" w:themeColor="text1" w:themeTint="F2"/>
          <w:sz w:val="22"/>
          <w:szCs w:val="22"/>
          <w:lang w:val="es-AR"/>
        </w:rPr>
        <w:t xml:space="preserve"> de Deuda</w:t>
      </w:r>
      <w:r w:rsidRPr="00506990">
        <w:rPr>
          <w:rFonts w:ascii="Times New Roman" w:eastAsia="Times New Roman" w:hAnsi="Times New Roman" w:cs="Times New Roman"/>
          <w:color w:val="0D0D0D" w:themeColor="text1" w:themeTint="F2"/>
          <w:sz w:val="22"/>
          <w:szCs w:val="22"/>
          <w:lang w:val="es-AR"/>
        </w:rPr>
        <w:t xml:space="preserve"> 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podrán ser listados en el Mercado Argentino de Valores (“MAV”) y negociarse en el Mercado Abierto Electrónico  S.A. (“MAE”) como así también en otros mercados autorizados.</w:t>
      </w:r>
    </w:p>
    <w:p w14:paraId="1EF15952"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2BFC6DD7" w14:textId="5E23AEBC"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0,50 % sobre el monto total de V</w:t>
      </w:r>
      <w:r w:rsidR="004A686B" w:rsidRPr="00506990">
        <w:rPr>
          <w:rFonts w:ascii="Times New Roman" w:eastAsia="Times New Roman" w:hAnsi="Times New Roman" w:cs="Times New Roman"/>
          <w:color w:val="0D0D0D" w:themeColor="text1" w:themeTint="F2"/>
          <w:sz w:val="22"/>
          <w:szCs w:val="22"/>
          <w:lang w:val="es-AR"/>
        </w:rPr>
        <w:t xml:space="preserve">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w:t>
      </w:r>
      <w:r w:rsidR="004A686B" w:rsidRPr="00506990">
        <w:rPr>
          <w:rFonts w:ascii="Times New Roman" w:eastAsia="Times New Roman" w:hAnsi="Times New Roman" w:cs="Times New Roman"/>
          <w:color w:val="0D0D0D" w:themeColor="text1" w:themeTint="F2"/>
          <w:sz w:val="22"/>
          <w:szCs w:val="22"/>
          <w:lang w:val="es-AR"/>
        </w:rPr>
        <w:t>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colocados</w:t>
      </w:r>
      <w:r w:rsidR="00857599" w:rsidRPr="00506990">
        <w:rPr>
          <w:rFonts w:ascii="Times New Roman" w:eastAsia="Times New Roman" w:hAnsi="Times New Roman" w:cs="Times New Roman"/>
          <w:color w:val="0D0D0D" w:themeColor="text1" w:themeTint="F2"/>
          <w:sz w:val="22"/>
          <w:szCs w:val="22"/>
          <w:lang w:val="es-AR"/>
        </w:rPr>
        <w:t xml:space="preserve"> por cada uno de </w:t>
      </w:r>
      <w:r w:rsidR="00275EAF" w:rsidRPr="00506990">
        <w:rPr>
          <w:rFonts w:ascii="Times New Roman" w:eastAsia="Times New Roman" w:hAnsi="Times New Roman" w:cs="Times New Roman"/>
          <w:color w:val="0D0D0D" w:themeColor="text1" w:themeTint="F2"/>
          <w:sz w:val="22"/>
          <w:szCs w:val="22"/>
          <w:lang w:val="es-AR"/>
        </w:rPr>
        <w:t>ellos</w:t>
      </w:r>
      <w:r w:rsidRPr="00506990">
        <w:rPr>
          <w:rFonts w:ascii="Times New Roman" w:eastAsia="Times New Roman" w:hAnsi="Times New Roman" w:cs="Times New Roman"/>
          <w:color w:val="0D0D0D" w:themeColor="text1" w:themeTint="F2"/>
          <w:sz w:val="22"/>
          <w:szCs w:val="22"/>
          <w:lang w:val="es-AR"/>
        </w:rPr>
        <w:t xml:space="preserve">. </w:t>
      </w:r>
    </w:p>
    <w:p w14:paraId="0E0E9CC9"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1A19007"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p>
    <w:p w14:paraId="2DD98B3C"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2FF41973" w14:textId="4347657C" w:rsidR="00577C2C" w:rsidRPr="00506990" w:rsidRDefault="000C5F90" w:rsidP="00B228F5">
      <w:pPr>
        <w:pStyle w:val="Ttulo1"/>
        <w:jc w:val="center"/>
        <w:rPr>
          <w:rFonts w:ascii="Times New Roman" w:hAnsi="Times New Roman"/>
          <w:sz w:val="22"/>
          <w:szCs w:val="22"/>
        </w:rPr>
      </w:pPr>
      <w:bookmarkStart w:id="113" w:name="_Toc521424877"/>
      <w:bookmarkStart w:id="114" w:name="_Toc20409095"/>
      <w:r w:rsidRPr="00506990">
        <w:rPr>
          <w:rFonts w:ascii="Times New Roman" w:hAnsi="Times New Roman"/>
          <w:sz w:val="22"/>
          <w:szCs w:val="22"/>
        </w:rPr>
        <w:t>X</w:t>
      </w:r>
      <w:r w:rsidR="0050339C" w:rsidRPr="00506990">
        <w:rPr>
          <w:rFonts w:ascii="Times New Roman" w:hAnsi="Times New Roman"/>
          <w:sz w:val="22"/>
          <w:szCs w:val="22"/>
        </w:rPr>
        <w:t>V</w:t>
      </w:r>
      <w:r w:rsidR="00366277" w:rsidRPr="00506990">
        <w:rPr>
          <w:rFonts w:ascii="Times New Roman" w:hAnsi="Times New Roman"/>
          <w:sz w:val="22"/>
          <w:szCs w:val="22"/>
        </w:rPr>
        <w:t>I</w:t>
      </w:r>
      <w:r w:rsidR="00577C2C" w:rsidRPr="00506990">
        <w:rPr>
          <w:rFonts w:ascii="Times New Roman" w:hAnsi="Times New Roman"/>
          <w:sz w:val="22"/>
          <w:szCs w:val="22"/>
        </w:rPr>
        <w:t xml:space="preserve">.- </w:t>
      </w:r>
      <w:r w:rsidR="00A7122D" w:rsidRPr="00506990">
        <w:rPr>
          <w:rFonts w:ascii="Times New Roman" w:hAnsi="Times New Roman"/>
          <w:sz w:val="22"/>
          <w:szCs w:val="22"/>
        </w:rPr>
        <w:t xml:space="preserve">DESCRIPCIÓN DEL </w:t>
      </w:r>
      <w:r w:rsidR="00577C2C" w:rsidRPr="00506990">
        <w:rPr>
          <w:rFonts w:ascii="Times New Roman" w:hAnsi="Times New Roman"/>
          <w:sz w:val="22"/>
          <w:szCs w:val="22"/>
        </w:rPr>
        <w:t>TRATAMIENTO IMPOSITIVO</w:t>
      </w:r>
      <w:bookmarkEnd w:id="113"/>
      <w:bookmarkEnd w:id="114"/>
    </w:p>
    <w:p w14:paraId="50510F85" w14:textId="77777777" w:rsidR="00641C0E" w:rsidRPr="00506990" w:rsidRDefault="00641C0E" w:rsidP="00375AFE">
      <w:pPr>
        <w:jc w:val="center"/>
        <w:rPr>
          <w:rFonts w:ascii="Times New Roman" w:hAnsi="Times New Roman" w:cs="Times New Roman"/>
          <w:b/>
          <w:iCs/>
          <w:color w:val="0D0D0D" w:themeColor="text1" w:themeTint="F2"/>
          <w:sz w:val="22"/>
          <w:szCs w:val="22"/>
          <w:u w:val="single"/>
          <w:lang w:val="es-AR"/>
        </w:rPr>
      </w:pPr>
    </w:p>
    <w:p w14:paraId="20DFA40D" w14:textId="77777777" w:rsidR="00BD415E" w:rsidRPr="00506990" w:rsidRDefault="00BD415E" w:rsidP="00BD415E">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5F8FAC96" w14:textId="77777777" w:rsidR="005F40E4" w:rsidRPr="00506990" w:rsidRDefault="005F40E4" w:rsidP="005F40E4">
      <w:pPr>
        <w:widowControl w:val="0"/>
        <w:rPr>
          <w:rFonts w:ascii="Times New Roman" w:eastAsia="Times New Roman" w:hAnsi="Times New Roman" w:cs="Times New Roman"/>
          <w:b/>
          <w:color w:val="0D0D0D"/>
          <w:sz w:val="20"/>
          <w:szCs w:val="20"/>
          <w:lang w:val="es-AR"/>
        </w:rPr>
      </w:pPr>
    </w:p>
    <w:p w14:paraId="1A2453E6" w14:textId="679B412E" w:rsidR="000D2637" w:rsidRPr="00506990" w:rsidRDefault="00577C2C" w:rsidP="00B228F5">
      <w:pPr>
        <w:pStyle w:val="Ttulo1"/>
        <w:jc w:val="center"/>
        <w:rPr>
          <w:rFonts w:ascii="Times New Roman" w:hAnsi="Times New Roman"/>
          <w:sz w:val="22"/>
          <w:szCs w:val="22"/>
        </w:rPr>
      </w:pPr>
      <w:bookmarkStart w:id="115" w:name="_Toc521424879"/>
      <w:bookmarkStart w:id="116" w:name="_Toc2040909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7" w:name="_Toc521424880"/>
      <w:bookmarkEnd w:id="115"/>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17"/>
      <w:r w:rsidR="002C7386" w:rsidRPr="00506990">
        <w:rPr>
          <w:rFonts w:ascii="Times New Roman" w:hAnsi="Times New Roman"/>
          <w:sz w:val="22"/>
          <w:szCs w:val="22"/>
        </w:rPr>
        <w:t>I</w:t>
      </w:r>
      <w:r w:rsidR="0067033B">
        <w:rPr>
          <w:rFonts w:ascii="Times New Roman" w:hAnsi="Times New Roman"/>
          <w:sz w:val="22"/>
          <w:szCs w:val="22"/>
        </w:rPr>
        <w:t>V</w:t>
      </w:r>
      <w:bookmarkEnd w:id="116"/>
    </w:p>
    <w:p w14:paraId="7EB367D5"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1E94CE02" w14:textId="77777777" w:rsidR="00BD415E" w:rsidRPr="00506990" w:rsidRDefault="00BD415E" w:rsidP="00BD415E">
      <w:pPr>
        <w:rPr>
          <w:rFonts w:ascii="Times New Roman" w:hAnsi="Times New Roman"/>
          <w:iCs/>
          <w:color w:val="0D0D0D" w:themeColor="text1" w:themeTint="F2"/>
          <w:sz w:val="22"/>
          <w:szCs w:val="22"/>
          <w:u w:val="single"/>
        </w:rPr>
      </w:pPr>
      <w:r w:rsidRPr="00BE620A">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14:paraId="73CA2F42" w14:textId="77777777" w:rsidR="0050339C" w:rsidRPr="00506990" w:rsidRDefault="0050339C" w:rsidP="0050339C">
      <w:pPr>
        <w:keepNext/>
        <w:suppressAutoHyphens/>
        <w:spacing w:line="240" w:lineRule="atLeast"/>
        <w:jc w:val="center"/>
        <w:rPr>
          <w:rFonts w:ascii="Times New Roman" w:hAnsi="Times New Roman" w:cs="Times New Roman"/>
          <w:b/>
          <w:bCs/>
          <w:iCs/>
          <w:color w:val="0D0D0D" w:themeColor="text1" w:themeTint="F2"/>
          <w:sz w:val="22"/>
          <w:szCs w:val="22"/>
          <w:u w:val="single"/>
        </w:rPr>
      </w:pPr>
    </w:p>
    <w:p w14:paraId="2E83E5CC" w14:textId="77777777" w:rsidR="0050339C" w:rsidRPr="00506990" w:rsidRDefault="0050339C" w:rsidP="0050339C">
      <w:pPr>
        <w:keepNext/>
        <w:suppressAutoHyphens/>
        <w:spacing w:line="240" w:lineRule="atLeast"/>
        <w:rPr>
          <w:rFonts w:ascii="Times New Roman" w:hAnsi="Times New Roman" w:cs="Times New Roman"/>
          <w:b/>
          <w:bCs/>
          <w:iCs/>
          <w:color w:val="0D0D0D" w:themeColor="text1" w:themeTint="F2"/>
          <w:sz w:val="22"/>
          <w:szCs w:val="22"/>
          <w:u w:val="single"/>
        </w:rPr>
      </w:pPr>
    </w:p>
    <w:p w14:paraId="15138F77"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7912575E" w14:textId="2A737F3B" w:rsidR="00651CE1" w:rsidRPr="00506990" w:rsidRDefault="0050339C"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br w:type="page"/>
      </w:r>
      <w:r w:rsidR="00651CE1" w:rsidRPr="00506990">
        <w:rPr>
          <w:rFonts w:ascii="Times New Roman" w:hAnsi="Times New Roman" w:cs="Times New Roman"/>
          <w:b/>
          <w:color w:val="0D0D0D" w:themeColor="text1" w:themeTint="F2"/>
          <w:sz w:val="22"/>
          <w:szCs w:val="22"/>
        </w:rPr>
        <w:lastRenderedPageBreak/>
        <w:t>FIDUCIARIO  Y EMISOR</w:t>
      </w:r>
    </w:p>
    <w:p w14:paraId="4FAE9F4B"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7921DAAE"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Piso 9º - (S2000CVO) Rosario, Pcia. de Santa Fe</w:t>
      </w:r>
    </w:p>
    <w:p w14:paraId="22CF4EA2" w14:textId="6A7B504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Tel: 0341-</w:t>
      </w:r>
      <w:r w:rsidR="007E2011" w:rsidRPr="00506990">
        <w:rPr>
          <w:rFonts w:ascii="Times New Roman" w:hAnsi="Times New Roman" w:cs="Times New Roman"/>
          <w:color w:val="0D0D0D" w:themeColor="text1" w:themeTint="F2"/>
          <w:sz w:val="22"/>
          <w:szCs w:val="22"/>
          <w:lang w:val="pt-BR"/>
        </w:rPr>
        <w:t xml:space="preserve">5300900 </w:t>
      </w:r>
    </w:p>
    <w:p w14:paraId="0608556D"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19F4423" w14:textId="30DA8328"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08C1EF66" w14:textId="7E704F9E"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1309C365"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7899BB07" w14:textId="69430B76"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r>
        <w:rPr>
          <w:rFonts w:ascii="Times New Roman" w:hAnsi="Times New Roman" w:cs="Times New Roman"/>
          <w:color w:val="0D0D0D" w:themeColor="text1" w:themeTint="F2"/>
          <w:sz w:val="22"/>
          <w:szCs w:val="22"/>
          <w:lang w:val="pt-BR" w:eastAsia="en-US"/>
        </w:rPr>
        <w:t>Calle 3 N° 1045</w:t>
      </w:r>
      <w:r w:rsidR="00651CE1" w:rsidRPr="00506990">
        <w:rPr>
          <w:rFonts w:ascii="Times New Roman" w:hAnsi="Times New Roman" w:cs="Times New Roman"/>
          <w:color w:val="0D0D0D" w:themeColor="text1" w:themeTint="F2"/>
          <w:sz w:val="22"/>
          <w:szCs w:val="22"/>
          <w:lang w:val="pt-BR" w:eastAsia="en-US"/>
        </w:rPr>
        <w:t>, Ciudad de Rafaela, Prov. de Santa Fe</w:t>
      </w:r>
    </w:p>
    <w:p w14:paraId="3CA8E45E"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75230E9C"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052F6351" w14:textId="4078D15F"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0965B05" w14:textId="4C1B95CB"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Calle 3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6B9CEF55" w14:textId="0334D6BF"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132E46C7"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B016570" w14:textId="7CCA8422"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3F9D4F7B"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10FEFAB4" w14:textId="0C5405AE"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0601DC71" w14:textId="1A16A087" w:rsidR="00135DA6" w:rsidRPr="00506990" w:rsidRDefault="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011-4311-6014</w:t>
      </w:r>
    </w:p>
    <w:p w14:paraId="4A8E0FC6"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088F3F75"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7A82274B"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 xml:space="preserve">Daniel H. Zubillaga </w:t>
      </w:r>
    </w:p>
    <w:p w14:paraId="6E2A667F"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 público de Zubillaga &amp; Asociados S.A.)</w:t>
      </w:r>
    </w:p>
    <w:p w14:paraId="4E42C85E"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1DE694F5"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3F343FE1"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0" w:type="auto"/>
        <w:tblLook w:val="04A0" w:firstRow="1" w:lastRow="0" w:firstColumn="1" w:lastColumn="0" w:noHBand="0" w:noVBand="1"/>
      </w:tblPr>
      <w:tblGrid>
        <w:gridCol w:w="4431"/>
        <w:gridCol w:w="4409"/>
      </w:tblGrid>
      <w:tr w:rsidR="00482F96" w:rsidRPr="00506990" w14:paraId="3A3E3366" w14:textId="77777777" w:rsidTr="000B1EFD">
        <w:tc>
          <w:tcPr>
            <w:tcW w:w="4431" w:type="dxa"/>
            <w:shd w:val="clear" w:color="auto" w:fill="auto"/>
          </w:tcPr>
          <w:p w14:paraId="52837B8B"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1927776A"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1A1CD0E9"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5E874559" w14:textId="4B0B3A2E"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067C44D9" w14:textId="15454980"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6869E051"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p>
        </w:tc>
        <w:tc>
          <w:tcPr>
            <w:tcW w:w="4409" w:type="dxa"/>
            <w:shd w:val="clear" w:color="auto" w:fill="auto"/>
          </w:tcPr>
          <w:p w14:paraId="40CF7910"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72643B64"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Estudio Jurídico Dres. Cristiá</w:t>
            </w:r>
          </w:p>
          <w:p w14:paraId="0A4770B4"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71BB6927"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p w14:paraId="3DBDED1C"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p>
        </w:tc>
      </w:tr>
    </w:tbl>
    <w:p w14:paraId="064220E1"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31F40D9D"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7ABB0A83"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8° piso, (S2000CVO) Rosario, Pcia. de Santa Fe</w:t>
      </w:r>
    </w:p>
    <w:p w14:paraId="748F328E"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0341-4210125</w:t>
      </w:r>
    </w:p>
    <w:p w14:paraId="3493723D"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2667"/>
        <w:gridCol w:w="5000"/>
      </w:tblGrid>
      <w:tr w:rsidR="002B53EF" w:rsidRPr="00506990" w14:paraId="0A5E84F6" w14:textId="0B9B1559" w:rsidTr="00F8107E">
        <w:trPr>
          <w:jc w:val="center"/>
        </w:trPr>
        <w:tc>
          <w:tcPr>
            <w:tcW w:w="2667" w:type="dxa"/>
            <w:shd w:val="clear" w:color="auto" w:fill="auto"/>
          </w:tcPr>
          <w:p w14:paraId="62CB8AFA" w14:textId="417A2981" w:rsidR="00005F07" w:rsidRPr="005417EF" w:rsidRDefault="00005F07">
            <w:pPr>
              <w:suppressLineNumbers/>
              <w:jc w:val="center"/>
              <w:rPr>
                <w:rFonts w:ascii="Times New Roman" w:hAnsi="Times New Roman" w:cs="Times New Roman"/>
                <w:b/>
                <w:color w:val="0D0D0D" w:themeColor="text1" w:themeTint="F2"/>
                <w:sz w:val="22"/>
                <w:szCs w:val="22"/>
                <w:lang w:val="es-AR"/>
              </w:rPr>
            </w:pPr>
            <w:r>
              <w:rPr>
                <w:rFonts w:ascii="Times New Roman" w:hAnsi="Times New Roman" w:cs="Times New Roman"/>
                <w:b/>
                <w:color w:val="0D0D0D" w:themeColor="text1" w:themeTint="F2"/>
                <w:sz w:val="22"/>
                <w:szCs w:val="22"/>
                <w:lang w:val="es-AR"/>
              </w:rPr>
              <w:t>Option Securities</w:t>
            </w:r>
            <w:r w:rsidRPr="003F083B">
              <w:rPr>
                <w:rFonts w:ascii="Times New Roman" w:hAnsi="Times New Roman" w:cs="Times New Roman"/>
                <w:b/>
                <w:color w:val="0D0D0D" w:themeColor="text1" w:themeTint="F2"/>
                <w:sz w:val="22"/>
                <w:szCs w:val="22"/>
                <w:lang w:val="es-AR"/>
              </w:rPr>
              <w:t xml:space="preserve"> S.A.</w:t>
            </w:r>
          </w:p>
          <w:p w14:paraId="054186C6" w14:textId="77777777" w:rsidR="00005F07" w:rsidRPr="00005F07" w:rsidRDefault="00005F07" w:rsidP="00005F07">
            <w:pPr>
              <w:suppressLineNumbers/>
              <w:jc w:val="center"/>
              <w:rPr>
                <w:rFonts w:ascii="Times New Roman" w:hAnsi="Times New Roman" w:cs="Times New Roman"/>
                <w:color w:val="0D0D0D" w:themeColor="text1" w:themeTint="F2"/>
                <w:sz w:val="22"/>
                <w:szCs w:val="22"/>
                <w:lang w:val="es-AR"/>
              </w:rPr>
            </w:pPr>
            <w:r w:rsidRPr="00005F07">
              <w:rPr>
                <w:rFonts w:ascii="Times New Roman" w:hAnsi="Times New Roman" w:cs="Times New Roman"/>
                <w:color w:val="0D0D0D" w:themeColor="text1" w:themeTint="F2"/>
                <w:sz w:val="22"/>
                <w:szCs w:val="22"/>
                <w:lang w:val="es-AR"/>
              </w:rPr>
              <w:t>25 de Mayo 293 6º (C1002ABE) , Ciudad Autónoma de Buenos Aires</w:t>
            </w:r>
          </w:p>
          <w:p w14:paraId="3DDC083C" w14:textId="77777777" w:rsidR="00005F07" w:rsidRPr="00005F07" w:rsidRDefault="00005F07" w:rsidP="00005F07">
            <w:pPr>
              <w:suppressLineNumbers/>
              <w:jc w:val="center"/>
              <w:rPr>
                <w:rFonts w:ascii="Times New Roman" w:hAnsi="Times New Roman" w:cs="Times New Roman"/>
                <w:color w:val="0D0D0D" w:themeColor="text1" w:themeTint="F2"/>
                <w:sz w:val="22"/>
                <w:szCs w:val="22"/>
                <w:lang w:val="en-US"/>
              </w:rPr>
            </w:pPr>
            <w:r w:rsidRPr="00005F07">
              <w:rPr>
                <w:rFonts w:ascii="Times New Roman" w:hAnsi="Times New Roman" w:cs="Times New Roman"/>
                <w:color w:val="0D0D0D" w:themeColor="text1" w:themeTint="F2"/>
                <w:sz w:val="22"/>
                <w:szCs w:val="22"/>
                <w:lang w:val="en-US"/>
              </w:rPr>
              <w:t>Tel: (11) 4343-1115</w:t>
            </w:r>
          </w:p>
          <w:p w14:paraId="1792635B" w14:textId="44E50877" w:rsidR="002B53EF" w:rsidRPr="0098446E" w:rsidRDefault="002B53EF" w:rsidP="00B62265">
            <w:pPr>
              <w:suppressLineNumbers/>
              <w:jc w:val="center"/>
              <w:rPr>
                <w:rFonts w:ascii="Times New Roman" w:hAnsi="Times New Roman" w:cs="Times New Roman"/>
                <w:b/>
                <w:color w:val="0D0D0D" w:themeColor="text1" w:themeTint="F2"/>
                <w:sz w:val="22"/>
                <w:szCs w:val="22"/>
                <w:lang w:val="en-US"/>
              </w:rPr>
            </w:pPr>
          </w:p>
          <w:p w14:paraId="18CDD708" w14:textId="796DF4BB" w:rsidR="002B53EF" w:rsidRPr="00506990" w:rsidRDefault="002B53EF">
            <w:pPr>
              <w:suppressLineNumbers/>
              <w:jc w:val="center"/>
              <w:rPr>
                <w:rFonts w:ascii="Times New Roman" w:hAnsi="Times New Roman" w:cs="Times New Roman"/>
                <w:color w:val="0D0D0D" w:themeColor="text1" w:themeTint="F2"/>
                <w:sz w:val="22"/>
                <w:szCs w:val="22"/>
                <w:lang w:val="en-US"/>
              </w:rPr>
            </w:pPr>
          </w:p>
        </w:tc>
        <w:tc>
          <w:tcPr>
            <w:tcW w:w="5000" w:type="dxa"/>
            <w:shd w:val="clear" w:color="auto" w:fill="auto"/>
          </w:tcPr>
          <w:p w14:paraId="576400F8"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INTL CIBSA S.A</w:t>
            </w:r>
            <w:r w:rsidRPr="00506990">
              <w:rPr>
                <w:rFonts w:ascii="Times New Roman" w:hAnsi="Times New Roman" w:cs="Times New Roman"/>
                <w:color w:val="0D0D0D" w:themeColor="text1" w:themeTint="F2"/>
                <w:sz w:val="22"/>
                <w:szCs w:val="22"/>
                <w:lang w:val="es-AR"/>
              </w:rPr>
              <w:t xml:space="preserve">.  </w:t>
            </w:r>
          </w:p>
          <w:p w14:paraId="025D23C7"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Sarmiento 459, Piso 9°, </w:t>
            </w:r>
          </w:p>
          <w:p w14:paraId="32860EF3" w14:textId="4A324C5A"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p w14:paraId="5BF8467C"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Tel: 011-4390-7597</w:t>
            </w:r>
          </w:p>
          <w:p w14:paraId="578E9D2B" w14:textId="484DA19E" w:rsidR="002B53EF" w:rsidRPr="00506990" w:rsidRDefault="002B53EF" w:rsidP="002B53EF">
            <w:pPr>
              <w:suppressLineNumbers/>
              <w:jc w:val="center"/>
              <w:rPr>
                <w:rFonts w:ascii="Times New Roman" w:hAnsi="Times New Roman" w:cs="Times New Roman"/>
                <w:b/>
                <w:color w:val="0D0D0D" w:themeColor="text1" w:themeTint="F2"/>
                <w:sz w:val="22"/>
                <w:szCs w:val="22"/>
                <w:lang w:val="es-AR"/>
              </w:rPr>
            </w:pPr>
          </w:p>
        </w:tc>
      </w:tr>
    </w:tbl>
    <w:p w14:paraId="68BF4A92" w14:textId="0A52AFD6"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0D9CC02C"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5185187F"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7A09A908" w14:textId="381A6C2B"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060EFC1D" w14:textId="2AF0C51C"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de </w:t>
      </w:r>
      <w:r w:rsidR="00651CE1" w:rsidRPr="00506990">
        <w:rPr>
          <w:rFonts w:ascii="Times New Roman" w:hAnsi="Times New Roman" w:cs="Times New Roman"/>
          <w:color w:val="0D0D0D" w:themeColor="text1" w:themeTint="F2"/>
          <w:sz w:val="22"/>
          <w:szCs w:val="22"/>
          <w:lang w:val="es-ES"/>
        </w:rPr>
        <w:t>de Buenos Aires</w:t>
      </w:r>
    </w:p>
    <w:sectPr w:rsidR="000D2637" w:rsidRPr="00506990" w:rsidSect="00F47161">
      <w:headerReference w:type="default" r:id="rId4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A6698" w14:textId="77777777" w:rsidR="00690CDA" w:rsidRDefault="00690CDA">
      <w:r>
        <w:separator/>
      </w:r>
    </w:p>
  </w:endnote>
  <w:endnote w:type="continuationSeparator" w:id="0">
    <w:p w14:paraId="214065E1" w14:textId="77777777" w:rsidR="00690CDA" w:rsidRDefault="00690CDA">
      <w:r>
        <w:continuationSeparator/>
      </w:r>
    </w:p>
  </w:endnote>
  <w:endnote w:type="continuationNotice" w:id="1">
    <w:p w14:paraId="601999F8" w14:textId="77777777" w:rsidR="00690CDA" w:rsidRDefault="00690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4783E" w14:textId="77777777" w:rsidR="00690CDA" w:rsidRDefault="00690CDA">
      <w:r>
        <w:separator/>
      </w:r>
    </w:p>
  </w:footnote>
  <w:footnote w:type="continuationSeparator" w:id="0">
    <w:p w14:paraId="524289C7" w14:textId="77777777" w:rsidR="00690CDA" w:rsidRDefault="00690CDA">
      <w:r>
        <w:continuationSeparator/>
      </w:r>
    </w:p>
  </w:footnote>
  <w:footnote w:type="continuationNotice" w:id="1">
    <w:p w14:paraId="3E70F503" w14:textId="77777777" w:rsidR="00690CDA" w:rsidRDefault="00690C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4D3C3" w14:textId="537E6544" w:rsidR="00D41078" w:rsidRPr="008F4E11" w:rsidRDefault="00D41078">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7616BD">
      <w:rPr>
        <w:rStyle w:val="Nmerodepgina"/>
        <w:rFonts w:ascii="Times New Roman" w:hAnsi="Times New Roman"/>
        <w:noProof/>
      </w:rPr>
      <w:t>20</w:t>
    </w:r>
    <w:r w:rsidRPr="008F4E11">
      <w:rPr>
        <w:rStyle w:val="Nmerodepgina"/>
        <w:rFonts w:ascii="Times New Roman" w:hAnsi="Times New Roman"/>
      </w:rPr>
      <w:fldChar w:fldCharType="end"/>
    </w:r>
  </w:p>
  <w:p w14:paraId="517CB196" w14:textId="77777777" w:rsidR="00D41078" w:rsidRDefault="00D41078">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7"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9"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1" w15:restartNumberingAfterBreak="0">
    <w:nsid w:val="320224A5"/>
    <w:multiLevelType w:val="multilevel"/>
    <w:tmpl w:val="2E70C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8"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9"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21"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22" w15:restartNumberingAfterBreak="0">
    <w:nsid w:val="5DB64E6B"/>
    <w:multiLevelType w:val="hybridMultilevel"/>
    <w:tmpl w:val="27DC70E2"/>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4"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6DEB11DF"/>
    <w:multiLevelType w:val="hybridMultilevel"/>
    <w:tmpl w:val="C26E8BAC"/>
    <w:lvl w:ilvl="0" w:tplc="73CE070C">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8"/>
  </w:num>
  <w:num w:numId="2">
    <w:abstractNumId w:val="24"/>
  </w:num>
  <w:num w:numId="3">
    <w:abstractNumId w:val="6"/>
  </w:num>
  <w:num w:numId="4">
    <w:abstractNumId w:val="29"/>
  </w:num>
  <w:num w:numId="5">
    <w:abstractNumId w:val="26"/>
  </w:num>
  <w:num w:numId="6">
    <w:abstractNumId w:val="7"/>
  </w:num>
  <w:num w:numId="7">
    <w:abstractNumId w:val="31"/>
  </w:num>
  <w:num w:numId="8">
    <w:abstractNumId w:val="19"/>
  </w:num>
  <w:num w:numId="9">
    <w:abstractNumId w:val="30"/>
  </w:num>
  <w:num w:numId="10">
    <w:abstractNumId w:val="21"/>
  </w:num>
  <w:num w:numId="11">
    <w:abstractNumId w:val="2"/>
  </w:num>
  <w:num w:numId="12">
    <w:abstractNumId w:val="23"/>
  </w:num>
  <w:num w:numId="13">
    <w:abstractNumId w:val="17"/>
  </w:num>
  <w:num w:numId="14">
    <w:abstractNumId w:val="18"/>
  </w:num>
  <w:num w:numId="15">
    <w:abstractNumId w:val="22"/>
  </w:num>
  <w:num w:numId="16">
    <w:abstractNumId w:val="20"/>
  </w:num>
  <w:num w:numId="17">
    <w:abstractNumId w:val="4"/>
  </w:num>
  <w:num w:numId="18">
    <w:abstractNumId w:val="10"/>
  </w:num>
  <w:num w:numId="19">
    <w:abstractNumId w:val="14"/>
  </w:num>
  <w:num w:numId="20">
    <w:abstractNumId w:val="28"/>
  </w:num>
  <w:num w:numId="21">
    <w:abstractNumId w:val="9"/>
  </w:num>
  <w:num w:numId="22">
    <w:abstractNumId w:val="25"/>
  </w:num>
  <w:num w:numId="23">
    <w:abstractNumId w:val="15"/>
  </w:num>
  <w:num w:numId="24">
    <w:abstractNumId w:val="16"/>
  </w:num>
  <w:num w:numId="25">
    <w:abstractNumId w:val="0"/>
  </w:num>
  <w:num w:numId="26">
    <w:abstractNumId w:val="1"/>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2"/>
  </w:num>
  <w:num w:numId="43">
    <w:abstractNumId w:val="5"/>
  </w:num>
  <w:num w:numId="44">
    <w:abstractNumId w:val="27"/>
  </w:num>
  <w:num w:numId="45">
    <w:abstractNumId w:val="3"/>
  </w:num>
  <w:num w:numId="4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A96"/>
    <w:rsid w:val="00002392"/>
    <w:rsid w:val="00002B6D"/>
    <w:rsid w:val="00002DF5"/>
    <w:rsid w:val="000030AE"/>
    <w:rsid w:val="00003A1A"/>
    <w:rsid w:val="00003A22"/>
    <w:rsid w:val="0000411D"/>
    <w:rsid w:val="000041DF"/>
    <w:rsid w:val="00004A76"/>
    <w:rsid w:val="00004DBE"/>
    <w:rsid w:val="00005DC0"/>
    <w:rsid w:val="00005F07"/>
    <w:rsid w:val="0000652B"/>
    <w:rsid w:val="00006D45"/>
    <w:rsid w:val="00010151"/>
    <w:rsid w:val="000103F1"/>
    <w:rsid w:val="00010EC4"/>
    <w:rsid w:val="00011896"/>
    <w:rsid w:val="000119E8"/>
    <w:rsid w:val="00012497"/>
    <w:rsid w:val="00013391"/>
    <w:rsid w:val="00013B1D"/>
    <w:rsid w:val="000142C3"/>
    <w:rsid w:val="00015068"/>
    <w:rsid w:val="0001552E"/>
    <w:rsid w:val="000157B5"/>
    <w:rsid w:val="00015892"/>
    <w:rsid w:val="00016A68"/>
    <w:rsid w:val="00016A81"/>
    <w:rsid w:val="00016ADD"/>
    <w:rsid w:val="00017A98"/>
    <w:rsid w:val="00017C09"/>
    <w:rsid w:val="00020448"/>
    <w:rsid w:val="00020668"/>
    <w:rsid w:val="000210CD"/>
    <w:rsid w:val="00021CBD"/>
    <w:rsid w:val="00022415"/>
    <w:rsid w:val="0002292A"/>
    <w:rsid w:val="00022CE1"/>
    <w:rsid w:val="00024129"/>
    <w:rsid w:val="0002467C"/>
    <w:rsid w:val="00025C58"/>
    <w:rsid w:val="00026C4C"/>
    <w:rsid w:val="00027977"/>
    <w:rsid w:val="00030046"/>
    <w:rsid w:val="000305A6"/>
    <w:rsid w:val="000314E4"/>
    <w:rsid w:val="00031F98"/>
    <w:rsid w:val="0003232E"/>
    <w:rsid w:val="00033602"/>
    <w:rsid w:val="0003389F"/>
    <w:rsid w:val="00033DCF"/>
    <w:rsid w:val="00034408"/>
    <w:rsid w:val="00034B83"/>
    <w:rsid w:val="00035254"/>
    <w:rsid w:val="000364ED"/>
    <w:rsid w:val="000374FE"/>
    <w:rsid w:val="0004012A"/>
    <w:rsid w:val="000402F6"/>
    <w:rsid w:val="00040BE1"/>
    <w:rsid w:val="00040C3F"/>
    <w:rsid w:val="00041034"/>
    <w:rsid w:val="00041475"/>
    <w:rsid w:val="00041C82"/>
    <w:rsid w:val="000420CE"/>
    <w:rsid w:val="00042BDE"/>
    <w:rsid w:val="00042D5C"/>
    <w:rsid w:val="0004310B"/>
    <w:rsid w:val="00043A3E"/>
    <w:rsid w:val="000448FD"/>
    <w:rsid w:val="00044B2B"/>
    <w:rsid w:val="00044BC2"/>
    <w:rsid w:val="00044BE4"/>
    <w:rsid w:val="00045489"/>
    <w:rsid w:val="000465F3"/>
    <w:rsid w:val="00046FF2"/>
    <w:rsid w:val="00047454"/>
    <w:rsid w:val="000500CA"/>
    <w:rsid w:val="0005082F"/>
    <w:rsid w:val="00050D5D"/>
    <w:rsid w:val="00050EE8"/>
    <w:rsid w:val="00051620"/>
    <w:rsid w:val="00051CA6"/>
    <w:rsid w:val="00054EC4"/>
    <w:rsid w:val="000552A9"/>
    <w:rsid w:val="00055340"/>
    <w:rsid w:val="00055884"/>
    <w:rsid w:val="00055EAA"/>
    <w:rsid w:val="000567E5"/>
    <w:rsid w:val="000575CA"/>
    <w:rsid w:val="0005762D"/>
    <w:rsid w:val="000577E6"/>
    <w:rsid w:val="000578A3"/>
    <w:rsid w:val="000578B3"/>
    <w:rsid w:val="000579E7"/>
    <w:rsid w:val="0006028B"/>
    <w:rsid w:val="000605E7"/>
    <w:rsid w:val="00060D8E"/>
    <w:rsid w:val="00061D7D"/>
    <w:rsid w:val="0006317E"/>
    <w:rsid w:val="00063BCA"/>
    <w:rsid w:val="00063F9E"/>
    <w:rsid w:val="0006453A"/>
    <w:rsid w:val="00064D2E"/>
    <w:rsid w:val="00064DCC"/>
    <w:rsid w:val="000650CD"/>
    <w:rsid w:val="0006553C"/>
    <w:rsid w:val="000660FA"/>
    <w:rsid w:val="000670B6"/>
    <w:rsid w:val="00067456"/>
    <w:rsid w:val="000675B6"/>
    <w:rsid w:val="00067988"/>
    <w:rsid w:val="0007064A"/>
    <w:rsid w:val="000706A7"/>
    <w:rsid w:val="00070BB4"/>
    <w:rsid w:val="0007144A"/>
    <w:rsid w:val="0007273B"/>
    <w:rsid w:val="00073292"/>
    <w:rsid w:val="000736F6"/>
    <w:rsid w:val="000736F7"/>
    <w:rsid w:val="000739F4"/>
    <w:rsid w:val="00074CF9"/>
    <w:rsid w:val="00074D39"/>
    <w:rsid w:val="00074F2B"/>
    <w:rsid w:val="00075041"/>
    <w:rsid w:val="000751AF"/>
    <w:rsid w:val="0007578C"/>
    <w:rsid w:val="00075A2B"/>
    <w:rsid w:val="00076FC1"/>
    <w:rsid w:val="00076FFE"/>
    <w:rsid w:val="0008183E"/>
    <w:rsid w:val="00081CB8"/>
    <w:rsid w:val="00081E28"/>
    <w:rsid w:val="000824A0"/>
    <w:rsid w:val="000825CB"/>
    <w:rsid w:val="00082660"/>
    <w:rsid w:val="00082BFC"/>
    <w:rsid w:val="000833AF"/>
    <w:rsid w:val="000836AE"/>
    <w:rsid w:val="00083BB2"/>
    <w:rsid w:val="00083DFF"/>
    <w:rsid w:val="0008410B"/>
    <w:rsid w:val="0008441D"/>
    <w:rsid w:val="00084805"/>
    <w:rsid w:val="00084A71"/>
    <w:rsid w:val="00084C09"/>
    <w:rsid w:val="00084F87"/>
    <w:rsid w:val="00085048"/>
    <w:rsid w:val="000851A8"/>
    <w:rsid w:val="000858E9"/>
    <w:rsid w:val="00085B6B"/>
    <w:rsid w:val="0008636A"/>
    <w:rsid w:val="00086859"/>
    <w:rsid w:val="00086C56"/>
    <w:rsid w:val="00086D1A"/>
    <w:rsid w:val="00086FA6"/>
    <w:rsid w:val="000879D9"/>
    <w:rsid w:val="00087F1D"/>
    <w:rsid w:val="00091190"/>
    <w:rsid w:val="000922C8"/>
    <w:rsid w:val="000925C3"/>
    <w:rsid w:val="00092737"/>
    <w:rsid w:val="00092A7E"/>
    <w:rsid w:val="00092B98"/>
    <w:rsid w:val="00092E94"/>
    <w:rsid w:val="00093457"/>
    <w:rsid w:val="0009532E"/>
    <w:rsid w:val="000958BD"/>
    <w:rsid w:val="000959E8"/>
    <w:rsid w:val="00095E3B"/>
    <w:rsid w:val="00095E94"/>
    <w:rsid w:val="00096730"/>
    <w:rsid w:val="00097D2D"/>
    <w:rsid w:val="000A029A"/>
    <w:rsid w:val="000A02EC"/>
    <w:rsid w:val="000A0538"/>
    <w:rsid w:val="000A0735"/>
    <w:rsid w:val="000A0945"/>
    <w:rsid w:val="000A10C3"/>
    <w:rsid w:val="000A127F"/>
    <w:rsid w:val="000A15DA"/>
    <w:rsid w:val="000A1C84"/>
    <w:rsid w:val="000A2A1C"/>
    <w:rsid w:val="000A2ECA"/>
    <w:rsid w:val="000A54CB"/>
    <w:rsid w:val="000A5776"/>
    <w:rsid w:val="000A598B"/>
    <w:rsid w:val="000A5D8B"/>
    <w:rsid w:val="000A61AF"/>
    <w:rsid w:val="000A7295"/>
    <w:rsid w:val="000A78EB"/>
    <w:rsid w:val="000A7B6E"/>
    <w:rsid w:val="000A7F57"/>
    <w:rsid w:val="000B01BC"/>
    <w:rsid w:val="000B1510"/>
    <w:rsid w:val="000B1EFD"/>
    <w:rsid w:val="000B210F"/>
    <w:rsid w:val="000B2E15"/>
    <w:rsid w:val="000B3101"/>
    <w:rsid w:val="000B3237"/>
    <w:rsid w:val="000B33E3"/>
    <w:rsid w:val="000B378D"/>
    <w:rsid w:val="000B3F7D"/>
    <w:rsid w:val="000B557B"/>
    <w:rsid w:val="000B59FE"/>
    <w:rsid w:val="000B696A"/>
    <w:rsid w:val="000B71EE"/>
    <w:rsid w:val="000C0159"/>
    <w:rsid w:val="000C0A19"/>
    <w:rsid w:val="000C18A0"/>
    <w:rsid w:val="000C1F01"/>
    <w:rsid w:val="000C1F8C"/>
    <w:rsid w:val="000C2532"/>
    <w:rsid w:val="000C42CD"/>
    <w:rsid w:val="000C4B58"/>
    <w:rsid w:val="000C4C26"/>
    <w:rsid w:val="000C4CE5"/>
    <w:rsid w:val="000C5767"/>
    <w:rsid w:val="000C5E13"/>
    <w:rsid w:val="000C5E51"/>
    <w:rsid w:val="000C5F90"/>
    <w:rsid w:val="000C6412"/>
    <w:rsid w:val="000C6AD9"/>
    <w:rsid w:val="000C7053"/>
    <w:rsid w:val="000C754E"/>
    <w:rsid w:val="000C7A64"/>
    <w:rsid w:val="000D001E"/>
    <w:rsid w:val="000D0F68"/>
    <w:rsid w:val="000D1AFE"/>
    <w:rsid w:val="000D2637"/>
    <w:rsid w:val="000D26CB"/>
    <w:rsid w:val="000D2FE3"/>
    <w:rsid w:val="000D3EE1"/>
    <w:rsid w:val="000D4160"/>
    <w:rsid w:val="000D46CC"/>
    <w:rsid w:val="000D4EDE"/>
    <w:rsid w:val="000D5F56"/>
    <w:rsid w:val="000D647D"/>
    <w:rsid w:val="000D6FBA"/>
    <w:rsid w:val="000D7047"/>
    <w:rsid w:val="000D72BF"/>
    <w:rsid w:val="000D7613"/>
    <w:rsid w:val="000D7B9F"/>
    <w:rsid w:val="000D7BF8"/>
    <w:rsid w:val="000E07A6"/>
    <w:rsid w:val="000E1209"/>
    <w:rsid w:val="000E12B5"/>
    <w:rsid w:val="000E1354"/>
    <w:rsid w:val="000E1587"/>
    <w:rsid w:val="000E18CA"/>
    <w:rsid w:val="000E1CE1"/>
    <w:rsid w:val="000E22CC"/>
    <w:rsid w:val="000E45C8"/>
    <w:rsid w:val="000E461F"/>
    <w:rsid w:val="000E4657"/>
    <w:rsid w:val="000E49BD"/>
    <w:rsid w:val="000E6271"/>
    <w:rsid w:val="000E629F"/>
    <w:rsid w:val="000E6BA7"/>
    <w:rsid w:val="000F0890"/>
    <w:rsid w:val="000F0C6E"/>
    <w:rsid w:val="000F1A22"/>
    <w:rsid w:val="000F2BA9"/>
    <w:rsid w:val="000F2BBE"/>
    <w:rsid w:val="000F2FBB"/>
    <w:rsid w:val="000F3020"/>
    <w:rsid w:val="000F3481"/>
    <w:rsid w:val="000F3859"/>
    <w:rsid w:val="000F396F"/>
    <w:rsid w:val="000F4541"/>
    <w:rsid w:val="000F4D96"/>
    <w:rsid w:val="000F52BC"/>
    <w:rsid w:val="000F532A"/>
    <w:rsid w:val="000F6441"/>
    <w:rsid w:val="00100390"/>
    <w:rsid w:val="001003ED"/>
    <w:rsid w:val="00100EFA"/>
    <w:rsid w:val="00100F99"/>
    <w:rsid w:val="0010214E"/>
    <w:rsid w:val="001022D3"/>
    <w:rsid w:val="00102308"/>
    <w:rsid w:val="00102447"/>
    <w:rsid w:val="00102D01"/>
    <w:rsid w:val="0010371B"/>
    <w:rsid w:val="0010446B"/>
    <w:rsid w:val="0010503E"/>
    <w:rsid w:val="001050BD"/>
    <w:rsid w:val="00105203"/>
    <w:rsid w:val="0010611B"/>
    <w:rsid w:val="001061BE"/>
    <w:rsid w:val="00106683"/>
    <w:rsid w:val="00106EE3"/>
    <w:rsid w:val="0010795E"/>
    <w:rsid w:val="00107EFE"/>
    <w:rsid w:val="001119B5"/>
    <w:rsid w:val="001126E3"/>
    <w:rsid w:val="00113084"/>
    <w:rsid w:val="0011352C"/>
    <w:rsid w:val="0011364A"/>
    <w:rsid w:val="0011369F"/>
    <w:rsid w:val="0011395C"/>
    <w:rsid w:val="00114E43"/>
    <w:rsid w:val="0011527B"/>
    <w:rsid w:val="001167E0"/>
    <w:rsid w:val="00116C15"/>
    <w:rsid w:val="0011730B"/>
    <w:rsid w:val="001207E4"/>
    <w:rsid w:val="00120AE8"/>
    <w:rsid w:val="00120DBA"/>
    <w:rsid w:val="001212A9"/>
    <w:rsid w:val="001213DC"/>
    <w:rsid w:val="00121A05"/>
    <w:rsid w:val="00121B7F"/>
    <w:rsid w:val="00121D81"/>
    <w:rsid w:val="00121F94"/>
    <w:rsid w:val="0012261F"/>
    <w:rsid w:val="00124075"/>
    <w:rsid w:val="0012496E"/>
    <w:rsid w:val="00124B55"/>
    <w:rsid w:val="00124DBB"/>
    <w:rsid w:val="00125665"/>
    <w:rsid w:val="0012567A"/>
    <w:rsid w:val="00125FC4"/>
    <w:rsid w:val="001276CE"/>
    <w:rsid w:val="00127887"/>
    <w:rsid w:val="001309E1"/>
    <w:rsid w:val="0013107D"/>
    <w:rsid w:val="00131446"/>
    <w:rsid w:val="00131AB3"/>
    <w:rsid w:val="00132D15"/>
    <w:rsid w:val="00132FBE"/>
    <w:rsid w:val="00133037"/>
    <w:rsid w:val="00133EC4"/>
    <w:rsid w:val="00133FAB"/>
    <w:rsid w:val="001345D3"/>
    <w:rsid w:val="001356D6"/>
    <w:rsid w:val="00135985"/>
    <w:rsid w:val="00135A29"/>
    <w:rsid w:val="00135DA6"/>
    <w:rsid w:val="00137D66"/>
    <w:rsid w:val="00137EB0"/>
    <w:rsid w:val="00141779"/>
    <w:rsid w:val="00141B2D"/>
    <w:rsid w:val="001424F9"/>
    <w:rsid w:val="001429C7"/>
    <w:rsid w:val="00142C68"/>
    <w:rsid w:val="00143CDE"/>
    <w:rsid w:val="00143D69"/>
    <w:rsid w:val="001447B5"/>
    <w:rsid w:val="00144EB4"/>
    <w:rsid w:val="00145358"/>
    <w:rsid w:val="001456C9"/>
    <w:rsid w:val="001459CC"/>
    <w:rsid w:val="00147131"/>
    <w:rsid w:val="001471FD"/>
    <w:rsid w:val="0014735C"/>
    <w:rsid w:val="0014784A"/>
    <w:rsid w:val="00147AC9"/>
    <w:rsid w:val="00147FC5"/>
    <w:rsid w:val="00147FFB"/>
    <w:rsid w:val="00150061"/>
    <w:rsid w:val="00150AE8"/>
    <w:rsid w:val="00151093"/>
    <w:rsid w:val="00151CD3"/>
    <w:rsid w:val="00152872"/>
    <w:rsid w:val="00152A4D"/>
    <w:rsid w:val="00153187"/>
    <w:rsid w:val="001542D2"/>
    <w:rsid w:val="0015464E"/>
    <w:rsid w:val="00154C96"/>
    <w:rsid w:val="001550BC"/>
    <w:rsid w:val="001566A0"/>
    <w:rsid w:val="00156A6A"/>
    <w:rsid w:val="00157074"/>
    <w:rsid w:val="00157F81"/>
    <w:rsid w:val="0016179F"/>
    <w:rsid w:val="0016197F"/>
    <w:rsid w:val="00161D3F"/>
    <w:rsid w:val="001625C1"/>
    <w:rsid w:val="001626E1"/>
    <w:rsid w:val="00162A26"/>
    <w:rsid w:val="00163313"/>
    <w:rsid w:val="001646F4"/>
    <w:rsid w:val="00164B94"/>
    <w:rsid w:val="00164E86"/>
    <w:rsid w:val="00165010"/>
    <w:rsid w:val="001653DC"/>
    <w:rsid w:val="001657C6"/>
    <w:rsid w:val="00165AF5"/>
    <w:rsid w:val="00166C2F"/>
    <w:rsid w:val="001671D4"/>
    <w:rsid w:val="00171062"/>
    <w:rsid w:val="00171995"/>
    <w:rsid w:val="001742A0"/>
    <w:rsid w:val="00174494"/>
    <w:rsid w:val="00174A68"/>
    <w:rsid w:val="00174F3E"/>
    <w:rsid w:val="00175B3B"/>
    <w:rsid w:val="00175B7F"/>
    <w:rsid w:val="001764A6"/>
    <w:rsid w:val="00176B0E"/>
    <w:rsid w:val="00180B54"/>
    <w:rsid w:val="00180F7A"/>
    <w:rsid w:val="001814DE"/>
    <w:rsid w:val="00181B60"/>
    <w:rsid w:val="00181E67"/>
    <w:rsid w:val="00182513"/>
    <w:rsid w:val="00183A23"/>
    <w:rsid w:val="00184239"/>
    <w:rsid w:val="0018443D"/>
    <w:rsid w:val="00184B1E"/>
    <w:rsid w:val="00184DBE"/>
    <w:rsid w:val="00184DCC"/>
    <w:rsid w:val="0018576E"/>
    <w:rsid w:val="00186149"/>
    <w:rsid w:val="00190704"/>
    <w:rsid w:val="00190A8B"/>
    <w:rsid w:val="001914F9"/>
    <w:rsid w:val="00191540"/>
    <w:rsid w:val="001922EE"/>
    <w:rsid w:val="0019258A"/>
    <w:rsid w:val="00192FE0"/>
    <w:rsid w:val="00193D89"/>
    <w:rsid w:val="001944EA"/>
    <w:rsid w:val="001945F3"/>
    <w:rsid w:val="00195416"/>
    <w:rsid w:val="00195E36"/>
    <w:rsid w:val="00196099"/>
    <w:rsid w:val="0019651A"/>
    <w:rsid w:val="001966D1"/>
    <w:rsid w:val="00196B3E"/>
    <w:rsid w:val="00196C5C"/>
    <w:rsid w:val="00196D37"/>
    <w:rsid w:val="001979D1"/>
    <w:rsid w:val="00197F18"/>
    <w:rsid w:val="001A0AD5"/>
    <w:rsid w:val="001A16C0"/>
    <w:rsid w:val="001A1DE0"/>
    <w:rsid w:val="001A1EDB"/>
    <w:rsid w:val="001A2A36"/>
    <w:rsid w:val="001A2C45"/>
    <w:rsid w:val="001A2EF1"/>
    <w:rsid w:val="001A3770"/>
    <w:rsid w:val="001A37E8"/>
    <w:rsid w:val="001A38C5"/>
    <w:rsid w:val="001A4A4A"/>
    <w:rsid w:val="001A5564"/>
    <w:rsid w:val="001A6098"/>
    <w:rsid w:val="001A6CF1"/>
    <w:rsid w:val="001A74F2"/>
    <w:rsid w:val="001A753B"/>
    <w:rsid w:val="001A7D11"/>
    <w:rsid w:val="001B073B"/>
    <w:rsid w:val="001B097B"/>
    <w:rsid w:val="001B1517"/>
    <w:rsid w:val="001B1606"/>
    <w:rsid w:val="001B2293"/>
    <w:rsid w:val="001B22A4"/>
    <w:rsid w:val="001B2A61"/>
    <w:rsid w:val="001B2F70"/>
    <w:rsid w:val="001B3113"/>
    <w:rsid w:val="001B3D81"/>
    <w:rsid w:val="001B3FA1"/>
    <w:rsid w:val="001B41DF"/>
    <w:rsid w:val="001B4BC9"/>
    <w:rsid w:val="001B4DAB"/>
    <w:rsid w:val="001B57CA"/>
    <w:rsid w:val="001B630D"/>
    <w:rsid w:val="001B6843"/>
    <w:rsid w:val="001C012F"/>
    <w:rsid w:val="001C0ADC"/>
    <w:rsid w:val="001C142A"/>
    <w:rsid w:val="001C14D0"/>
    <w:rsid w:val="001C1D42"/>
    <w:rsid w:val="001C1FC6"/>
    <w:rsid w:val="001C22AF"/>
    <w:rsid w:val="001C2B1B"/>
    <w:rsid w:val="001C340D"/>
    <w:rsid w:val="001C3632"/>
    <w:rsid w:val="001C3E60"/>
    <w:rsid w:val="001C470F"/>
    <w:rsid w:val="001C5370"/>
    <w:rsid w:val="001C5BF2"/>
    <w:rsid w:val="001C5D1D"/>
    <w:rsid w:val="001C5E6C"/>
    <w:rsid w:val="001C62FB"/>
    <w:rsid w:val="001C6788"/>
    <w:rsid w:val="001C689A"/>
    <w:rsid w:val="001C6CAA"/>
    <w:rsid w:val="001C6F7D"/>
    <w:rsid w:val="001C7B76"/>
    <w:rsid w:val="001C7BE2"/>
    <w:rsid w:val="001D06B3"/>
    <w:rsid w:val="001D08A3"/>
    <w:rsid w:val="001D0FD9"/>
    <w:rsid w:val="001D2313"/>
    <w:rsid w:val="001D25F3"/>
    <w:rsid w:val="001D3ABC"/>
    <w:rsid w:val="001D40C6"/>
    <w:rsid w:val="001D43E7"/>
    <w:rsid w:val="001D44A2"/>
    <w:rsid w:val="001D570C"/>
    <w:rsid w:val="001D62CB"/>
    <w:rsid w:val="001D6998"/>
    <w:rsid w:val="001D7891"/>
    <w:rsid w:val="001E0345"/>
    <w:rsid w:val="001E0CCB"/>
    <w:rsid w:val="001E239D"/>
    <w:rsid w:val="001E298C"/>
    <w:rsid w:val="001E3465"/>
    <w:rsid w:val="001E47E3"/>
    <w:rsid w:val="001E57CC"/>
    <w:rsid w:val="001E7769"/>
    <w:rsid w:val="001E77D2"/>
    <w:rsid w:val="001F1673"/>
    <w:rsid w:val="001F29E8"/>
    <w:rsid w:val="001F2ED5"/>
    <w:rsid w:val="001F2F05"/>
    <w:rsid w:val="001F3842"/>
    <w:rsid w:val="001F3914"/>
    <w:rsid w:val="001F3CED"/>
    <w:rsid w:val="001F3D37"/>
    <w:rsid w:val="001F3D41"/>
    <w:rsid w:val="001F4777"/>
    <w:rsid w:val="001F4876"/>
    <w:rsid w:val="001F4C70"/>
    <w:rsid w:val="001F4CEB"/>
    <w:rsid w:val="001F5659"/>
    <w:rsid w:val="001F5B24"/>
    <w:rsid w:val="001F6C37"/>
    <w:rsid w:val="001F70E7"/>
    <w:rsid w:val="001F7CF0"/>
    <w:rsid w:val="001F7DE5"/>
    <w:rsid w:val="001F7ED0"/>
    <w:rsid w:val="00200640"/>
    <w:rsid w:val="0020092F"/>
    <w:rsid w:val="00200989"/>
    <w:rsid w:val="002009F8"/>
    <w:rsid w:val="00200C42"/>
    <w:rsid w:val="00201A5D"/>
    <w:rsid w:val="00201E5E"/>
    <w:rsid w:val="00203256"/>
    <w:rsid w:val="00203704"/>
    <w:rsid w:val="0020399A"/>
    <w:rsid w:val="00204163"/>
    <w:rsid w:val="00204B5D"/>
    <w:rsid w:val="00205402"/>
    <w:rsid w:val="00205540"/>
    <w:rsid w:val="002056A7"/>
    <w:rsid w:val="002058B4"/>
    <w:rsid w:val="00205D2B"/>
    <w:rsid w:val="0020600A"/>
    <w:rsid w:val="0020795C"/>
    <w:rsid w:val="00211363"/>
    <w:rsid w:val="002116A4"/>
    <w:rsid w:val="002116B7"/>
    <w:rsid w:val="00211A83"/>
    <w:rsid w:val="002122D2"/>
    <w:rsid w:val="00212F2E"/>
    <w:rsid w:val="002132DA"/>
    <w:rsid w:val="002148B2"/>
    <w:rsid w:val="00214A5D"/>
    <w:rsid w:val="00214E30"/>
    <w:rsid w:val="00215298"/>
    <w:rsid w:val="00215836"/>
    <w:rsid w:val="00215880"/>
    <w:rsid w:val="00215FC4"/>
    <w:rsid w:val="002160B7"/>
    <w:rsid w:val="002163B7"/>
    <w:rsid w:val="002166FD"/>
    <w:rsid w:val="00216972"/>
    <w:rsid w:val="002169F4"/>
    <w:rsid w:val="002170A7"/>
    <w:rsid w:val="00217961"/>
    <w:rsid w:val="002179C6"/>
    <w:rsid w:val="00217B6D"/>
    <w:rsid w:val="00217CAA"/>
    <w:rsid w:val="00217EA8"/>
    <w:rsid w:val="00221101"/>
    <w:rsid w:val="002218E5"/>
    <w:rsid w:val="00221906"/>
    <w:rsid w:val="002228A0"/>
    <w:rsid w:val="00222D5B"/>
    <w:rsid w:val="00223731"/>
    <w:rsid w:val="00223AC9"/>
    <w:rsid w:val="00223E2A"/>
    <w:rsid w:val="002246CD"/>
    <w:rsid w:val="00225858"/>
    <w:rsid w:val="002259BC"/>
    <w:rsid w:val="0022662F"/>
    <w:rsid w:val="0022666A"/>
    <w:rsid w:val="00226B1E"/>
    <w:rsid w:val="00230FD0"/>
    <w:rsid w:val="00231292"/>
    <w:rsid w:val="00231371"/>
    <w:rsid w:val="00232446"/>
    <w:rsid w:val="00232A96"/>
    <w:rsid w:val="002343BF"/>
    <w:rsid w:val="00235842"/>
    <w:rsid w:val="0023696E"/>
    <w:rsid w:val="00236AF8"/>
    <w:rsid w:val="00237057"/>
    <w:rsid w:val="0024116F"/>
    <w:rsid w:val="0024190F"/>
    <w:rsid w:val="00241CB9"/>
    <w:rsid w:val="0024221A"/>
    <w:rsid w:val="002427DC"/>
    <w:rsid w:val="0024476E"/>
    <w:rsid w:val="0024516C"/>
    <w:rsid w:val="002473D2"/>
    <w:rsid w:val="0024748A"/>
    <w:rsid w:val="0024788D"/>
    <w:rsid w:val="00247A54"/>
    <w:rsid w:val="00247B2A"/>
    <w:rsid w:val="00247D27"/>
    <w:rsid w:val="002509E8"/>
    <w:rsid w:val="00251165"/>
    <w:rsid w:val="00251DA9"/>
    <w:rsid w:val="00251DFB"/>
    <w:rsid w:val="0025287E"/>
    <w:rsid w:val="00252D28"/>
    <w:rsid w:val="00252DEC"/>
    <w:rsid w:val="0025325D"/>
    <w:rsid w:val="00253D5F"/>
    <w:rsid w:val="00254088"/>
    <w:rsid w:val="00254178"/>
    <w:rsid w:val="0025597D"/>
    <w:rsid w:val="00256014"/>
    <w:rsid w:val="00257D2C"/>
    <w:rsid w:val="00260015"/>
    <w:rsid w:val="0026007C"/>
    <w:rsid w:val="00260ACD"/>
    <w:rsid w:val="00260DEA"/>
    <w:rsid w:val="00260FEB"/>
    <w:rsid w:val="00261603"/>
    <w:rsid w:val="00263C31"/>
    <w:rsid w:val="00263F74"/>
    <w:rsid w:val="0026503D"/>
    <w:rsid w:val="00265BFA"/>
    <w:rsid w:val="002661D4"/>
    <w:rsid w:val="002666DC"/>
    <w:rsid w:val="00266804"/>
    <w:rsid w:val="00266854"/>
    <w:rsid w:val="002670CB"/>
    <w:rsid w:val="00270AFD"/>
    <w:rsid w:val="002711EC"/>
    <w:rsid w:val="002723D1"/>
    <w:rsid w:val="0027248F"/>
    <w:rsid w:val="00272B8A"/>
    <w:rsid w:val="00272DBC"/>
    <w:rsid w:val="002734F5"/>
    <w:rsid w:val="0027477F"/>
    <w:rsid w:val="00274A8F"/>
    <w:rsid w:val="00275459"/>
    <w:rsid w:val="00275C09"/>
    <w:rsid w:val="00275EAF"/>
    <w:rsid w:val="00275F22"/>
    <w:rsid w:val="00276093"/>
    <w:rsid w:val="002767AA"/>
    <w:rsid w:val="00277049"/>
    <w:rsid w:val="0027717E"/>
    <w:rsid w:val="00280683"/>
    <w:rsid w:val="00280749"/>
    <w:rsid w:val="00280E2A"/>
    <w:rsid w:val="002810C8"/>
    <w:rsid w:val="002817A1"/>
    <w:rsid w:val="00281F87"/>
    <w:rsid w:val="00282450"/>
    <w:rsid w:val="00282B95"/>
    <w:rsid w:val="00283A5A"/>
    <w:rsid w:val="0028458C"/>
    <w:rsid w:val="002845F8"/>
    <w:rsid w:val="00284656"/>
    <w:rsid w:val="002847D6"/>
    <w:rsid w:val="002851CC"/>
    <w:rsid w:val="002859DE"/>
    <w:rsid w:val="0028665B"/>
    <w:rsid w:val="002866A0"/>
    <w:rsid w:val="0028696C"/>
    <w:rsid w:val="00286B5D"/>
    <w:rsid w:val="00286E62"/>
    <w:rsid w:val="00286ECE"/>
    <w:rsid w:val="00286ED8"/>
    <w:rsid w:val="00286F98"/>
    <w:rsid w:val="00287A05"/>
    <w:rsid w:val="00287CB2"/>
    <w:rsid w:val="0029267C"/>
    <w:rsid w:val="00292B5A"/>
    <w:rsid w:val="00292D7D"/>
    <w:rsid w:val="00293199"/>
    <w:rsid w:val="00293749"/>
    <w:rsid w:val="00293A8F"/>
    <w:rsid w:val="00294168"/>
    <w:rsid w:val="00294301"/>
    <w:rsid w:val="00295635"/>
    <w:rsid w:val="002965C9"/>
    <w:rsid w:val="00297BD7"/>
    <w:rsid w:val="002A0CDF"/>
    <w:rsid w:val="002A0DED"/>
    <w:rsid w:val="002A0E50"/>
    <w:rsid w:val="002A1263"/>
    <w:rsid w:val="002A168C"/>
    <w:rsid w:val="002A17D9"/>
    <w:rsid w:val="002A1BE9"/>
    <w:rsid w:val="002A28C2"/>
    <w:rsid w:val="002A2B1C"/>
    <w:rsid w:val="002A3EAD"/>
    <w:rsid w:val="002A4323"/>
    <w:rsid w:val="002A4D01"/>
    <w:rsid w:val="002A50DF"/>
    <w:rsid w:val="002A65CE"/>
    <w:rsid w:val="002A69C9"/>
    <w:rsid w:val="002A6F39"/>
    <w:rsid w:val="002B0714"/>
    <w:rsid w:val="002B0D8C"/>
    <w:rsid w:val="002B12B1"/>
    <w:rsid w:val="002B20D8"/>
    <w:rsid w:val="002B2714"/>
    <w:rsid w:val="002B2C77"/>
    <w:rsid w:val="002B31AB"/>
    <w:rsid w:val="002B31EF"/>
    <w:rsid w:val="002B35D6"/>
    <w:rsid w:val="002B411F"/>
    <w:rsid w:val="002B4886"/>
    <w:rsid w:val="002B48F2"/>
    <w:rsid w:val="002B53CE"/>
    <w:rsid w:val="002B53EF"/>
    <w:rsid w:val="002B5951"/>
    <w:rsid w:val="002B5961"/>
    <w:rsid w:val="002B679F"/>
    <w:rsid w:val="002C0E72"/>
    <w:rsid w:val="002C1B7C"/>
    <w:rsid w:val="002C216B"/>
    <w:rsid w:val="002C240D"/>
    <w:rsid w:val="002C2E95"/>
    <w:rsid w:val="002C323C"/>
    <w:rsid w:val="002C43BE"/>
    <w:rsid w:val="002C4984"/>
    <w:rsid w:val="002C5029"/>
    <w:rsid w:val="002C7309"/>
    <w:rsid w:val="002C7386"/>
    <w:rsid w:val="002C7706"/>
    <w:rsid w:val="002C79DC"/>
    <w:rsid w:val="002C7B22"/>
    <w:rsid w:val="002C7F9A"/>
    <w:rsid w:val="002D0006"/>
    <w:rsid w:val="002D06A0"/>
    <w:rsid w:val="002D0A50"/>
    <w:rsid w:val="002D0C4E"/>
    <w:rsid w:val="002D141C"/>
    <w:rsid w:val="002D1D82"/>
    <w:rsid w:val="002D2660"/>
    <w:rsid w:val="002D355E"/>
    <w:rsid w:val="002D3BD6"/>
    <w:rsid w:val="002D40CE"/>
    <w:rsid w:val="002D4237"/>
    <w:rsid w:val="002D4FEB"/>
    <w:rsid w:val="002D57D8"/>
    <w:rsid w:val="002D5BB3"/>
    <w:rsid w:val="002D5C50"/>
    <w:rsid w:val="002D6E13"/>
    <w:rsid w:val="002D74B8"/>
    <w:rsid w:val="002E0784"/>
    <w:rsid w:val="002E0EFA"/>
    <w:rsid w:val="002E1292"/>
    <w:rsid w:val="002E15E1"/>
    <w:rsid w:val="002E1B5F"/>
    <w:rsid w:val="002E3982"/>
    <w:rsid w:val="002E3EEE"/>
    <w:rsid w:val="002E490A"/>
    <w:rsid w:val="002E49A8"/>
    <w:rsid w:val="002E53B4"/>
    <w:rsid w:val="002E597D"/>
    <w:rsid w:val="002E5F5C"/>
    <w:rsid w:val="002E6F0B"/>
    <w:rsid w:val="002E7787"/>
    <w:rsid w:val="002E7BDC"/>
    <w:rsid w:val="002E7FB1"/>
    <w:rsid w:val="002F04AB"/>
    <w:rsid w:val="002F070A"/>
    <w:rsid w:val="002F11FF"/>
    <w:rsid w:val="002F13D9"/>
    <w:rsid w:val="002F1615"/>
    <w:rsid w:val="002F2CA3"/>
    <w:rsid w:val="002F2E75"/>
    <w:rsid w:val="002F2EF6"/>
    <w:rsid w:val="002F3360"/>
    <w:rsid w:val="002F3F61"/>
    <w:rsid w:val="002F455C"/>
    <w:rsid w:val="002F48A1"/>
    <w:rsid w:val="002F5D56"/>
    <w:rsid w:val="002F666B"/>
    <w:rsid w:val="002F6DE8"/>
    <w:rsid w:val="002F7565"/>
    <w:rsid w:val="002F7727"/>
    <w:rsid w:val="002F7733"/>
    <w:rsid w:val="003008E3"/>
    <w:rsid w:val="00300D38"/>
    <w:rsid w:val="00300F02"/>
    <w:rsid w:val="00301F7F"/>
    <w:rsid w:val="003027C1"/>
    <w:rsid w:val="00303543"/>
    <w:rsid w:val="00304BFF"/>
    <w:rsid w:val="0030646A"/>
    <w:rsid w:val="0030713F"/>
    <w:rsid w:val="00310D77"/>
    <w:rsid w:val="00310DD1"/>
    <w:rsid w:val="00311C98"/>
    <w:rsid w:val="00311E62"/>
    <w:rsid w:val="00311EAF"/>
    <w:rsid w:val="00312F1F"/>
    <w:rsid w:val="00313338"/>
    <w:rsid w:val="00314EC7"/>
    <w:rsid w:val="003155CF"/>
    <w:rsid w:val="00315C6E"/>
    <w:rsid w:val="00315E70"/>
    <w:rsid w:val="00316A5D"/>
    <w:rsid w:val="00316E37"/>
    <w:rsid w:val="00317BE7"/>
    <w:rsid w:val="00317D66"/>
    <w:rsid w:val="003201F5"/>
    <w:rsid w:val="0032034B"/>
    <w:rsid w:val="00320365"/>
    <w:rsid w:val="00321AE2"/>
    <w:rsid w:val="00322A72"/>
    <w:rsid w:val="003239AF"/>
    <w:rsid w:val="00323B66"/>
    <w:rsid w:val="00323FFA"/>
    <w:rsid w:val="00324266"/>
    <w:rsid w:val="00324DD8"/>
    <w:rsid w:val="003266B6"/>
    <w:rsid w:val="00327A11"/>
    <w:rsid w:val="00327C66"/>
    <w:rsid w:val="0033074D"/>
    <w:rsid w:val="00330758"/>
    <w:rsid w:val="0033098F"/>
    <w:rsid w:val="0033127E"/>
    <w:rsid w:val="00331A34"/>
    <w:rsid w:val="003322FF"/>
    <w:rsid w:val="003325B8"/>
    <w:rsid w:val="00332863"/>
    <w:rsid w:val="003344CA"/>
    <w:rsid w:val="003346CC"/>
    <w:rsid w:val="003348CD"/>
    <w:rsid w:val="003352EB"/>
    <w:rsid w:val="00335691"/>
    <w:rsid w:val="00335825"/>
    <w:rsid w:val="00335856"/>
    <w:rsid w:val="003370B9"/>
    <w:rsid w:val="00337519"/>
    <w:rsid w:val="00337DE5"/>
    <w:rsid w:val="00340780"/>
    <w:rsid w:val="003429B3"/>
    <w:rsid w:val="00342A9B"/>
    <w:rsid w:val="00342F72"/>
    <w:rsid w:val="00343232"/>
    <w:rsid w:val="003432FF"/>
    <w:rsid w:val="003433BB"/>
    <w:rsid w:val="00343CF5"/>
    <w:rsid w:val="00344385"/>
    <w:rsid w:val="00345035"/>
    <w:rsid w:val="0034517A"/>
    <w:rsid w:val="00346278"/>
    <w:rsid w:val="003467D1"/>
    <w:rsid w:val="00346AAC"/>
    <w:rsid w:val="003476D2"/>
    <w:rsid w:val="00351128"/>
    <w:rsid w:val="00351CCC"/>
    <w:rsid w:val="00352395"/>
    <w:rsid w:val="00352B6E"/>
    <w:rsid w:val="0035315F"/>
    <w:rsid w:val="00353462"/>
    <w:rsid w:val="0035360D"/>
    <w:rsid w:val="0035387D"/>
    <w:rsid w:val="00355255"/>
    <w:rsid w:val="00355608"/>
    <w:rsid w:val="0035577B"/>
    <w:rsid w:val="00355F14"/>
    <w:rsid w:val="0035603F"/>
    <w:rsid w:val="00357053"/>
    <w:rsid w:val="003574F9"/>
    <w:rsid w:val="003576CD"/>
    <w:rsid w:val="00357868"/>
    <w:rsid w:val="0035796B"/>
    <w:rsid w:val="00357D79"/>
    <w:rsid w:val="00357FFB"/>
    <w:rsid w:val="00361A89"/>
    <w:rsid w:val="00361D5B"/>
    <w:rsid w:val="00361D8D"/>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708E1"/>
    <w:rsid w:val="00371CCD"/>
    <w:rsid w:val="00372159"/>
    <w:rsid w:val="00372452"/>
    <w:rsid w:val="00372671"/>
    <w:rsid w:val="00373768"/>
    <w:rsid w:val="00373851"/>
    <w:rsid w:val="00373E76"/>
    <w:rsid w:val="00374316"/>
    <w:rsid w:val="00374A28"/>
    <w:rsid w:val="00375975"/>
    <w:rsid w:val="00375AFE"/>
    <w:rsid w:val="00375E3D"/>
    <w:rsid w:val="00375FFF"/>
    <w:rsid w:val="003765E8"/>
    <w:rsid w:val="00376622"/>
    <w:rsid w:val="003768F3"/>
    <w:rsid w:val="00376AA8"/>
    <w:rsid w:val="003775F7"/>
    <w:rsid w:val="0038002D"/>
    <w:rsid w:val="00380824"/>
    <w:rsid w:val="00380E95"/>
    <w:rsid w:val="003810E0"/>
    <w:rsid w:val="00381141"/>
    <w:rsid w:val="0038160C"/>
    <w:rsid w:val="00381A68"/>
    <w:rsid w:val="00382052"/>
    <w:rsid w:val="00382778"/>
    <w:rsid w:val="00382A1D"/>
    <w:rsid w:val="0038301F"/>
    <w:rsid w:val="003866F5"/>
    <w:rsid w:val="003878E1"/>
    <w:rsid w:val="00390737"/>
    <w:rsid w:val="0039130A"/>
    <w:rsid w:val="003916B4"/>
    <w:rsid w:val="00391D46"/>
    <w:rsid w:val="003921BB"/>
    <w:rsid w:val="00392297"/>
    <w:rsid w:val="00392465"/>
    <w:rsid w:val="00392767"/>
    <w:rsid w:val="00392A25"/>
    <w:rsid w:val="00392B3F"/>
    <w:rsid w:val="00392FF1"/>
    <w:rsid w:val="00393059"/>
    <w:rsid w:val="0039351D"/>
    <w:rsid w:val="0039383F"/>
    <w:rsid w:val="00393B22"/>
    <w:rsid w:val="00393C14"/>
    <w:rsid w:val="003972E9"/>
    <w:rsid w:val="003A006D"/>
    <w:rsid w:val="003A01E7"/>
    <w:rsid w:val="003A0721"/>
    <w:rsid w:val="003A0A40"/>
    <w:rsid w:val="003A21EB"/>
    <w:rsid w:val="003A22B7"/>
    <w:rsid w:val="003A3958"/>
    <w:rsid w:val="003A3FE8"/>
    <w:rsid w:val="003A41BF"/>
    <w:rsid w:val="003A4719"/>
    <w:rsid w:val="003A4CD0"/>
    <w:rsid w:val="003A68A4"/>
    <w:rsid w:val="003A7613"/>
    <w:rsid w:val="003B0626"/>
    <w:rsid w:val="003B0F49"/>
    <w:rsid w:val="003B1688"/>
    <w:rsid w:val="003B1BC0"/>
    <w:rsid w:val="003B2083"/>
    <w:rsid w:val="003B2224"/>
    <w:rsid w:val="003B23CC"/>
    <w:rsid w:val="003B25D8"/>
    <w:rsid w:val="003B3247"/>
    <w:rsid w:val="003B388A"/>
    <w:rsid w:val="003B47C0"/>
    <w:rsid w:val="003B56EE"/>
    <w:rsid w:val="003B56FE"/>
    <w:rsid w:val="003B578E"/>
    <w:rsid w:val="003B5863"/>
    <w:rsid w:val="003B5876"/>
    <w:rsid w:val="003B5E6C"/>
    <w:rsid w:val="003B6F77"/>
    <w:rsid w:val="003B77DE"/>
    <w:rsid w:val="003C123D"/>
    <w:rsid w:val="003C1A67"/>
    <w:rsid w:val="003C3041"/>
    <w:rsid w:val="003C3ACF"/>
    <w:rsid w:val="003C402B"/>
    <w:rsid w:val="003C4296"/>
    <w:rsid w:val="003C4515"/>
    <w:rsid w:val="003C499B"/>
    <w:rsid w:val="003C4B86"/>
    <w:rsid w:val="003C58C9"/>
    <w:rsid w:val="003C5928"/>
    <w:rsid w:val="003C5AD8"/>
    <w:rsid w:val="003C6862"/>
    <w:rsid w:val="003C6A63"/>
    <w:rsid w:val="003C6D4F"/>
    <w:rsid w:val="003C769E"/>
    <w:rsid w:val="003D0A97"/>
    <w:rsid w:val="003D0EA5"/>
    <w:rsid w:val="003D192A"/>
    <w:rsid w:val="003D1CD9"/>
    <w:rsid w:val="003D1E37"/>
    <w:rsid w:val="003D2E88"/>
    <w:rsid w:val="003D2F52"/>
    <w:rsid w:val="003D2FD3"/>
    <w:rsid w:val="003D39CA"/>
    <w:rsid w:val="003D3A05"/>
    <w:rsid w:val="003D3A88"/>
    <w:rsid w:val="003D3D70"/>
    <w:rsid w:val="003D430B"/>
    <w:rsid w:val="003D44F3"/>
    <w:rsid w:val="003D46B8"/>
    <w:rsid w:val="003D4DBA"/>
    <w:rsid w:val="003D4EB8"/>
    <w:rsid w:val="003D5863"/>
    <w:rsid w:val="003D5A6F"/>
    <w:rsid w:val="003D5BC9"/>
    <w:rsid w:val="003D7C6D"/>
    <w:rsid w:val="003D7CC8"/>
    <w:rsid w:val="003E02B4"/>
    <w:rsid w:val="003E16D4"/>
    <w:rsid w:val="003E181B"/>
    <w:rsid w:val="003E190B"/>
    <w:rsid w:val="003E197B"/>
    <w:rsid w:val="003E1B71"/>
    <w:rsid w:val="003E459B"/>
    <w:rsid w:val="003E4AD9"/>
    <w:rsid w:val="003E4F5D"/>
    <w:rsid w:val="003E57D5"/>
    <w:rsid w:val="003E5C7F"/>
    <w:rsid w:val="003E67C1"/>
    <w:rsid w:val="003E6A44"/>
    <w:rsid w:val="003E7559"/>
    <w:rsid w:val="003E756E"/>
    <w:rsid w:val="003E7FC4"/>
    <w:rsid w:val="003F0A4A"/>
    <w:rsid w:val="003F1DE4"/>
    <w:rsid w:val="003F20DA"/>
    <w:rsid w:val="003F26E8"/>
    <w:rsid w:val="003F2ED2"/>
    <w:rsid w:val="003F329D"/>
    <w:rsid w:val="003F37FA"/>
    <w:rsid w:val="003F3F54"/>
    <w:rsid w:val="003F42B7"/>
    <w:rsid w:val="003F4E44"/>
    <w:rsid w:val="003F6D44"/>
    <w:rsid w:val="003F6F42"/>
    <w:rsid w:val="003F77E2"/>
    <w:rsid w:val="003F7A6D"/>
    <w:rsid w:val="003F7C8F"/>
    <w:rsid w:val="003F7E14"/>
    <w:rsid w:val="003F7FE2"/>
    <w:rsid w:val="00400E47"/>
    <w:rsid w:val="004010FB"/>
    <w:rsid w:val="0040186E"/>
    <w:rsid w:val="00401BFF"/>
    <w:rsid w:val="004022CB"/>
    <w:rsid w:val="00402333"/>
    <w:rsid w:val="004027DF"/>
    <w:rsid w:val="00402FBD"/>
    <w:rsid w:val="00403FD9"/>
    <w:rsid w:val="004045BF"/>
    <w:rsid w:val="0040462E"/>
    <w:rsid w:val="0040560E"/>
    <w:rsid w:val="00405ACE"/>
    <w:rsid w:val="00405C84"/>
    <w:rsid w:val="00406BC0"/>
    <w:rsid w:val="0040704E"/>
    <w:rsid w:val="004070D2"/>
    <w:rsid w:val="00407BD2"/>
    <w:rsid w:val="004100CA"/>
    <w:rsid w:val="004103A3"/>
    <w:rsid w:val="004103D3"/>
    <w:rsid w:val="00410DAD"/>
    <w:rsid w:val="004114F4"/>
    <w:rsid w:val="00411967"/>
    <w:rsid w:val="00411AC0"/>
    <w:rsid w:val="00411F6E"/>
    <w:rsid w:val="00412039"/>
    <w:rsid w:val="00412C19"/>
    <w:rsid w:val="00412D16"/>
    <w:rsid w:val="0041332C"/>
    <w:rsid w:val="00413336"/>
    <w:rsid w:val="00413AA0"/>
    <w:rsid w:val="00414D9D"/>
    <w:rsid w:val="00415314"/>
    <w:rsid w:val="004159C6"/>
    <w:rsid w:val="00416EB7"/>
    <w:rsid w:val="004170A2"/>
    <w:rsid w:val="00417508"/>
    <w:rsid w:val="0041780B"/>
    <w:rsid w:val="0041791F"/>
    <w:rsid w:val="00417D3D"/>
    <w:rsid w:val="00420D99"/>
    <w:rsid w:val="00421B8D"/>
    <w:rsid w:val="004222E5"/>
    <w:rsid w:val="00423215"/>
    <w:rsid w:val="00423271"/>
    <w:rsid w:val="004238CA"/>
    <w:rsid w:val="00423955"/>
    <w:rsid w:val="00423E5A"/>
    <w:rsid w:val="0042414C"/>
    <w:rsid w:val="004241F8"/>
    <w:rsid w:val="004242EB"/>
    <w:rsid w:val="00424B22"/>
    <w:rsid w:val="004250FB"/>
    <w:rsid w:val="0042526B"/>
    <w:rsid w:val="00425EA1"/>
    <w:rsid w:val="004266EA"/>
    <w:rsid w:val="00426E2E"/>
    <w:rsid w:val="00427815"/>
    <w:rsid w:val="00427D58"/>
    <w:rsid w:val="004309F8"/>
    <w:rsid w:val="00430ACC"/>
    <w:rsid w:val="00430BD5"/>
    <w:rsid w:val="00430C73"/>
    <w:rsid w:val="00430C85"/>
    <w:rsid w:val="00431382"/>
    <w:rsid w:val="00431B47"/>
    <w:rsid w:val="00431C58"/>
    <w:rsid w:val="0043206D"/>
    <w:rsid w:val="004321EB"/>
    <w:rsid w:val="004324B2"/>
    <w:rsid w:val="0043278D"/>
    <w:rsid w:val="00433CD4"/>
    <w:rsid w:val="00433E2F"/>
    <w:rsid w:val="004348B0"/>
    <w:rsid w:val="004351E4"/>
    <w:rsid w:val="004353C9"/>
    <w:rsid w:val="004358DF"/>
    <w:rsid w:val="004363B3"/>
    <w:rsid w:val="00436960"/>
    <w:rsid w:val="00440C85"/>
    <w:rsid w:val="00441662"/>
    <w:rsid w:val="004418A2"/>
    <w:rsid w:val="00441DA0"/>
    <w:rsid w:val="0044201A"/>
    <w:rsid w:val="00442223"/>
    <w:rsid w:val="00442287"/>
    <w:rsid w:val="00443141"/>
    <w:rsid w:val="0044398B"/>
    <w:rsid w:val="0044455C"/>
    <w:rsid w:val="00444E0F"/>
    <w:rsid w:val="00446112"/>
    <w:rsid w:val="004466D5"/>
    <w:rsid w:val="00447573"/>
    <w:rsid w:val="004479AF"/>
    <w:rsid w:val="00447BED"/>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6671"/>
    <w:rsid w:val="004568CD"/>
    <w:rsid w:val="004569C0"/>
    <w:rsid w:val="004569E8"/>
    <w:rsid w:val="00456A7D"/>
    <w:rsid w:val="00457EF8"/>
    <w:rsid w:val="00460010"/>
    <w:rsid w:val="00460AB8"/>
    <w:rsid w:val="00460F0F"/>
    <w:rsid w:val="00461313"/>
    <w:rsid w:val="004619DF"/>
    <w:rsid w:val="00461C94"/>
    <w:rsid w:val="00462484"/>
    <w:rsid w:val="00462F1D"/>
    <w:rsid w:val="00463455"/>
    <w:rsid w:val="00463985"/>
    <w:rsid w:val="00463E1D"/>
    <w:rsid w:val="004641D4"/>
    <w:rsid w:val="00464228"/>
    <w:rsid w:val="004647D4"/>
    <w:rsid w:val="004648E8"/>
    <w:rsid w:val="00464AD0"/>
    <w:rsid w:val="0046526E"/>
    <w:rsid w:val="00466717"/>
    <w:rsid w:val="00466A32"/>
    <w:rsid w:val="00471118"/>
    <w:rsid w:val="004721BF"/>
    <w:rsid w:val="0047225D"/>
    <w:rsid w:val="004727B7"/>
    <w:rsid w:val="00472855"/>
    <w:rsid w:val="004734DE"/>
    <w:rsid w:val="00473E83"/>
    <w:rsid w:val="00473F79"/>
    <w:rsid w:val="0047407B"/>
    <w:rsid w:val="004755AD"/>
    <w:rsid w:val="00475BAB"/>
    <w:rsid w:val="00475D73"/>
    <w:rsid w:val="00476081"/>
    <w:rsid w:val="00477030"/>
    <w:rsid w:val="0048029A"/>
    <w:rsid w:val="00480922"/>
    <w:rsid w:val="004809B2"/>
    <w:rsid w:val="00481254"/>
    <w:rsid w:val="004817C5"/>
    <w:rsid w:val="00481AFD"/>
    <w:rsid w:val="00481D58"/>
    <w:rsid w:val="0048224C"/>
    <w:rsid w:val="00482D87"/>
    <w:rsid w:val="00482F96"/>
    <w:rsid w:val="00483F6B"/>
    <w:rsid w:val="00484187"/>
    <w:rsid w:val="00484832"/>
    <w:rsid w:val="00484EA2"/>
    <w:rsid w:val="004850FD"/>
    <w:rsid w:val="0048524B"/>
    <w:rsid w:val="00485444"/>
    <w:rsid w:val="00485551"/>
    <w:rsid w:val="0048621F"/>
    <w:rsid w:val="0048626F"/>
    <w:rsid w:val="004862EA"/>
    <w:rsid w:val="004866BF"/>
    <w:rsid w:val="00490127"/>
    <w:rsid w:val="0049099A"/>
    <w:rsid w:val="00491797"/>
    <w:rsid w:val="00491C6D"/>
    <w:rsid w:val="0049289E"/>
    <w:rsid w:val="00492D0A"/>
    <w:rsid w:val="00493BF7"/>
    <w:rsid w:val="00495A01"/>
    <w:rsid w:val="00495FA9"/>
    <w:rsid w:val="004A08BA"/>
    <w:rsid w:val="004A0F71"/>
    <w:rsid w:val="004A0F77"/>
    <w:rsid w:val="004A10D9"/>
    <w:rsid w:val="004A191C"/>
    <w:rsid w:val="004A1EB8"/>
    <w:rsid w:val="004A22EF"/>
    <w:rsid w:val="004A2320"/>
    <w:rsid w:val="004A3197"/>
    <w:rsid w:val="004A340C"/>
    <w:rsid w:val="004A3D75"/>
    <w:rsid w:val="004A3E9A"/>
    <w:rsid w:val="004A3F5A"/>
    <w:rsid w:val="004A4CC2"/>
    <w:rsid w:val="004A55E1"/>
    <w:rsid w:val="004A5ED7"/>
    <w:rsid w:val="004A686B"/>
    <w:rsid w:val="004A6F41"/>
    <w:rsid w:val="004A7D3D"/>
    <w:rsid w:val="004B0B89"/>
    <w:rsid w:val="004B0CFA"/>
    <w:rsid w:val="004B17D4"/>
    <w:rsid w:val="004B1959"/>
    <w:rsid w:val="004B1AC5"/>
    <w:rsid w:val="004B25A1"/>
    <w:rsid w:val="004B2632"/>
    <w:rsid w:val="004B2D41"/>
    <w:rsid w:val="004B2E0C"/>
    <w:rsid w:val="004B30E8"/>
    <w:rsid w:val="004B3410"/>
    <w:rsid w:val="004B36F0"/>
    <w:rsid w:val="004B370E"/>
    <w:rsid w:val="004B3746"/>
    <w:rsid w:val="004B3AC4"/>
    <w:rsid w:val="004B3DF6"/>
    <w:rsid w:val="004B3FFD"/>
    <w:rsid w:val="004B485E"/>
    <w:rsid w:val="004B578E"/>
    <w:rsid w:val="004B600D"/>
    <w:rsid w:val="004B65AA"/>
    <w:rsid w:val="004B738F"/>
    <w:rsid w:val="004B790C"/>
    <w:rsid w:val="004C0989"/>
    <w:rsid w:val="004C0F56"/>
    <w:rsid w:val="004C107A"/>
    <w:rsid w:val="004C18DD"/>
    <w:rsid w:val="004C1BEE"/>
    <w:rsid w:val="004C350F"/>
    <w:rsid w:val="004C44BA"/>
    <w:rsid w:val="004C4FF7"/>
    <w:rsid w:val="004C7589"/>
    <w:rsid w:val="004C78AA"/>
    <w:rsid w:val="004C7B6C"/>
    <w:rsid w:val="004D040F"/>
    <w:rsid w:val="004D06E1"/>
    <w:rsid w:val="004D1480"/>
    <w:rsid w:val="004D1857"/>
    <w:rsid w:val="004D2D86"/>
    <w:rsid w:val="004D306D"/>
    <w:rsid w:val="004D4F4D"/>
    <w:rsid w:val="004D5133"/>
    <w:rsid w:val="004D5350"/>
    <w:rsid w:val="004D5481"/>
    <w:rsid w:val="004D57F1"/>
    <w:rsid w:val="004D58BA"/>
    <w:rsid w:val="004D59B8"/>
    <w:rsid w:val="004D5B09"/>
    <w:rsid w:val="004D677B"/>
    <w:rsid w:val="004D6D36"/>
    <w:rsid w:val="004D7449"/>
    <w:rsid w:val="004D7A5B"/>
    <w:rsid w:val="004D7B02"/>
    <w:rsid w:val="004E06E5"/>
    <w:rsid w:val="004E0D61"/>
    <w:rsid w:val="004E16D3"/>
    <w:rsid w:val="004E17C5"/>
    <w:rsid w:val="004E22B1"/>
    <w:rsid w:val="004E2B55"/>
    <w:rsid w:val="004E2E37"/>
    <w:rsid w:val="004E39EA"/>
    <w:rsid w:val="004E4909"/>
    <w:rsid w:val="004E4AC6"/>
    <w:rsid w:val="004E4D90"/>
    <w:rsid w:val="004E59C1"/>
    <w:rsid w:val="004E6C22"/>
    <w:rsid w:val="004E6D7F"/>
    <w:rsid w:val="004E75B1"/>
    <w:rsid w:val="004E7B10"/>
    <w:rsid w:val="004E7B6D"/>
    <w:rsid w:val="004E7DFD"/>
    <w:rsid w:val="004F0A54"/>
    <w:rsid w:val="004F27DB"/>
    <w:rsid w:val="004F3018"/>
    <w:rsid w:val="004F396F"/>
    <w:rsid w:val="004F43F0"/>
    <w:rsid w:val="004F4DC5"/>
    <w:rsid w:val="004F501C"/>
    <w:rsid w:val="004F504F"/>
    <w:rsid w:val="004F5BC5"/>
    <w:rsid w:val="004F5D9E"/>
    <w:rsid w:val="004F5F74"/>
    <w:rsid w:val="004F6494"/>
    <w:rsid w:val="004F65F5"/>
    <w:rsid w:val="004F6F5D"/>
    <w:rsid w:val="004F76AB"/>
    <w:rsid w:val="004F77A6"/>
    <w:rsid w:val="004F7A98"/>
    <w:rsid w:val="005002AF"/>
    <w:rsid w:val="005006F1"/>
    <w:rsid w:val="00500C0E"/>
    <w:rsid w:val="00501DE7"/>
    <w:rsid w:val="005023C6"/>
    <w:rsid w:val="00502438"/>
    <w:rsid w:val="0050252F"/>
    <w:rsid w:val="0050266F"/>
    <w:rsid w:val="0050339C"/>
    <w:rsid w:val="0050342E"/>
    <w:rsid w:val="00503830"/>
    <w:rsid w:val="0050437D"/>
    <w:rsid w:val="00504AF2"/>
    <w:rsid w:val="00505509"/>
    <w:rsid w:val="00505A35"/>
    <w:rsid w:val="00505B41"/>
    <w:rsid w:val="00505C05"/>
    <w:rsid w:val="00506192"/>
    <w:rsid w:val="00506505"/>
    <w:rsid w:val="00506990"/>
    <w:rsid w:val="00507699"/>
    <w:rsid w:val="005078AE"/>
    <w:rsid w:val="00511E50"/>
    <w:rsid w:val="0051247A"/>
    <w:rsid w:val="00513526"/>
    <w:rsid w:val="00513E7B"/>
    <w:rsid w:val="00514271"/>
    <w:rsid w:val="005143A6"/>
    <w:rsid w:val="00514723"/>
    <w:rsid w:val="005148FA"/>
    <w:rsid w:val="005149BF"/>
    <w:rsid w:val="005149DA"/>
    <w:rsid w:val="0051537A"/>
    <w:rsid w:val="00515613"/>
    <w:rsid w:val="00515614"/>
    <w:rsid w:val="005160FB"/>
    <w:rsid w:val="0051645E"/>
    <w:rsid w:val="00516D7E"/>
    <w:rsid w:val="00517239"/>
    <w:rsid w:val="005205E9"/>
    <w:rsid w:val="00520D18"/>
    <w:rsid w:val="00520F01"/>
    <w:rsid w:val="0052112F"/>
    <w:rsid w:val="005211F9"/>
    <w:rsid w:val="005219FA"/>
    <w:rsid w:val="00522308"/>
    <w:rsid w:val="00522927"/>
    <w:rsid w:val="00522A1A"/>
    <w:rsid w:val="00522F19"/>
    <w:rsid w:val="005242EA"/>
    <w:rsid w:val="0052467D"/>
    <w:rsid w:val="0052521F"/>
    <w:rsid w:val="00525420"/>
    <w:rsid w:val="005254FC"/>
    <w:rsid w:val="00525680"/>
    <w:rsid w:val="00525BAD"/>
    <w:rsid w:val="00526732"/>
    <w:rsid w:val="00526791"/>
    <w:rsid w:val="005268C7"/>
    <w:rsid w:val="00526F07"/>
    <w:rsid w:val="00527979"/>
    <w:rsid w:val="00530DBE"/>
    <w:rsid w:val="00530F10"/>
    <w:rsid w:val="0053136C"/>
    <w:rsid w:val="005314EC"/>
    <w:rsid w:val="00531AD2"/>
    <w:rsid w:val="00532ACB"/>
    <w:rsid w:val="00533100"/>
    <w:rsid w:val="005358D0"/>
    <w:rsid w:val="00535BC2"/>
    <w:rsid w:val="005361E0"/>
    <w:rsid w:val="00536685"/>
    <w:rsid w:val="00536C19"/>
    <w:rsid w:val="00536D93"/>
    <w:rsid w:val="005371C5"/>
    <w:rsid w:val="0053759B"/>
    <w:rsid w:val="00537CE1"/>
    <w:rsid w:val="0054051E"/>
    <w:rsid w:val="00540602"/>
    <w:rsid w:val="00540D0D"/>
    <w:rsid w:val="00540EB5"/>
    <w:rsid w:val="00541403"/>
    <w:rsid w:val="005417EF"/>
    <w:rsid w:val="00541865"/>
    <w:rsid w:val="00541DDA"/>
    <w:rsid w:val="00541E4C"/>
    <w:rsid w:val="00542614"/>
    <w:rsid w:val="0054278C"/>
    <w:rsid w:val="00543714"/>
    <w:rsid w:val="00543A70"/>
    <w:rsid w:val="00543DB0"/>
    <w:rsid w:val="00543E6E"/>
    <w:rsid w:val="00545AE5"/>
    <w:rsid w:val="00546044"/>
    <w:rsid w:val="0054675F"/>
    <w:rsid w:val="00546BED"/>
    <w:rsid w:val="005479DC"/>
    <w:rsid w:val="00547AA9"/>
    <w:rsid w:val="00550349"/>
    <w:rsid w:val="005505D2"/>
    <w:rsid w:val="00550F28"/>
    <w:rsid w:val="00551023"/>
    <w:rsid w:val="00551581"/>
    <w:rsid w:val="00551B6D"/>
    <w:rsid w:val="00551BA6"/>
    <w:rsid w:val="005522D4"/>
    <w:rsid w:val="0055318E"/>
    <w:rsid w:val="005535DB"/>
    <w:rsid w:val="00553E19"/>
    <w:rsid w:val="00556466"/>
    <w:rsid w:val="0055742F"/>
    <w:rsid w:val="00557525"/>
    <w:rsid w:val="00560BCF"/>
    <w:rsid w:val="00561077"/>
    <w:rsid w:val="0056211A"/>
    <w:rsid w:val="00562DFD"/>
    <w:rsid w:val="00563C2C"/>
    <w:rsid w:val="0056440D"/>
    <w:rsid w:val="00564B1A"/>
    <w:rsid w:val="0056508F"/>
    <w:rsid w:val="00565874"/>
    <w:rsid w:val="00565F52"/>
    <w:rsid w:val="00566106"/>
    <w:rsid w:val="0056765E"/>
    <w:rsid w:val="00567660"/>
    <w:rsid w:val="005709C8"/>
    <w:rsid w:val="00570BA4"/>
    <w:rsid w:val="00570C98"/>
    <w:rsid w:val="00570E79"/>
    <w:rsid w:val="005711CF"/>
    <w:rsid w:val="0057148A"/>
    <w:rsid w:val="00571E23"/>
    <w:rsid w:val="00573049"/>
    <w:rsid w:val="00574365"/>
    <w:rsid w:val="0057498E"/>
    <w:rsid w:val="00574C64"/>
    <w:rsid w:val="00575361"/>
    <w:rsid w:val="00575374"/>
    <w:rsid w:val="00575C17"/>
    <w:rsid w:val="0057621D"/>
    <w:rsid w:val="0057650E"/>
    <w:rsid w:val="005767C2"/>
    <w:rsid w:val="005769E3"/>
    <w:rsid w:val="00576A80"/>
    <w:rsid w:val="00577C2C"/>
    <w:rsid w:val="005810C6"/>
    <w:rsid w:val="00581A28"/>
    <w:rsid w:val="00581BD5"/>
    <w:rsid w:val="00582530"/>
    <w:rsid w:val="005832E2"/>
    <w:rsid w:val="005846DD"/>
    <w:rsid w:val="00584DBB"/>
    <w:rsid w:val="0058565D"/>
    <w:rsid w:val="00586FF2"/>
    <w:rsid w:val="005870BF"/>
    <w:rsid w:val="005876E7"/>
    <w:rsid w:val="00587967"/>
    <w:rsid w:val="00587AB9"/>
    <w:rsid w:val="00587F9D"/>
    <w:rsid w:val="00590838"/>
    <w:rsid w:val="0059185D"/>
    <w:rsid w:val="00592397"/>
    <w:rsid w:val="00592DFA"/>
    <w:rsid w:val="00592F54"/>
    <w:rsid w:val="0059300E"/>
    <w:rsid w:val="00593557"/>
    <w:rsid w:val="0059384E"/>
    <w:rsid w:val="005947B7"/>
    <w:rsid w:val="005947FB"/>
    <w:rsid w:val="00594DD2"/>
    <w:rsid w:val="00595A19"/>
    <w:rsid w:val="00596B67"/>
    <w:rsid w:val="00596C40"/>
    <w:rsid w:val="00597D72"/>
    <w:rsid w:val="00597E0A"/>
    <w:rsid w:val="005A035D"/>
    <w:rsid w:val="005A13D1"/>
    <w:rsid w:val="005A25DF"/>
    <w:rsid w:val="005A2F3F"/>
    <w:rsid w:val="005A3478"/>
    <w:rsid w:val="005A3BE4"/>
    <w:rsid w:val="005A3C77"/>
    <w:rsid w:val="005A49A4"/>
    <w:rsid w:val="005A4DFE"/>
    <w:rsid w:val="005A53C9"/>
    <w:rsid w:val="005A63D2"/>
    <w:rsid w:val="005A6E17"/>
    <w:rsid w:val="005A6E90"/>
    <w:rsid w:val="005A789D"/>
    <w:rsid w:val="005B05AD"/>
    <w:rsid w:val="005B0724"/>
    <w:rsid w:val="005B0BA3"/>
    <w:rsid w:val="005B0DDC"/>
    <w:rsid w:val="005B160D"/>
    <w:rsid w:val="005B1A0E"/>
    <w:rsid w:val="005B1FC2"/>
    <w:rsid w:val="005B2045"/>
    <w:rsid w:val="005B23A1"/>
    <w:rsid w:val="005B36DB"/>
    <w:rsid w:val="005B384C"/>
    <w:rsid w:val="005B40A2"/>
    <w:rsid w:val="005B4385"/>
    <w:rsid w:val="005B4BF5"/>
    <w:rsid w:val="005B50CE"/>
    <w:rsid w:val="005B5205"/>
    <w:rsid w:val="005B59B8"/>
    <w:rsid w:val="005B643F"/>
    <w:rsid w:val="005B679F"/>
    <w:rsid w:val="005B6BA4"/>
    <w:rsid w:val="005C094C"/>
    <w:rsid w:val="005C16DA"/>
    <w:rsid w:val="005C1C2F"/>
    <w:rsid w:val="005C1FA4"/>
    <w:rsid w:val="005C22E2"/>
    <w:rsid w:val="005C255E"/>
    <w:rsid w:val="005C258C"/>
    <w:rsid w:val="005C2706"/>
    <w:rsid w:val="005C3752"/>
    <w:rsid w:val="005C4143"/>
    <w:rsid w:val="005C4C11"/>
    <w:rsid w:val="005C4C48"/>
    <w:rsid w:val="005C5022"/>
    <w:rsid w:val="005C5335"/>
    <w:rsid w:val="005C5B15"/>
    <w:rsid w:val="005C5D23"/>
    <w:rsid w:val="005C66EC"/>
    <w:rsid w:val="005C683C"/>
    <w:rsid w:val="005C7413"/>
    <w:rsid w:val="005D08D8"/>
    <w:rsid w:val="005D11AD"/>
    <w:rsid w:val="005D17CB"/>
    <w:rsid w:val="005D1F02"/>
    <w:rsid w:val="005D2BAF"/>
    <w:rsid w:val="005D2DEC"/>
    <w:rsid w:val="005D2ED9"/>
    <w:rsid w:val="005D2FCA"/>
    <w:rsid w:val="005D40FD"/>
    <w:rsid w:val="005D4E2E"/>
    <w:rsid w:val="005D7455"/>
    <w:rsid w:val="005D78E6"/>
    <w:rsid w:val="005D7B83"/>
    <w:rsid w:val="005E04F5"/>
    <w:rsid w:val="005E1C96"/>
    <w:rsid w:val="005E2D71"/>
    <w:rsid w:val="005E40F8"/>
    <w:rsid w:val="005E493D"/>
    <w:rsid w:val="005E4B83"/>
    <w:rsid w:val="005E5322"/>
    <w:rsid w:val="005E5AF1"/>
    <w:rsid w:val="005E64ED"/>
    <w:rsid w:val="005E7C7B"/>
    <w:rsid w:val="005F11A0"/>
    <w:rsid w:val="005F12BC"/>
    <w:rsid w:val="005F22F2"/>
    <w:rsid w:val="005F23D4"/>
    <w:rsid w:val="005F273A"/>
    <w:rsid w:val="005F2E09"/>
    <w:rsid w:val="005F40E4"/>
    <w:rsid w:val="005F4488"/>
    <w:rsid w:val="005F495D"/>
    <w:rsid w:val="005F533D"/>
    <w:rsid w:val="005F620A"/>
    <w:rsid w:val="005F6D27"/>
    <w:rsid w:val="005F7860"/>
    <w:rsid w:val="00600CCB"/>
    <w:rsid w:val="00600CE0"/>
    <w:rsid w:val="00602F24"/>
    <w:rsid w:val="006031AE"/>
    <w:rsid w:val="00603435"/>
    <w:rsid w:val="006036FC"/>
    <w:rsid w:val="006037E7"/>
    <w:rsid w:val="00603EAF"/>
    <w:rsid w:val="006041C9"/>
    <w:rsid w:val="00604314"/>
    <w:rsid w:val="00604C98"/>
    <w:rsid w:val="006068D4"/>
    <w:rsid w:val="006069B8"/>
    <w:rsid w:val="006073E3"/>
    <w:rsid w:val="006077B7"/>
    <w:rsid w:val="00607D99"/>
    <w:rsid w:val="0061029B"/>
    <w:rsid w:val="0061068C"/>
    <w:rsid w:val="006107A1"/>
    <w:rsid w:val="00610C23"/>
    <w:rsid w:val="0061196E"/>
    <w:rsid w:val="00611A57"/>
    <w:rsid w:val="0061358E"/>
    <w:rsid w:val="0061484B"/>
    <w:rsid w:val="00614BC2"/>
    <w:rsid w:val="00614C6D"/>
    <w:rsid w:val="0061549D"/>
    <w:rsid w:val="006154D3"/>
    <w:rsid w:val="006156CD"/>
    <w:rsid w:val="006161EB"/>
    <w:rsid w:val="00616471"/>
    <w:rsid w:val="006176AF"/>
    <w:rsid w:val="006178D9"/>
    <w:rsid w:val="00617D9F"/>
    <w:rsid w:val="00620E99"/>
    <w:rsid w:val="006219A6"/>
    <w:rsid w:val="00621C6D"/>
    <w:rsid w:val="006230CE"/>
    <w:rsid w:val="00623445"/>
    <w:rsid w:val="00623BD5"/>
    <w:rsid w:val="006251E1"/>
    <w:rsid w:val="00625719"/>
    <w:rsid w:val="00625999"/>
    <w:rsid w:val="00625A67"/>
    <w:rsid w:val="0062699F"/>
    <w:rsid w:val="00626BD4"/>
    <w:rsid w:val="00626EE0"/>
    <w:rsid w:val="006272C7"/>
    <w:rsid w:val="0062734A"/>
    <w:rsid w:val="006275F6"/>
    <w:rsid w:val="00630384"/>
    <w:rsid w:val="0063057B"/>
    <w:rsid w:val="006305C3"/>
    <w:rsid w:val="00631009"/>
    <w:rsid w:val="00631150"/>
    <w:rsid w:val="006312C9"/>
    <w:rsid w:val="00631727"/>
    <w:rsid w:val="00631D81"/>
    <w:rsid w:val="006325F0"/>
    <w:rsid w:val="006326B8"/>
    <w:rsid w:val="00632B01"/>
    <w:rsid w:val="0063309F"/>
    <w:rsid w:val="006337CA"/>
    <w:rsid w:val="00634D16"/>
    <w:rsid w:val="00635531"/>
    <w:rsid w:val="00635C80"/>
    <w:rsid w:val="00635E9A"/>
    <w:rsid w:val="00636CEF"/>
    <w:rsid w:val="0063794D"/>
    <w:rsid w:val="006379F3"/>
    <w:rsid w:val="00640CB4"/>
    <w:rsid w:val="00641C0E"/>
    <w:rsid w:val="00641D2D"/>
    <w:rsid w:val="00641E1B"/>
    <w:rsid w:val="006446CE"/>
    <w:rsid w:val="00644835"/>
    <w:rsid w:val="00644EDF"/>
    <w:rsid w:val="00645F5C"/>
    <w:rsid w:val="0064635C"/>
    <w:rsid w:val="00646806"/>
    <w:rsid w:val="00647C0D"/>
    <w:rsid w:val="006500D3"/>
    <w:rsid w:val="0065081B"/>
    <w:rsid w:val="006508C8"/>
    <w:rsid w:val="006517B7"/>
    <w:rsid w:val="00651916"/>
    <w:rsid w:val="00651CE1"/>
    <w:rsid w:val="00652B25"/>
    <w:rsid w:val="0065329F"/>
    <w:rsid w:val="006534F7"/>
    <w:rsid w:val="006535BA"/>
    <w:rsid w:val="00654FFC"/>
    <w:rsid w:val="00655BC9"/>
    <w:rsid w:val="00655DB5"/>
    <w:rsid w:val="00656019"/>
    <w:rsid w:val="00656079"/>
    <w:rsid w:val="00656C52"/>
    <w:rsid w:val="0066145D"/>
    <w:rsid w:val="006625DB"/>
    <w:rsid w:val="0066288E"/>
    <w:rsid w:val="00662ADA"/>
    <w:rsid w:val="00662BB2"/>
    <w:rsid w:val="00664126"/>
    <w:rsid w:val="00664145"/>
    <w:rsid w:val="00664287"/>
    <w:rsid w:val="00665307"/>
    <w:rsid w:val="006654CF"/>
    <w:rsid w:val="00665814"/>
    <w:rsid w:val="00665E78"/>
    <w:rsid w:val="006660F3"/>
    <w:rsid w:val="00666742"/>
    <w:rsid w:val="0066683E"/>
    <w:rsid w:val="006669A9"/>
    <w:rsid w:val="0066723D"/>
    <w:rsid w:val="006702E9"/>
    <w:rsid w:val="0067033B"/>
    <w:rsid w:val="00670450"/>
    <w:rsid w:val="00670471"/>
    <w:rsid w:val="0067065B"/>
    <w:rsid w:val="006706F6"/>
    <w:rsid w:val="00670B66"/>
    <w:rsid w:val="00670E57"/>
    <w:rsid w:val="00671CEA"/>
    <w:rsid w:val="006723F4"/>
    <w:rsid w:val="0067364E"/>
    <w:rsid w:val="00673B0B"/>
    <w:rsid w:val="00673B57"/>
    <w:rsid w:val="00673FA0"/>
    <w:rsid w:val="006745D2"/>
    <w:rsid w:val="00674622"/>
    <w:rsid w:val="00675528"/>
    <w:rsid w:val="0067582B"/>
    <w:rsid w:val="00675E20"/>
    <w:rsid w:val="00676210"/>
    <w:rsid w:val="006768F1"/>
    <w:rsid w:val="006775EC"/>
    <w:rsid w:val="00677B80"/>
    <w:rsid w:val="006801E4"/>
    <w:rsid w:val="0068122C"/>
    <w:rsid w:val="00681607"/>
    <w:rsid w:val="00681DFA"/>
    <w:rsid w:val="00682ECE"/>
    <w:rsid w:val="00683509"/>
    <w:rsid w:val="00683E1D"/>
    <w:rsid w:val="00683EC1"/>
    <w:rsid w:val="0068431A"/>
    <w:rsid w:val="00684500"/>
    <w:rsid w:val="00684686"/>
    <w:rsid w:val="00685066"/>
    <w:rsid w:val="006850FE"/>
    <w:rsid w:val="0068574C"/>
    <w:rsid w:val="0068692D"/>
    <w:rsid w:val="00686BAE"/>
    <w:rsid w:val="006870D4"/>
    <w:rsid w:val="00687ED1"/>
    <w:rsid w:val="00690303"/>
    <w:rsid w:val="00690385"/>
    <w:rsid w:val="00690CDA"/>
    <w:rsid w:val="00690F6C"/>
    <w:rsid w:val="00692378"/>
    <w:rsid w:val="0069386F"/>
    <w:rsid w:val="00693DE1"/>
    <w:rsid w:val="00693FEA"/>
    <w:rsid w:val="00694A3B"/>
    <w:rsid w:val="00694CAF"/>
    <w:rsid w:val="00695003"/>
    <w:rsid w:val="0069513F"/>
    <w:rsid w:val="006955A8"/>
    <w:rsid w:val="006956AE"/>
    <w:rsid w:val="00695953"/>
    <w:rsid w:val="00695B5B"/>
    <w:rsid w:val="0069677D"/>
    <w:rsid w:val="00696A7D"/>
    <w:rsid w:val="00696C22"/>
    <w:rsid w:val="0069754F"/>
    <w:rsid w:val="00697579"/>
    <w:rsid w:val="00697DB8"/>
    <w:rsid w:val="006A097F"/>
    <w:rsid w:val="006A14E6"/>
    <w:rsid w:val="006A206C"/>
    <w:rsid w:val="006A2391"/>
    <w:rsid w:val="006A2C3D"/>
    <w:rsid w:val="006A2F28"/>
    <w:rsid w:val="006A31C8"/>
    <w:rsid w:val="006A333A"/>
    <w:rsid w:val="006A37E6"/>
    <w:rsid w:val="006A3920"/>
    <w:rsid w:val="006A4575"/>
    <w:rsid w:val="006A4A6B"/>
    <w:rsid w:val="006A5EEE"/>
    <w:rsid w:val="006A6C49"/>
    <w:rsid w:val="006A6C9F"/>
    <w:rsid w:val="006A6E03"/>
    <w:rsid w:val="006A7076"/>
    <w:rsid w:val="006A70DE"/>
    <w:rsid w:val="006B015C"/>
    <w:rsid w:val="006B0A47"/>
    <w:rsid w:val="006B1BD4"/>
    <w:rsid w:val="006B2265"/>
    <w:rsid w:val="006B2347"/>
    <w:rsid w:val="006B267F"/>
    <w:rsid w:val="006B2916"/>
    <w:rsid w:val="006B3F9C"/>
    <w:rsid w:val="006B409D"/>
    <w:rsid w:val="006B4159"/>
    <w:rsid w:val="006B4CC2"/>
    <w:rsid w:val="006B5DB6"/>
    <w:rsid w:val="006B5F78"/>
    <w:rsid w:val="006B602B"/>
    <w:rsid w:val="006B67FB"/>
    <w:rsid w:val="006B6B5E"/>
    <w:rsid w:val="006B7D2F"/>
    <w:rsid w:val="006C03EF"/>
    <w:rsid w:val="006C10F6"/>
    <w:rsid w:val="006C11A4"/>
    <w:rsid w:val="006C28F2"/>
    <w:rsid w:val="006C32B8"/>
    <w:rsid w:val="006C33A1"/>
    <w:rsid w:val="006C3B27"/>
    <w:rsid w:val="006C3BF5"/>
    <w:rsid w:val="006C45A4"/>
    <w:rsid w:val="006C5401"/>
    <w:rsid w:val="006C57CE"/>
    <w:rsid w:val="006C584B"/>
    <w:rsid w:val="006C5AA0"/>
    <w:rsid w:val="006C6BA2"/>
    <w:rsid w:val="006C7FDA"/>
    <w:rsid w:val="006D04C5"/>
    <w:rsid w:val="006D123D"/>
    <w:rsid w:val="006D228F"/>
    <w:rsid w:val="006D2735"/>
    <w:rsid w:val="006D29EE"/>
    <w:rsid w:val="006D38BC"/>
    <w:rsid w:val="006D3BF3"/>
    <w:rsid w:val="006D3D9A"/>
    <w:rsid w:val="006D3FEC"/>
    <w:rsid w:val="006D551E"/>
    <w:rsid w:val="006D5EBB"/>
    <w:rsid w:val="006D661E"/>
    <w:rsid w:val="006D714E"/>
    <w:rsid w:val="006D755A"/>
    <w:rsid w:val="006D7F71"/>
    <w:rsid w:val="006E0078"/>
    <w:rsid w:val="006E01FA"/>
    <w:rsid w:val="006E0273"/>
    <w:rsid w:val="006E06A3"/>
    <w:rsid w:val="006E074C"/>
    <w:rsid w:val="006E0D77"/>
    <w:rsid w:val="006E10E9"/>
    <w:rsid w:val="006E1DEB"/>
    <w:rsid w:val="006E2BC0"/>
    <w:rsid w:val="006E2F02"/>
    <w:rsid w:val="006E36BA"/>
    <w:rsid w:val="006E388D"/>
    <w:rsid w:val="006E3B57"/>
    <w:rsid w:val="006E3E2F"/>
    <w:rsid w:val="006E4618"/>
    <w:rsid w:val="006E49A7"/>
    <w:rsid w:val="006E4AC9"/>
    <w:rsid w:val="006E655E"/>
    <w:rsid w:val="006E6D93"/>
    <w:rsid w:val="006E6DB0"/>
    <w:rsid w:val="006E71B8"/>
    <w:rsid w:val="006E7396"/>
    <w:rsid w:val="006E780A"/>
    <w:rsid w:val="006E7B8A"/>
    <w:rsid w:val="006F0353"/>
    <w:rsid w:val="006F15A1"/>
    <w:rsid w:val="006F17B8"/>
    <w:rsid w:val="006F1FF7"/>
    <w:rsid w:val="006F23E0"/>
    <w:rsid w:val="006F37BD"/>
    <w:rsid w:val="006F496B"/>
    <w:rsid w:val="006F52B6"/>
    <w:rsid w:val="006F5827"/>
    <w:rsid w:val="006F590C"/>
    <w:rsid w:val="006F6753"/>
    <w:rsid w:val="006F7369"/>
    <w:rsid w:val="006F7382"/>
    <w:rsid w:val="006F7533"/>
    <w:rsid w:val="007006F9"/>
    <w:rsid w:val="00701EC1"/>
    <w:rsid w:val="007025EA"/>
    <w:rsid w:val="007031FC"/>
    <w:rsid w:val="007038AC"/>
    <w:rsid w:val="00704BA8"/>
    <w:rsid w:val="007063DE"/>
    <w:rsid w:val="007069B3"/>
    <w:rsid w:val="00706E8F"/>
    <w:rsid w:val="00707132"/>
    <w:rsid w:val="00707246"/>
    <w:rsid w:val="007073F9"/>
    <w:rsid w:val="00707E06"/>
    <w:rsid w:val="00710F6D"/>
    <w:rsid w:val="007119AA"/>
    <w:rsid w:val="00711C35"/>
    <w:rsid w:val="00711E49"/>
    <w:rsid w:val="007122CF"/>
    <w:rsid w:val="00712D35"/>
    <w:rsid w:val="00713670"/>
    <w:rsid w:val="0071377D"/>
    <w:rsid w:val="00713A29"/>
    <w:rsid w:val="00713A9E"/>
    <w:rsid w:val="00713B64"/>
    <w:rsid w:val="00714383"/>
    <w:rsid w:val="007147C3"/>
    <w:rsid w:val="0071506D"/>
    <w:rsid w:val="007154AA"/>
    <w:rsid w:val="00716728"/>
    <w:rsid w:val="00716E0D"/>
    <w:rsid w:val="007175D6"/>
    <w:rsid w:val="00720F31"/>
    <w:rsid w:val="0072143E"/>
    <w:rsid w:val="00721DC0"/>
    <w:rsid w:val="00721DC5"/>
    <w:rsid w:val="007224C7"/>
    <w:rsid w:val="007228FA"/>
    <w:rsid w:val="00723462"/>
    <w:rsid w:val="007239FA"/>
    <w:rsid w:val="00723B1A"/>
    <w:rsid w:val="00724677"/>
    <w:rsid w:val="00725564"/>
    <w:rsid w:val="00725668"/>
    <w:rsid w:val="00725915"/>
    <w:rsid w:val="00725A97"/>
    <w:rsid w:val="00725C25"/>
    <w:rsid w:val="00726BCF"/>
    <w:rsid w:val="00727F69"/>
    <w:rsid w:val="00730CD2"/>
    <w:rsid w:val="00731938"/>
    <w:rsid w:val="007329AE"/>
    <w:rsid w:val="00732C5E"/>
    <w:rsid w:val="00732DF0"/>
    <w:rsid w:val="007335FC"/>
    <w:rsid w:val="0073369E"/>
    <w:rsid w:val="0073607C"/>
    <w:rsid w:val="00737312"/>
    <w:rsid w:val="00740273"/>
    <w:rsid w:val="007408A6"/>
    <w:rsid w:val="00741881"/>
    <w:rsid w:val="00741BC6"/>
    <w:rsid w:val="00742739"/>
    <w:rsid w:val="007427F9"/>
    <w:rsid w:val="00742CE4"/>
    <w:rsid w:val="00743C9F"/>
    <w:rsid w:val="0074407B"/>
    <w:rsid w:val="007446EA"/>
    <w:rsid w:val="007447E0"/>
    <w:rsid w:val="0074518A"/>
    <w:rsid w:val="007453D2"/>
    <w:rsid w:val="00745722"/>
    <w:rsid w:val="00746253"/>
    <w:rsid w:val="00746878"/>
    <w:rsid w:val="00747260"/>
    <w:rsid w:val="007477B6"/>
    <w:rsid w:val="0074789E"/>
    <w:rsid w:val="0075025D"/>
    <w:rsid w:val="00750326"/>
    <w:rsid w:val="007506E0"/>
    <w:rsid w:val="00750828"/>
    <w:rsid w:val="00751422"/>
    <w:rsid w:val="00751473"/>
    <w:rsid w:val="00752078"/>
    <w:rsid w:val="00752123"/>
    <w:rsid w:val="00752CBD"/>
    <w:rsid w:val="00753F3D"/>
    <w:rsid w:val="0075425C"/>
    <w:rsid w:val="00754718"/>
    <w:rsid w:val="0075497D"/>
    <w:rsid w:val="00754B3D"/>
    <w:rsid w:val="00754C1D"/>
    <w:rsid w:val="00755B83"/>
    <w:rsid w:val="00755E6B"/>
    <w:rsid w:val="0075625A"/>
    <w:rsid w:val="00756F6B"/>
    <w:rsid w:val="007578DF"/>
    <w:rsid w:val="00760CA8"/>
    <w:rsid w:val="0076132E"/>
    <w:rsid w:val="007616BD"/>
    <w:rsid w:val="00761B78"/>
    <w:rsid w:val="007620EA"/>
    <w:rsid w:val="00762CAA"/>
    <w:rsid w:val="0076347D"/>
    <w:rsid w:val="0076356C"/>
    <w:rsid w:val="00763C26"/>
    <w:rsid w:val="00763CEB"/>
    <w:rsid w:val="00764107"/>
    <w:rsid w:val="0076526F"/>
    <w:rsid w:val="0076632F"/>
    <w:rsid w:val="007669C7"/>
    <w:rsid w:val="00767025"/>
    <w:rsid w:val="00770574"/>
    <w:rsid w:val="00770585"/>
    <w:rsid w:val="00770D3E"/>
    <w:rsid w:val="00771105"/>
    <w:rsid w:val="00771924"/>
    <w:rsid w:val="00772A49"/>
    <w:rsid w:val="00772A62"/>
    <w:rsid w:val="007732BB"/>
    <w:rsid w:val="007733CA"/>
    <w:rsid w:val="00773CF7"/>
    <w:rsid w:val="00773DAF"/>
    <w:rsid w:val="00774219"/>
    <w:rsid w:val="00774896"/>
    <w:rsid w:val="00775863"/>
    <w:rsid w:val="00775BDE"/>
    <w:rsid w:val="00775FD4"/>
    <w:rsid w:val="007763A7"/>
    <w:rsid w:val="00776A08"/>
    <w:rsid w:val="0077721E"/>
    <w:rsid w:val="0077728C"/>
    <w:rsid w:val="00777687"/>
    <w:rsid w:val="00777922"/>
    <w:rsid w:val="00777F52"/>
    <w:rsid w:val="0078017E"/>
    <w:rsid w:val="00780C66"/>
    <w:rsid w:val="00780DEA"/>
    <w:rsid w:val="0078118B"/>
    <w:rsid w:val="00781340"/>
    <w:rsid w:val="00781453"/>
    <w:rsid w:val="0078154A"/>
    <w:rsid w:val="00781F79"/>
    <w:rsid w:val="0078265C"/>
    <w:rsid w:val="007826D2"/>
    <w:rsid w:val="00782EA8"/>
    <w:rsid w:val="00784A1B"/>
    <w:rsid w:val="00784A9B"/>
    <w:rsid w:val="00784B49"/>
    <w:rsid w:val="007852CF"/>
    <w:rsid w:val="007856B6"/>
    <w:rsid w:val="007858F7"/>
    <w:rsid w:val="0078621F"/>
    <w:rsid w:val="00786419"/>
    <w:rsid w:val="0078717D"/>
    <w:rsid w:val="00787D0C"/>
    <w:rsid w:val="00790152"/>
    <w:rsid w:val="00790BEA"/>
    <w:rsid w:val="007916B1"/>
    <w:rsid w:val="00791DF6"/>
    <w:rsid w:val="0079273D"/>
    <w:rsid w:val="00793477"/>
    <w:rsid w:val="007965F9"/>
    <w:rsid w:val="007974A1"/>
    <w:rsid w:val="007977E1"/>
    <w:rsid w:val="00797DB4"/>
    <w:rsid w:val="007A0E60"/>
    <w:rsid w:val="007A1E9E"/>
    <w:rsid w:val="007A21B9"/>
    <w:rsid w:val="007A2C93"/>
    <w:rsid w:val="007A3CC0"/>
    <w:rsid w:val="007A4E9F"/>
    <w:rsid w:val="007A50F7"/>
    <w:rsid w:val="007A5D96"/>
    <w:rsid w:val="007A617F"/>
    <w:rsid w:val="007A6589"/>
    <w:rsid w:val="007A7A08"/>
    <w:rsid w:val="007A7E85"/>
    <w:rsid w:val="007B0B45"/>
    <w:rsid w:val="007B2A2B"/>
    <w:rsid w:val="007B2B08"/>
    <w:rsid w:val="007B2DC4"/>
    <w:rsid w:val="007B30B6"/>
    <w:rsid w:val="007B346D"/>
    <w:rsid w:val="007B61EC"/>
    <w:rsid w:val="007B6307"/>
    <w:rsid w:val="007B79FA"/>
    <w:rsid w:val="007B7B7E"/>
    <w:rsid w:val="007B7D18"/>
    <w:rsid w:val="007C0142"/>
    <w:rsid w:val="007C0261"/>
    <w:rsid w:val="007C062B"/>
    <w:rsid w:val="007C12C9"/>
    <w:rsid w:val="007C1382"/>
    <w:rsid w:val="007C1B75"/>
    <w:rsid w:val="007C1CDA"/>
    <w:rsid w:val="007C270F"/>
    <w:rsid w:val="007C27E1"/>
    <w:rsid w:val="007C2974"/>
    <w:rsid w:val="007C3450"/>
    <w:rsid w:val="007C3862"/>
    <w:rsid w:val="007C4107"/>
    <w:rsid w:val="007C45E4"/>
    <w:rsid w:val="007C5585"/>
    <w:rsid w:val="007C66DC"/>
    <w:rsid w:val="007C6FA9"/>
    <w:rsid w:val="007C7710"/>
    <w:rsid w:val="007C7D45"/>
    <w:rsid w:val="007D0328"/>
    <w:rsid w:val="007D032B"/>
    <w:rsid w:val="007D06A1"/>
    <w:rsid w:val="007D0C48"/>
    <w:rsid w:val="007D11EC"/>
    <w:rsid w:val="007D2251"/>
    <w:rsid w:val="007D2674"/>
    <w:rsid w:val="007D3168"/>
    <w:rsid w:val="007D32F2"/>
    <w:rsid w:val="007D36F6"/>
    <w:rsid w:val="007D3BF9"/>
    <w:rsid w:val="007D3F44"/>
    <w:rsid w:val="007D42DB"/>
    <w:rsid w:val="007D55F4"/>
    <w:rsid w:val="007D5FAA"/>
    <w:rsid w:val="007D7203"/>
    <w:rsid w:val="007D7B82"/>
    <w:rsid w:val="007D7DE5"/>
    <w:rsid w:val="007E05DA"/>
    <w:rsid w:val="007E0D7E"/>
    <w:rsid w:val="007E1955"/>
    <w:rsid w:val="007E2011"/>
    <w:rsid w:val="007E205F"/>
    <w:rsid w:val="007E2237"/>
    <w:rsid w:val="007E291F"/>
    <w:rsid w:val="007E2D8D"/>
    <w:rsid w:val="007E3563"/>
    <w:rsid w:val="007E4C9A"/>
    <w:rsid w:val="007E4E33"/>
    <w:rsid w:val="007E51F7"/>
    <w:rsid w:val="007E6ABD"/>
    <w:rsid w:val="007E7137"/>
    <w:rsid w:val="007E7976"/>
    <w:rsid w:val="007F01A7"/>
    <w:rsid w:val="007F0232"/>
    <w:rsid w:val="007F096C"/>
    <w:rsid w:val="007F1554"/>
    <w:rsid w:val="007F17AD"/>
    <w:rsid w:val="007F1822"/>
    <w:rsid w:val="007F182D"/>
    <w:rsid w:val="007F35FA"/>
    <w:rsid w:val="007F446E"/>
    <w:rsid w:val="007F5142"/>
    <w:rsid w:val="007F609A"/>
    <w:rsid w:val="007F64FB"/>
    <w:rsid w:val="007F6F3B"/>
    <w:rsid w:val="007F72FA"/>
    <w:rsid w:val="007F7C69"/>
    <w:rsid w:val="0080002E"/>
    <w:rsid w:val="00800809"/>
    <w:rsid w:val="008009DB"/>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7A"/>
    <w:rsid w:val="00812328"/>
    <w:rsid w:val="008134EC"/>
    <w:rsid w:val="00813740"/>
    <w:rsid w:val="008149DD"/>
    <w:rsid w:val="00815058"/>
    <w:rsid w:val="00815084"/>
    <w:rsid w:val="0081564B"/>
    <w:rsid w:val="00815E99"/>
    <w:rsid w:val="00816CA4"/>
    <w:rsid w:val="00816D23"/>
    <w:rsid w:val="00820522"/>
    <w:rsid w:val="00820AB4"/>
    <w:rsid w:val="00824D28"/>
    <w:rsid w:val="0082547B"/>
    <w:rsid w:val="00826AB1"/>
    <w:rsid w:val="00826B07"/>
    <w:rsid w:val="00827054"/>
    <w:rsid w:val="008276B8"/>
    <w:rsid w:val="00827757"/>
    <w:rsid w:val="0083008B"/>
    <w:rsid w:val="0083084D"/>
    <w:rsid w:val="00831DFD"/>
    <w:rsid w:val="00832AB7"/>
    <w:rsid w:val="0083347A"/>
    <w:rsid w:val="00833663"/>
    <w:rsid w:val="0083436C"/>
    <w:rsid w:val="0083459E"/>
    <w:rsid w:val="00834D11"/>
    <w:rsid w:val="00835358"/>
    <w:rsid w:val="0083535F"/>
    <w:rsid w:val="008357E3"/>
    <w:rsid w:val="00835940"/>
    <w:rsid w:val="00835E13"/>
    <w:rsid w:val="008364F8"/>
    <w:rsid w:val="008373F9"/>
    <w:rsid w:val="00840581"/>
    <w:rsid w:val="00840DA2"/>
    <w:rsid w:val="008411C3"/>
    <w:rsid w:val="00842543"/>
    <w:rsid w:val="00842A5B"/>
    <w:rsid w:val="0084301F"/>
    <w:rsid w:val="00844402"/>
    <w:rsid w:val="00844726"/>
    <w:rsid w:val="00844A2A"/>
    <w:rsid w:val="00844E35"/>
    <w:rsid w:val="008456D8"/>
    <w:rsid w:val="00846468"/>
    <w:rsid w:val="008467DE"/>
    <w:rsid w:val="00846FFE"/>
    <w:rsid w:val="00847337"/>
    <w:rsid w:val="00847486"/>
    <w:rsid w:val="008476FC"/>
    <w:rsid w:val="00847B7C"/>
    <w:rsid w:val="008503B1"/>
    <w:rsid w:val="00850537"/>
    <w:rsid w:val="008507FB"/>
    <w:rsid w:val="00850AE4"/>
    <w:rsid w:val="00850C95"/>
    <w:rsid w:val="008516EC"/>
    <w:rsid w:val="008519FB"/>
    <w:rsid w:val="00851C17"/>
    <w:rsid w:val="00851C57"/>
    <w:rsid w:val="00851D0C"/>
    <w:rsid w:val="008522B3"/>
    <w:rsid w:val="008526C2"/>
    <w:rsid w:val="00852B6C"/>
    <w:rsid w:val="0085425D"/>
    <w:rsid w:val="00854562"/>
    <w:rsid w:val="00854E95"/>
    <w:rsid w:val="00856776"/>
    <w:rsid w:val="00856D04"/>
    <w:rsid w:val="00857599"/>
    <w:rsid w:val="00857C31"/>
    <w:rsid w:val="00860647"/>
    <w:rsid w:val="00860E1E"/>
    <w:rsid w:val="008618F1"/>
    <w:rsid w:val="00863500"/>
    <w:rsid w:val="008636B2"/>
    <w:rsid w:val="008641E4"/>
    <w:rsid w:val="00864307"/>
    <w:rsid w:val="008643B1"/>
    <w:rsid w:val="00864832"/>
    <w:rsid w:val="00864CF1"/>
    <w:rsid w:val="00864E24"/>
    <w:rsid w:val="00865C92"/>
    <w:rsid w:val="00865E25"/>
    <w:rsid w:val="00866DA3"/>
    <w:rsid w:val="008675C3"/>
    <w:rsid w:val="00870A44"/>
    <w:rsid w:val="008715D9"/>
    <w:rsid w:val="00871BCB"/>
    <w:rsid w:val="0087324C"/>
    <w:rsid w:val="00873502"/>
    <w:rsid w:val="00873E4B"/>
    <w:rsid w:val="00874399"/>
    <w:rsid w:val="008748A9"/>
    <w:rsid w:val="0087494A"/>
    <w:rsid w:val="00874D06"/>
    <w:rsid w:val="00874FBB"/>
    <w:rsid w:val="008758B7"/>
    <w:rsid w:val="008764E9"/>
    <w:rsid w:val="008769E2"/>
    <w:rsid w:val="00876D63"/>
    <w:rsid w:val="00876F36"/>
    <w:rsid w:val="00877037"/>
    <w:rsid w:val="00877BF8"/>
    <w:rsid w:val="00880838"/>
    <w:rsid w:val="00880EFC"/>
    <w:rsid w:val="008810C2"/>
    <w:rsid w:val="0088153A"/>
    <w:rsid w:val="00881888"/>
    <w:rsid w:val="00881F67"/>
    <w:rsid w:val="008820E2"/>
    <w:rsid w:val="00882D50"/>
    <w:rsid w:val="008835CE"/>
    <w:rsid w:val="00883815"/>
    <w:rsid w:val="00884AD3"/>
    <w:rsid w:val="00885318"/>
    <w:rsid w:val="008858D5"/>
    <w:rsid w:val="00885DB3"/>
    <w:rsid w:val="0088775A"/>
    <w:rsid w:val="008879A2"/>
    <w:rsid w:val="00887A9A"/>
    <w:rsid w:val="0089066D"/>
    <w:rsid w:val="00890A45"/>
    <w:rsid w:val="00890E1E"/>
    <w:rsid w:val="0089116D"/>
    <w:rsid w:val="008915B0"/>
    <w:rsid w:val="00892226"/>
    <w:rsid w:val="00892BBE"/>
    <w:rsid w:val="00893F98"/>
    <w:rsid w:val="008940A1"/>
    <w:rsid w:val="00894DA4"/>
    <w:rsid w:val="00895080"/>
    <w:rsid w:val="008956F1"/>
    <w:rsid w:val="00896023"/>
    <w:rsid w:val="00896243"/>
    <w:rsid w:val="00896560"/>
    <w:rsid w:val="00896868"/>
    <w:rsid w:val="008979A0"/>
    <w:rsid w:val="008A0685"/>
    <w:rsid w:val="008A10C9"/>
    <w:rsid w:val="008A13D6"/>
    <w:rsid w:val="008A23CE"/>
    <w:rsid w:val="008A348E"/>
    <w:rsid w:val="008A3DD6"/>
    <w:rsid w:val="008A5107"/>
    <w:rsid w:val="008A5214"/>
    <w:rsid w:val="008A5A05"/>
    <w:rsid w:val="008A5A9C"/>
    <w:rsid w:val="008A63B2"/>
    <w:rsid w:val="008A666E"/>
    <w:rsid w:val="008A78E5"/>
    <w:rsid w:val="008A7B72"/>
    <w:rsid w:val="008B0E17"/>
    <w:rsid w:val="008B0E84"/>
    <w:rsid w:val="008B1107"/>
    <w:rsid w:val="008B1892"/>
    <w:rsid w:val="008B29C3"/>
    <w:rsid w:val="008B2B3C"/>
    <w:rsid w:val="008B2B85"/>
    <w:rsid w:val="008B2D7E"/>
    <w:rsid w:val="008B3719"/>
    <w:rsid w:val="008B3842"/>
    <w:rsid w:val="008B399F"/>
    <w:rsid w:val="008B39B2"/>
    <w:rsid w:val="008B3AD2"/>
    <w:rsid w:val="008B3D6C"/>
    <w:rsid w:val="008B4206"/>
    <w:rsid w:val="008B4659"/>
    <w:rsid w:val="008B4722"/>
    <w:rsid w:val="008B535D"/>
    <w:rsid w:val="008B58F4"/>
    <w:rsid w:val="008B5A9A"/>
    <w:rsid w:val="008B5EBD"/>
    <w:rsid w:val="008B77BD"/>
    <w:rsid w:val="008B7F07"/>
    <w:rsid w:val="008C03B1"/>
    <w:rsid w:val="008C0655"/>
    <w:rsid w:val="008C1FE0"/>
    <w:rsid w:val="008C255A"/>
    <w:rsid w:val="008C292B"/>
    <w:rsid w:val="008C3644"/>
    <w:rsid w:val="008C3929"/>
    <w:rsid w:val="008C3F89"/>
    <w:rsid w:val="008C586D"/>
    <w:rsid w:val="008C5CA0"/>
    <w:rsid w:val="008C605D"/>
    <w:rsid w:val="008C7104"/>
    <w:rsid w:val="008D0A71"/>
    <w:rsid w:val="008D0C0E"/>
    <w:rsid w:val="008D144C"/>
    <w:rsid w:val="008D16E9"/>
    <w:rsid w:val="008D2204"/>
    <w:rsid w:val="008D35AC"/>
    <w:rsid w:val="008D38BD"/>
    <w:rsid w:val="008D3EB0"/>
    <w:rsid w:val="008D48AF"/>
    <w:rsid w:val="008D5D9A"/>
    <w:rsid w:val="008D7ADD"/>
    <w:rsid w:val="008E0B4C"/>
    <w:rsid w:val="008E158D"/>
    <w:rsid w:val="008E174F"/>
    <w:rsid w:val="008E19EC"/>
    <w:rsid w:val="008E1A86"/>
    <w:rsid w:val="008E2418"/>
    <w:rsid w:val="008E2757"/>
    <w:rsid w:val="008E2FDE"/>
    <w:rsid w:val="008E31F7"/>
    <w:rsid w:val="008E3834"/>
    <w:rsid w:val="008E38EC"/>
    <w:rsid w:val="008E3AD9"/>
    <w:rsid w:val="008E3C1B"/>
    <w:rsid w:val="008E4E54"/>
    <w:rsid w:val="008E5353"/>
    <w:rsid w:val="008E564C"/>
    <w:rsid w:val="008E57D9"/>
    <w:rsid w:val="008E5835"/>
    <w:rsid w:val="008E5B43"/>
    <w:rsid w:val="008E78FE"/>
    <w:rsid w:val="008E7D22"/>
    <w:rsid w:val="008E7F48"/>
    <w:rsid w:val="008E7FC1"/>
    <w:rsid w:val="008F071D"/>
    <w:rsid w:val="008F08EB"/>
    <w:rsid w:val="008F0AA3"/>
    <w:rsid w:val="008F1106"/>
    <w:rsid w:val="008F13D3"/>
    <w:rsid w:val="008F143D"/>
    <w:rsid w:val="008F1C3F"/>
    <w:rsid w:val="008F265A"/>
    <w:rsid w:val="008F3336"/>
    <w:rsid w:val="008F460C"/>
    <w:rsid w:val="008F4E11"/>
    <w:rsid w:val="008F5566"/>
    <w:rsid w:val="008F618B"/>
    <w:rsid w:val="008F627C"/>
    <w:rsid w:val="008F64FF"/>
    <w:rsid w:val="008F68BA"/>
    <w:rsid w:val="008F6AE1"/>
    <w:rsid w:val="008F6B0B"/>
    <w:rsid w:val="008F79D2"/>
    <w:rsid w:val="008F7B9B"/>
    <w:rsid w:val="008F7DC1"/>
    <w:rsid w:val="00900619"/>
    <w:rsid w:val="009006A5"/>
    <w:rsid w:val="00900883"/>
    <w:rsid w:val="00901B41"/>
    <w:rsid w:val="009032FB"/>
    <w:rsid w:val="0090347D"/>
    <w:rsid w:val="00903DBE"/>
    <w:rsid w:val="009040FD"/>
    <w:rsid w:val="00904697"/>
    <w:rsid w:val="00904A57"/>
    <w:rsid w:val="00905109"/>
    <w:rsid w:val="0090555E"/>
    <w:rsid w:val="009064A0"/>
    <w:rsid w:val="0090692F"/>
    <w:rsid w:val="00907576"/>
    <w:rsid w:val="0090763C"/>
    <w:rsid w:val="009114EF"/>
    <w:rsid w:val="00912075"/>
    <w:rsid w:val="00913869"/>
    <w:rsid w:val="00913B92"/>
    <w:rsid w:val="0091431D"/>
    <w:rsid w:val="0091446D"/>
    <w:rsid w:val="009153C2"/>
    <w:rsid w:val="0091587F"/>
    <w:rsid w:val="00915966"/>
    <w:rsid w:val="00915B58"/>
    <w:rsid w:val="00915D03"/>
    <w:rsid w:val="00915F9D"/>
    <w:rsid w:val="00916697"/>
    <w:rsid w:val="00916859"/>
    <w:rsid w:val="00916F2F"/>
    <w:rsid w:val="00916FC6"/>
    <w:rsid w:val="0091727C"/>
    <w:rsid w:val="009176AE"/>
    <w:rsid w:val="00917F13"/>
    <w:rsid w:val="009200AC"/>
    <w:rsid w:val="009200D9"/>
    <w:rsid w:val="00920199"/>
    <w:rsid w:val="00922777"/>
    <w:rsid w:val="00923111"/>
    <w:rsid w:val="00923CB9"/>
    <w:rsid w:val="00923F39"/>
    <w:rsid w:val="00924119"/>
    <w:rsid w:val="00924900"/>
    <w:rsid w:val="00924B68"/>
    <w:rsid w:val="009261EE"/>
    <w:rsid w:val="00927AAE"/>
    <w:rsid w:val="00927CDF"/>
    <w:rsid w:val="00930A33"/>
    <w:rsid w:val="009320D4"/>
    <w:rsid w:val="00932173"/>
    <w:rsid w:val="00932222"/>
    <w:rsid w:val="00932A24"/>
    <w:rsid w:val="009335F2"/>
    <w:rsid w:val="00933B51"/>
    <w:rsid w:val="009340CF"/>
    <w:rsid w:val="0093457F"/>
    <w:rsid w:val="00934630"/>
    <w:rsid w:val="009346D3"/>
    <w:rsid w:val="00935215"/>
    <w:rsid w:val="00935B86"/>
    <w:rsid w:val="00935F1D"/>
    <w:rsid w:val="0093641E"/>
    <w:rsid w:val="009375B8"/>
    <w:rsid w:val="009405F8"/>
    <w:rsid w:val="00940F6E"/>
    <w:rsid w:val="00942068"/>
    <w:rsid w:val="00943109"/>
    <w:rsid w:val="00943801"/>
    <w:rsid w:val="00944387"/>
    <w:rsid w:val="009445DC"/>
    <w:rsid w:val="00944ECE"/>
    <w:rsid w:val="00945626"/>
    <w:rsid w:val="00945AE3"/>
    <w:rsid w:val="00945EBA"/>
    <w:rsid w:val="00946239"/>
    <w:rsid w:val="009462B4"/>
    <w:rsid w:val="00946CCB"/>
    <w:rsid w:val="00950209"/>
    <w:rsid w:val="009506AB"/>
    <w:rsid w:val="00951494"/>
    <w:rsid w:val="009515F4"/>
    <w:rsid w:val="0095168E"/>
    <w:rsid w:val="0095225B"/>
    <w:rsid w:val="009522A7"/>
    <w:rsid w:val="00952764"/>
    <w:rsid w:val="00952C5B"/>
    <w:rsid w:val="00953537"/>
    <w:rsid w:val="009539F1"/>
    <w:rsid w:val="00953FA3"/>
    <w:rsid w:val="00954004"/>
    <w:rsid w:val="009545F2"/>
    <w:rsid w:val="00954968"/>
    <w:rsid w:val="0095669F"/>
    <w:rsid w:val="00957008"/>
    <w:rsid w:val="009574B2"/>
    <w:rsid w:val="009574BD"/>
    <w:rsid w:val="00957677"/>
    <w:rsid w:val="00957A60"/>
    <w:rsid w:val="00957AE5"/>
    <w:rsid w:val="00957ED0"/>
    <w:rsid w:val="009606EE"/>
    <w:rsid w:val="009607C3"/>
    <w:rsid w:val="00960865"/>
    <w:rsid w:val="009612A7"/>
    <w:rsid w:val="009623DB"/>
    <w:rsid w:val="00962A2C"/>
    <w:rsid w:val="0096321D"/>
    <w:rsid w:val="0096392F"/>
    <w:rsid w:val="009639C2"/>
    <w:rsid w:val="00963B05"/>
    <w:rsid w:val="0096404B"/>
    <w:rsid w:val="0096407D"/>
    <w:rsid w:val="009642D9"/>
    <w:rsid w:val="0096525D"/>
    <w:rsid w:val="009652B2"/>
    <w:rsid w:val="009653BF"/>
    <w:rsid w:val="009656E5"/>
    <w:rsid w:val="00965991"/>
    <w:rsid w:val="00965B6F"/>
    <w:rsid w:val="009663D2"/>
    <w:rsid w:val="00967562"/>
    <w:rsid w:val="00970064"/>
    <w:rsid w:val="00970A87"/>
    <w:rsid w:val="00970EEC"/>
    <w:rsid w:val="00970F2D"/>
    <w:rsid w:val="009711C6"/>
    <w:rsid w:val="00971A28"/>
    <w:rsid w:val="00971AA5"/>
    <w:rsid w:val="00971EF6"/>
    <w:rsid w:val="0097249E"/>
    <w:rsid w:val="00972595"/>
    <w:rsid w:val="00972AEA"/>
    <w:rsid w:val="00972C4B"/>
    <w:rsid w:val="009732D2"/>
    <w:rsid w:val="0097365B"/>
    <w:rsid w:val="00973AF1"/>
    <w:rsid w:val="00973FFC"/>
    <w:rsid w:val="00974D50"/>
    <w:rsid w:val="009750B5"/>
    <w:rsid w:val="00976AD7"/>
    <w:rsid w:val="00977038"/>
    <w:rsid w:val="00977106"/>
    <w:rsid w:val="0097736F"/>
    <w:rsid w:val="00977460"/>
    <w:rsid w:val="00977823"/>
    <w:rsid w:val="00980059"/>
    <w:rsid w:val="0098009F"/>
    <w:rsid w:val="00980196"/>
    <w:rsid w:val="009803D6"/>
    <w:rsid w:val="00980CA4"/>
    <w:rsid w:val="00981B7A"/>
    <w:rsid w:val="00981CA1"/>
    <w:rsid w:val="00981F3D"/>
    <w:rsid w:val="0098209D"/>
    <w:rsid w:val="00982207"/>
    <w:rsid w:val="00983BD3"/>
    <w:rsid w:val="00983F39"/>
    <w:rsid w:val="0098446E"/>
    <w:rsid w:val="00984DD8"/>
    <w:rsid w:val="00985461"/>
    <w:rsid w:val="00985D72"/>
    <w:rsid w:val="00986263"/>
    <w:rsid w:val="009868AA"/>
    <w:rsid w:val="00986CB3"/>
    <w:rsid w:val="009870AD"/>
    <w:rsid w:val="009871A0"/>
    <w:rsid w:val="009876FE"/>
    <w:rsid w:val="00990BAB"/>
    <w:rsid w:val="00991A47"/>
    <w:rsid w:val="00992BB9"/>
    <w:rsid w:val="009932E3"/>
    <w:rsid w:val="0099330B"/>
    <w:rsid w:val="00994106"/>
    <w:rsid w:val="00994A29"/>
    <w:rsid w:val="00996145"/>
    <w:rsid w:val="00996C88"/>
    <w:rsid w:val="00997520"/>
    <w:rsid w:val="009977AA"/>
    <w:rsid w:val="009A0D48"/>
    <w:rsid w:val="009A0DAA"/>
    <w:rsid w:val="009A10E4"/>
    <w:rsid w:val="009A26D1"/>
    <w:rsid w:val="009A27C8"/>
    <w:rsid w:val="009A367E"/>
    <w:rsid w:val="009A3751"/>
    <w:rsid w:val="009A3CA5"/>
    <w:rsid w:val="009A41AC"/>
    <w:rsid w:val="009A4B71"/>
    <w:rsid w:val="009A4BE6"/>
    <w:rsid w:val="009A578E"/>
    <w:rsid w:val="009A5DDD"/>
    <w:rsid w:val="009A5E25"/>
    <w:rsid w:val="009A6AA5"/>
    <w:rsid w:val="009A7064"/>
    <w:rsid w:val="009A7A1D"/>
    <w:rsid w:val="009A7A9A"/>
    <w:rsid w:val="009B026C"/>
    <w:rsid w:val="009B07AC"/>
    <w:rsid w:val="009B22D2"/>
    <w:rsid w:val="009B3F98"/>
    <w:rsid w:val="009B6349"/>
    <w:rsid w:val="009B6CA5"/>
    <w:rsid w:val="009B728A"/>
    <w:rsid w:val="009B73B3"/>
    <w:rsid w:val="009B7D87"/>
    <w:rsid w:val="009B7E03"/>
    <w:rsid w:val="009C0365"/>
    <w:rsid w:val="009C0F92"/>
    <w:rsid w:val="009C1244"/>
    <w:rsid w:val="009C1D7C"/>
    <w:rsid w:val="009C29EE"/>
    <w:rsid w:val="009C2AF6"/>
    <w:rsid w:val="009C2F4B"/>
    <w:rsid w:val="009C65E2"/>
    <w:rsid w:val="009C69E8"/>
    <w:rsid w:val="009C6E86"/>
    <w:rsid w:val="009C7598"/>
    <w:rsid w:val="009C7682"/>
    <w:rsid w:val="009C78A0"/>
    <w:rsid w:val="009D1D26"/>
    <w:rsid w:val="009D1D38"/>
    <w:rsid w:val="009D213B"/>
    <w:rsid w:val="009D240F"/>
    <w:rsid w:val="009D29BE"/>
    <w:rsid w:val="009D2A8A"/>
    <w:rsid w:val="009D48A3"/>
    <w:rsid w:val="009D527A"/>
    <w:rsid w:val="009D58E8"/>
    <w:rsid w:val="009D61AE"/>
    <w:rsid w:val="009D69DB"/>
    <w:rsid w:val="009D6A39"/>
    <w:rsid w:val="009D72FC"/>
    <w:rsid w:val="009D7410"/>
    <w:rsid w:val="009D74EA"/>
    <w:rsid w:val="009E08B4"/>
    <w:rsid w:val="009E0C94"/>
    <w:rsid w:val="009E12AF"/>
    <w:rsid w:val="009E14F1"/>
    <w:rsid w:val="009E192C"/>
    <w:rsid w:val="009E1DC8"/>
    <w:rsid w:val="009E2148"/>
    <w:rsid w:val="009E23DB"/>
    <w:rsid w:val="009E251D"/>
    <w:rsid w:val="009E34A5"/>
    <w:rsid w:val="009E38ED"/>
    <w:rsid w:val="009E3E04"/>
    <w:rsid w:val="009E4A7E"/>
    <w:rsid w:val="009E557A"/>
    <w:rsid w:val="009E5F6E"/>
    <w:rsid w:val="009F0156"/>
    <w:rsid w:val="009F024B"/>
    <w:rsid w:val="009F05CF"/>
    <w:rsid w:val="009F193D"/>
    <w:rsid w:val="009F1F8B"/>
    <w:rsid w:val="009F248D"/>
    <w:rsid w:val="009F2881"/>
    <w:rsid w:val="009F2890"/>
    <w:rsid w:val="009F2909"/>
    <w:rsid w:val="009F2BC9"/>
    <w:rsid w:val="009F319B"/>
    <w:rsid w:val="009F462F"/>
    <w:rsid w:val="009F53F3"/>
    <w:rsid w:val="009F57D4"/>
    <w:rsid w:val="009F6763"/>
    <w:rsid w:val="009F6995"/>
    <w:rsid w:val="009F6DC9"/>
    <w:rsid w:val="009F7BA1"/>
    <w:rsid w:val="00A0051C"/>
    <w:rsid w:val="00A005C2"/>
    <w:rsid w:val="00A00F34"/>
    <w:rsid w:val="00A017F9"/>
    <w:rsid w:val="00A01A64"/>
    <w:rsid w:val="00A021DE"/>
    <w:rsid w:val="00A03299"/>
    <w:rsid w:val="00A03450"/>
    <w:rsid w:val="00A039CB"/>
    <w:rsid w:val="00A03B97"/>
    <w:rsid w:val="00A04A72"/>
    <w:rsid w:val="00A04E36"/>
    <w:rsid w:val="00A058AD"/>
    <w:rsid w:val="00A0620C"/>
    <w:rsid w:val="00A06A0A"/>
    <w:rsid w:val="00A06DFF"/>
    <w:rsid w:val="00A11126"/>
    <w:rsid w:val="00A1142F"/>
    <w:rsid w:val="00A11AD7"/>
    <w:rsid w:val="00A127F0"/>
    <w:rsid w:val="00A12FFE"/>
    <w:rsid w:val="00A14807"/>
    <w:rsid w:val="00A15AE0"/>
    <w:rsid w:val="00A16110"/>
    <w:rsid w:val="00A16264"/>
    <w:rsid w:val="00A1698E"/>
    <w:rsid w:val="00A16F1D"/>
    <w:rsid w:val="00A2046B"/>
    <w:rsid w:val="00A21981"/>
    <w:rsid w:val="00A21A5C"/>
    <w:rsid w:val="00A2222E"/>
    <w:rsid w:val="00A22576"/>
    <w:rsid w:val="00A22EE3"/>
    <w:rsid w:val="00A23D1D"/>
    <w:rsid w:val="00A2416D"/>
    <w:rsid w:val="00A244D4"/>
    <w:rsid w:val="00A25A38"/>
    <w:rsid w:val="00A263E2"/>
    <w:rsid w:val="00A2655B"/>
    <w:rsid w:val="00A265DF"/>
    <w:rsid w:val="00A26C02"/>
    <w:rsid w:val="00A27160"/>
    <w:rsid w:val="00A27434"/>
    <w:rsid w:val="00A27AE4"/>
    <w:rsid w:val="00A30D18"/>
    <w:rsid w:val="00A31711"/>
    <w:rsid w:val="00A31B9A"/>
    <w:rsid w:val="00A31DD2"/>
    <w:rsid w:val="00A3217E"/>
    <w:rsid w:val="00A32D03"/>
    <w:rsid w:val="00A336FF"/>
    <w:rsid w:val="00A34B1F"/>
    <w:rsid w:val="00A34FEF"/>
    <w:rsid w:val="00A35C8E"/>
    <w:rsid w:val="00A37204"/>
    <w:rsid w:val="00A37E80"/>
    <w:rsid w:val="00A422F5"/>
    <w:rsid w:val="00A42413"/>
    <w:rsid w:val="00A42DEA"/>
    <w:rsid w:val="00A4330C"/>
    <w:rsid w:val="00A439AA"/>
    <w:rsid w:val="00A43B76"/>
    <w:rsid w:val="00A43C90"/>
    <w:rsid w:val="00A44158"/>
    <w:rsid w:val="00A4441D"/>
    <w:rsid w:val="00A44A87"/>
    <w:rsid w:val="00A44C40"/>
    <w:rsid w:val="00A44E98"/>
    <w:rsid w:val="00A44F2E"/>
    <w:rsid w:val="00A45108"/>
    <w:rsid w:val="00A45871"/>
    <w:rsid w:val="00A46B18"/>
    <w:rsid w:val="00A46F17"/>
    <w:rsid w:val="00A47BA3"/>
    <w:rsid w:val="00A47CED"/>
    <w:rsid w:val="00A50E71"/>
    <w:rsid w:val="00A512B0"/>
    <w:rsid w:val="00A51745"/>
    <w:rsid w:val="00A51A05"/>
    <w:rsid w:val="00A51EE1"/>
    <w:rsid w:val="00A52B9F"/>
    <w:rsid w:val="00A532ED"/>
    <w:rsid w:val="00A53BA1"/>
    <w:rsid w:val="00A540D1"/>
    <w:rsid w:val="00A549BD"/>
    <w:rsid w:val="00A54C4D"/>
    <w:rsid w:val="00A55081"/>
    <w:rsid w:val="00A555AC"/>
    <w:rsid w:val="00A5560E"/>
    <w:rsid w:val="00A5599D"/>
    <w:rsid w:val="00A5642F"/>
    <w:rsid w:val="00A56569"/>
    <w:rsid w:val="00A56908"/>
    <w:rsid w:val="00A570F2"/>
    <w:rsid w:val="00A610A5"/>
    <w:rsid w:val="00A61382"/>
    <w:rsid w:val="00A61690"/>
    <w:rsid w:val="00A61E51"/>
    <w:rsid w:val="00A625BC"/>
    <w:rsid w:val="00A62A4C"/>
    <w:rsid w:val="00A62DB4"/>
    <w:rsid w:val="00A62E0F"/>
    <w:rsid w:val="00A632A8"/>
    <w:rsid w:val="00A639B0"/>
    <w:rsid w:val="00A63E55"/>
    <w:rsid w:val="00A64AC0"/>
    <w:rsid w:val="00A64D58"/>
    <w:rsid w:val="00A6511F"/>
    <w:rsid w:val="00A65E6F"/>
    <w:rsid w:val="00A65E77"/>
    <w:rsid w:val="00A66354"/>
    <w:rsid w:val="00A665F3"/>
    <w:rsid w:val="00A66813"/>
    <w:rsid w:val="00A66D0D"/>
    <w:rsid w:val="00A67230"/>
    <w:rsid w:val="00A6761A"/>
    <w:rsid w:val="00A70332"/>
    <w:rsid w:val="00A70361"/>
    <w:rsid w:val="00A7049E"/>
    <w:rsid w:val="00A7122D"/>
    <w:rsid w:val="00A7125D"/>
    <w:rsid w:val="00A724CA"/>
    <w:rsid w:val="00A725A2"/>
    <w:rsid w:val="00A730F0"/>
    <w:rsid w:val="00A737D6"/>
    <w:rsid w:val="00A73F69"/>
    <w:rsid w:val="00A75833"/>
    <w:rsid w:val="00A75FC6"/>
    <w:rsid w:val="00A766FC"/>
    <w:rsid w:val="00A769F5"/>
    <w:rsid w:val="00A76F7B"/>
    <w:rsid w:val="00A77C59"/>
    <w:rsid w:val="00A816A4"/>
    <w:rsid w:val="00A824B8"/>
    <w:rsid w:val="00A82BB0"/>
    <w:rsid w:val="00A835D9"/>
    <w:rsid w:val="00A83798"/>
    <w:rsid w:val="00A83834"/>
    <w:rsid w:val="00A85ECA"/>
    <w:rsid w:val="00A87882"/>
    <w:rsid w:val="00A9081E"/>
    <w:rsid w:val="00A910E8"/>
    <w:rsid w:val="00A919E2"/>
    <w:rsid w:val="00A92357"/>
    <w:rsid w:val="00A92989"/>
    <w:rsid w:val="00A933A9"/>
    <w:rsid w:val="00A938E9"/>
    <w:rsid w:val="00A9439C"/>
    <w:rsid w:val="00A97118"/>
    <w:rsid w:val="00A97B34"/>
    <w:rsid w:val="00A97D19"/>
    <w:rsid w:val="00AA1B70"/>
    <w:rsid w:val="00AA2333"/>
    <w:rsid w:val="00AA2754"/>
    <w:rsid w:val="00AA3319"/>
    <w:rsid w:val="00AA3A95"/>
    <w:rsid w:val="00AA4A69"/>
    <w:rsid w:val="00AA4F86"/>
    <w:rsid w:val="00AA541E"/>
    <w:rsid w:val="00AA544D"/>
    <w:rsid w:val="00AA59FB"/>
    <w:rsid w:val="00AA63B6"/>
    <w:rsid w:val="00AA6528"/>
    <w:rsid w:val="00AA65A0"/>
    <w:rsid w:val="00AA7418"/>
    <w:rsid w:val="00AB023D"/>
    <w:rsid w:val="00AB168C"/>
    <w:rsid w:val="00AB387F"/>
    <w:rsid w:val="00AB3E71"/>
    <w:rsid w:val="00AB4D9E"/>
    <w:rsid w:val="00AB4F84"/>
    <w:rsid w:val="00AB57D7"/>
    <w:rsid w:val="00AB5C48"/>
    <w:rsid w:val="00AB5F65"/>
    <w:rsid w:val="00AB6270"/>
    <w:rsid w:val="00AB6AC5"/>
    <w:rsid w:val="00AB6D46"/>
    <w:rsid w:val="00AB7674"/>
    <w:rsid w:val="00AB7704"/>
    <w:rsid w:val="00AB77DF"/>
    <w:rsid w:val="00AC0D0A"/>
    <w:rsid w:val="00AC14C5"/>
    <w:rsid w:val="00AC1FBD"/>
    <w:rsid w:val="00AC2173"/>
    <w:rsid w:val="00AC231D"/>
    <w:rsid w:val="00AC2562"/>
    <w:rsid w:val="00AC3359"/>
    <w:rsid w:val="00AC371E"/>
    <w:rsid w:val="00AC3A47"/>
    <w:rsid w:val="00AC48AC"/>
    <w:rsid w:val="00AC4A97"/>
    <w:rsid w:val="00AC5A66"/>
    <w:rsid w:val="00AC5E52"/>
    <w:rsid w:val="00AC693D"/>
    <w:rsid w:val="00AC6EA0"/>
    <w:rsid w:val="00AC72AA"/>
    <w:rsid w:val="00AC773C"/>
    <w:rsid w:val="00AC7830"/>
    <w:rsid w:val="00AD0659"/>
    <w:rsid w:val="00AD1A9C"/>
    <w:rsid w:val="00AD2985"/>
    <w:rsid w:val="00AD33F0"/>
    <w:rsid w:val="00AD379D"/>
    <w:rsid w:val="00AD389A"/>
    <w:rsid w:val="00AD4577"/>
    <w:rsid w:val="00AD46E3"/>
    <w:rsid w:val="00AD4F65"/>
    <w:rsid w:val="00AD5975"/>
    <w:rsid w:val="00AD6844"/>
    <w:rsid w:val="00AD6C4C"/>
    <w:rsid w:val="00AD6CBB"/>
    <w:rsid w:val="00AD7778"/>
    <w:rsid w:val="00AD7779"/>
    <w:rsid w:val="00AD7C24"/>
    <w:rsid w:val="00AE008B"/>
    <w:rsid w:val="00AE117B"/>
    <w:rsid w:val="00AE151B"/>
    <w:rsid w:val="00AE1791"/>
    <w:rsid w:val="00AE1EC5"/>
    <w:rsid w:val="00AE2401"/>
    <w:rsid w:val="00AE3003"/>
    <w:rsid w:val="00AE302D"/>
    <w:rsid w:val="00AE4331"/>
    <w:rsid w:val="00AE4665"/>
    <w:rsid w:val="00AE4A71"/>
    <w:rsid w:val="00AE4B4B"/>
    <w:rsid w:val="00AE6397"/>
    <w:rsid w:val="00AE7AB3"/>
    <w:rsid w:val="00AF1924"/>
    <w:rsid w:val="00AF1D47"/>
    <w:rsid w:val="00AF1E9B"/>
    <w:rsid w:val="00AF26EC"/>
    <w:rsid w:val="00AF2B52"/>
    <w:rsid w:val="00AF2C58"/>
    <w:rsid w:val="00AF33D5"/>
    <w:rsid w:val="00AF3B0A"/>
    <w:rsid w:val="00AF5320"/>
    <w:rsid w:val="00AF596F"/>
    <w:rsid w:val="00AF5BBD"/>
    <w:rsid w:val="00AF652C"/>
    <w:rsid w:val="00AF7136"/>
    <w:rsid w:val="00B00138"/>
    <w:rsid w:val="00B00DC1"/>
    <w:rsid w:val="00B01515"/>
    <w:rsid w:val="00B02219"/>
    <w:rsid w:val="00B025A5"/>
    <w:rsid w:val="00B0283B"/>
    <w:rsid w:val="00B03106"/>
    <w:rsid w:val="00B0500A"/>
    <w:rsid w:val="00B05885"/>
    <w:rsid w:val="00B05A64"/>
    <w:rsid w:val="00B05AB6"/>
    <w:rsid w:val="00B05AFC"/>
    <w:rsid w:val="00B05E74"/>
    <w:rsid w:val="00B10342"/>
    <w:rsid w:val="00B10788"/>
    <w:rsid w:val="00B108E8"/>
    <w:rsid w:val="00B10FCC"/>
    <w:rsid w:val="00B112AE"/>
    <w:rsid w:val="00B11591"/>
    <w:rsid w:val="00B11966"/>
    <w:rsid w:val="00B12196"/>
    <w:rsid w:val="00B12C80"/>
    <w:rsid w:val="00B131CD"/>
    <w:rsid w:val="00B13273"/>
    <w:rsid w:val="00B1369C"/>
    <w:rsid w:val="00B136D1"/>
    <w:rsid w:val="00B13ADE"/>
    <w:rsid w:val="00B13C00"/>
    <w:rsid w:val="00B16519"/>
    <w:rsid w:val="00B16872"/>
    <w:rsid w:val="00B16C80"/>
    <w:rsid w:val="00B171DB"/>
    <w:rsid w:val="00B1740A"/>
    <w:rsid w:val="00B179EC"/>
    <w:rsid w:val="00B17C45"/>
    <w:rsid w:val="00B21341"/>
    <w:rsid w:val="00B21BD1"/>
    <w:rsid w:val="00B21DD1"/>
    <w:rsid w:val="00B21E8C"/>
    <w:rsid w:val="00B2281C"/>
    <w:rsid w:val="00B228F5"/>
    <w:rsid w:val="00B2444B"/>
    <w:rsid w:val="00B2447B"/>
    <w:rsid w:val="00B252AB"/>
    <w:rsid w:val="00B262ED"/>
    <w:rsid w:val="00B266E7"/>
    <w:rsid w:val="00B267CF"/>
    <w:rsid w:val="00B26E5F"/>
    <w:rsid w:val="00B2768B"/>
    <w:rsid w:val="00B27989"/>
    <w:rsid w:val="00B27A5F"/>
    <w:rsid w:val="00B30407"/>
    <w:rsid w:val="00B30617"/>
    <w:rsid w:val="00B30B34"/>
    <w:rsid w:val="00B3189B"/>
    <w:rsid w:val="00B326D4"/>
    <w:rsid w:val="00B32FB6"/>
    <w:rsid w:val="00B3349C"/>
    <w:rsid w:val="00B33837"/>
    <w:rsid w:val="00B33962"/>
    <w:rsid w:val="00B33C0F"/>
    <w:rsid w:val="00B34806"/>
    <w:rsid w:val="00B3532E"/>
    <w:rsid w:val="00B35E2B"/>
    <w:rsid w:val="00B361E1"/>
    <w:rsid w:val="00B364CC"/>
    <w:rsid w:val="00B365A9"/>
    <w:rsid w:val="00B36982"/>
    <w:rsid w:val="00B373CE"/>
    <w:rsid w:val="00B37B6D"/>
    <w:rsid w:val="00B37BFE"/>
    <w:rsid w:val="00B40007"/>
    <w:rsid w:val="00B408D5"/>
    <w:rsid w:val="00B40B31"/>
    <w:rsid w:val="00B40BF8"/>
    <w:rsid w:val="00B41166"/>
    <w:rsid w:val="00B41FC0"/>
    <w:rsid w:val="00B424B6"/>
    <w:rsid w:val="00B42ED5"/>
    <w:rsid w:val="00B42FE3"/>
    <w:rsid w:val="00B43001"/>
    <w:rsid w:val="00B43F7C"/>
    <w:rsid w:val="00B44758"/>
    <w:rsid w:val="00B447AD"/>
    <w:rsid w:val="00B47ADC"/>
    <w:rsid w:val="00B47B6B"/>
    <w:rsid w:val="00B47CD7"/>
    <w:rsid w:val="00B47CE6"/>
    <w:rsid w:val="00B50E8B"/>
    <w:rsid w:val="00B51050"/>
    <w:rsid w:val="00B51306"/>
    <w:rsid w:val="00B52A2F"/>
    <w:rsid w:val="00B52CDF"/>
    <w:rsid w:val="00B52D11"/>
    <w:rsid w:val="00B53473"/>
    <w:rsid w:val="00B53BE0"/>
    <w:rsid w:val="00B53EE0"/>
    <w:rsid w:val="00B5416F"/>
    <w:rsid w:val="00B5479D"/>
    <w:rsid w:val="00B54EC0"/>
    <w:rsid w:val="00B55794"/>
    <w:rsid w:val="00B5610C"/>
    <w:rsid w:val="00B57BAE"/>
    <w:rsid w:val="00B60098"/>
    <w:rsid w:val="00B60197"/>
    <w:rsid w:val="00B612C3"/>
    <w:rsid w:val="00B617C0"/>
    <w:rsid w:val="00B61B2A"/>
    <w:rsid w:val="00B61FE3"/>
    <w:rsid w:val="00B62265"/>
    <w:rsid w:val="00B62B45"/>
    <w:rsid w:val="00B62C12"/>
    <w:rsid w:val="00B62FB4"/>
    <w:rsid w:val="00B63590"/>
    <w:rsid w:val="00B64D21"/>
    <w:rsid w:val="00B651B4"/>
    <w:rsid w:val="00B656D0"/>
    <w:rsid w:val="00B65A6E"/>
    <w:rsid w:val="00B65CE8"/>
    <w:rsid w:val="00B65D00"/>
    <w:rsid w:val="00B664B4"/>
    <w:rsid w:val="00B66970"/>
    <w:rsid w:val="00B66B3A"/>
    <w:rsid w:val="00B674F7"/>
    <w:rsid w:val="00B67DE8"/>
    <w:rsid w:val="00B709BB"/>
    <w:rsid w:val="00B70A8C"/>
    <w:rsid w:val="00B711FD"/>
    <w:rsid w:val="00B71290"/>
    <w:rsid w:val="00B71C29"/>
    <w:rsid w:val="00B72925"/>
    <w:rsid w:val="00B740FA"/>
    <w:rsid w:val="00B74342"/>
    <w:rsid w:val="00B749CE"/>
    <w:rsid w:val="00B758A6"/>
    <w:rsid w:val="00B76626"/>
    <w:rsid w:val="00B76F59"/>
    <w:rsid w:val="00B7718D"/>
    <w:rsid w:val="00B7783D"/>
    <w:rsid w:val="00B77E9D"/>
    <w:rsid w:val="00B801F4"/>
    <w:rsid w:val="00B81315"/>
    <w:rsid w:val="00B813D6"/>
    <w:rsid w:val="00B822B4"/>
    <w:rsid w:val="00B82501"/>
    <w:rsid w:val="00B82BBA"/>
    <w:rsid w:val="00B834D7"/>
    <w:rsid w:val="00B8376A"/>
    <w:rsid w:val="00B8394C"/>
    <w:rsid w:val="00B840B1"/>
    <w:rsid w:val="00B84136"/>
    <w:rsid w:val="00B84715"/>
    <w:rsid w:val="00B84852"/>
    <w:rsid w:val="00B85F61"/>
    <w:rsid w:val="00B866EE"/>
    <w:rsid w:val="00B8683C"/>
    <w:rsid w:val="00B86A9E"/>
    <w:rsid w:val="00B86F6F"/>
    <w:rsid w:val="00B874C2"/>
    <w:rsid w:val="00B90FC3"/>
    <w:rsid w:val="00B92146"/>
    <w:rsid w:val="00B9234A"/>
    <w:rsid w:val="00B92726"/>
    <w:rsid w:val="00B92E28"/>
    <w:rsid w:val="00B92F06"/>
    <w:rsid w:val="00B934F3"/>
    <w:rsid w:val="00B93FC0"/>
    <w:rsid w:val="00B944A0"/>
    <w:rsid w:val="00B94668"/>
    <w:rsid w:val="00B951F1"/>
    <w:rsid w:val="00B954D7"/>
    <w:rsid w:val="00B95E90"/>
    <w:rsid w:val="00BA00CB"/>
    <w:rsid w:val="00BA0492"/>
    <w:rsid w:val="00BA0869"/>
    <w:rsid w:val="00BA0B0E"/>
    <w:rsid w:val="00BA1E86"/>
    <w:rsid w:val="00BA2BCD"/>
    <w:rsid w:val="00BA337E"/>
    <w:rsid w:val="00BA3476"/>
    <w:rsid w:val="00BA3CC4"/>
    <w:rsid w:val="00BA416A"/>
    <w:rsid w:val="00BA443A"/>
    <w:rsid w:val="00BA4A71"/>
    <w:rsid w:val="00BA4B0A"/>
    <w:rsid w:val="00BA56B1"/>
    <w:rsid w:val="00BA5CC2"/>
    <w:rsid w:val="00BA62BB"/>
    <w:rsid w:val="00BA635A"/>
    <w:rsid w:val="00BA73C3"/>
    <w:rsid w:val="00BA7BB6"/>
    <w:rsid w:val="00BA7C3E"/>
    <w:rsid w:val="00BB0BF9"/>
    <w:rsid w:val="00BB1255"/>
    <w:rsid w:val="00BB25A5"/>
    <w:rsid w:val="00BB25C7"/>
    <w:rsid w:val="00BB2653"/>
    <w:rsid w:val="00BB27D4"/>
    <w:rsid w:val="00BB2911"/>
    <w:rsid w:val="00BB4E3E"/>
    <w:rsid w:val="00BB5290"/>
    <w:rsid w:val="00BB538C"/>
    <w:rsid w:val="00BB5AAF"/>
    <w:rsid w:val="00BB73C0"/>
    <w:rsid w:val="00BB761F"/>
    <w:rsid w:val="00BC0663"/>
    <w:rsid w:val="00BC0A6A"/>
    <w:rsid w:val="00BC0FF3"/>
    <w:rsid w:val="00BC12A7"/>
    <w:rsid w:val="00BC12DC"/>
    <w:rsid w:val="00BC12F4"/>
    <w:rsid w:val="00BC1C33"/>
    <w:rsid w:val="00BC2BF0"/>
    <w:rsid w:val="00BC2DC3"/>
    <w:rsid w:val="00BC329A"/>
    <w:rsid w:val="00BC4714"/>
    <w:rsid w:val="00BC4DE8"/>
    <w:rsid w:val="00BC4F64"/>
    <w:rsid w:val="00BC4F8D"/>
    <w:rsid w:val="00BC56A7"/>
    <w:rsid w:val="00BC6B28"/>
    <w:rsid w:val="00BC6C65"/>
    <w:rsid w:val="00BC6EE4"/>
    <w:rsid w:val="00BC73B9"/>
    <w:rsid w:val="00BD0108"/>
    <w:rsid w:val="00BD0271"/>
    <w:rsid w:val="00BD0AB7"/>
    <w:rsid w:val="00BD0F06"/>
    <w:rsid w:val="00BD12B5"/>
    <w:rsid w:val="00BD21B2"/>
    <w:rsid w:val="00BD2294"/>
    <w:rsid w:val="00BD30A9"/>
    <w:rsid w:val="00BD3486"/>
    <w:rsid w:val="00BD415E"/>
    <w:rsid w:val="00BD4283"/>
    <w:rsid w:val="00BD4414"/>
    <w:rsid w:val="00BD5784"/>
    <w:rsid w:val="00BD5808"/>
    <w:rsid w:val="00BD6597"/>
    <w:rsid w:val="00BD66F0"/>
    <w:rsid w:val="00BE1972"/>
    <w:rsid w:val="00BE1E4C"/>
    <w:rsid w:val="00BE26D0"/>
    <w:rsid w:val="00BE2ED1"/>
    <w:rsid w:val="00BE33E6"/>
    <w:rsid w:val="00BE3CAA"/>
    <w:rsid w:val="00BE4BBE"/>
    <w:rsid w:val="00BE5F70"/>
    <w:rsid w:val="00BE6926"/>
    <w:rsid w:val="00BE6CC0"/>
    <w:rsid w:val="00BE7643"/>
    <w:rsid w:val="00BE7922"/>
    <w:rsid w:val="00BF0156"/>
    <w:rsid w:val="00BF04EB"/>
    <w:rsid w:val="00BF1B89"/>
    <w:rsid w:val="00BF2E13"/>
    <w:rsid w:val="00BF3DF8"/>
    <w:rsid w:val="00BF4686"/>
    <w:rsid w:val="00BF4CE4"/>
    <w:rsid w:val="00BF4D24"/>
    <w:rsid w:val="00BF50D7"/>
    <w:rsid w:val="00BF64BC"/>
    <w:rsid w:val="00BF6726"/>
    <w:rsid w:val="00BF69B1"/>
    <w:rsid w:val="00BF6C87"/>
    <w:rsid w:val="00C00A3D"/>
    <w:rsid w:val="00C00D52"/>
    <w:rsid w:val="00C00FAB"/>
    <w:rsid w:val="00C01283"/>
    <w:rsid w:val="00C0131D"/>
    <w:rsid w:val="00C027A4"/>
    <w:rsid w:val="00C028AB"/>
    <w:rsid w:val="00C0302A"/>
    <w:rsid w:val="00C0389D"/>
    <w:rsid w:val="00C03B5C"/>
    <w:rsid w:val="00C04297"/>
    <w:rsid w:val="00C04433"/>
    <w:rsid w:val="00C060C4"/>
    <w:rsid w:val="00C07686"/>
    <w:rsid w:val="00C10B80"/>
    <w:rsid w:val="00C10FB0"/>
    <w:rsid w:val="00C1102A"/>
    <w:rsid w:val="00C11633"/>
    <w:rsid w:val="00C116BF"/>
    <w:rsid w:val="00C11A6C"/>
    <w:rsid w:val="00C11DDD"/>
    <w:rsid w:val="00C12A3D"/>
    <w:rsid w:val="00C13D02"/>
    <w:rsid w:val="00C1415E"/>
    <w:rsid w:val="00C16252"/>
    <w:rsid w:val="00C172AE"/>
    <w:rsid w:val="00C17A49"/>
    <w:rsid w:val="00C17B3B"/>
    <w:rsid w:val="00C2072E"/>
    <w:rsid w:val="00C20D55"/>
    <w:rsid w:val="00C210FF"/>
    <w:rsid w:val="00C216DD"/>
    <w:rsid w:val="00C21AEE"/>
    <w:rsid w:val="00C21CB7"/>
    <w:rsid w:val="00C21DC9"/>
    <w:rsid w:val="00C2255A"/>
    <w:rsid w:val="00C22F18"/>
    <w:rsid w:val="00C22F65"/>
    <w:rsid w:val="00C2383A"/>
    <w:rsid w:val="00C23937"/>
    <w:rsid w:val="00C23D00"/>
    <w:rsid w:val="00C25293"/>
    <w:rsid w:val="00C25464"/>
    <w:rsid w:val="00C25C94"/>
    <w:rsid w:val="00C2699C"/>
    <w:rsid w:val="00C27326"/>
    <w:rsid w:val="00C27737"/>
    <w:rsid w:val="00C3081D"/>
    <w:rsid w:val="00C312D6"/>
    <w:rsid w:val="00C316FA"/>
    <w:rsid w:val="00C317BC"/>
    <w:rsid w:val="00C318C0"/>
    <w:rsid w:val="00C31B75"/>
    <w:rsid w:val="00C32120"/>
    <w:rsid w:val="00C321FC"/>
    <w:rsid w:val="00C322B8"/>
    <w:rsid w:val="00C328E5"/>
    <w:rsid w:val="00C330B0"/>
    <w:rsid w:val="00C33351"/>
    <w:rsid w:val="00C34ED3"/>
    <w:rsid w:val="00C35109"/>
    <w:rsid w:val="00C35E37"/>
    <w:rsid w:val="00C36A89"/>
    <w:rsid w:val="00C36FE3"/>
    <w:rsid w:val="00C373F9"/>
    <w:rsid w:val="00C37D1F"/>
    <w:rsid w:val="00C403BE"/>
    <w:rsid w:val="00C40630"/>
    <w:rsid w:val="00C40755"/>
    <w:rsid w:val="00C40E81"/>
    <w:rsid w:val="00C4169E"/>
    <w:rsid w:val="00C43131"/>
    <w:rsid w:val="00C43416"/>
    <w:rsid w:val="00C43C91"/>
    <w:rsid w:val="00C43D39"/>
    <w:rsid w:val="00C43E0A"/>
    <w:rsid w:val="00C44150"/>
    <w:rsid w:val="00C44661"/>
    <w:rsid w:val="00C44C83"/>
    <w:rsid w:val="00C44F4D"/>
    <w:rsid w:val="00C4687F"/>
    <w:rsid w:val="00C46A2B"/>
    <w:rsid w:val="00C478E3"/>
    <w:rsid w:val="00C479AE"/>
    <w:rsid w:val="00C507B5"/>
    <w:rsid w:val="00C50CBB"/>
    <w:rsid w:val="00C50E32"/>
    <w:rsid w:val="00C50ECA"/>
    <w:rsid w:val="00C51673"/>
    <w:rsid w:val="00C516C3"/>
    <w:rsid w:val="00C53BBA"/>
    <w:rsid w:val="00C53DC3"/>
    <w:rsid w:val="00C54494"/>
    <w:rsid w:val="00C5486B"/>
    <w:rsid w:val="00C54C03"/>
    <w:rsid w:val="00C55026"/>
    <w:rsid w:val="00C55263"/>
    <w:rsid w:val="00C552A3"/>
    <w:rsid w:val="00C557B2"/>
    <w:rsid w:val="00C55A8D"/>
    <w:rsid w:val="00C55AB5"/>
    <w:rsid w:val="00C55D09"/>
    <w:rsid w:val="00C55ED2"/>
    <w:rsid w:val="00C56DC8"/>
    <w:rsid w:val="00C572E5"/>
    <w:rsid w:val="00C57547"/>
    <w:rsid w:val="00C57E15"/>
    <w:rsid w:val="00C6005E"/>
    <w:rsid w:val="00C602E8"/>
    <w:rsid w:val="00C60900"/>
    <w:rsid w:val="00C60DE7"/>
    <w:rsid w:val="00C60F62"/>
    <w:rsid w:val="00C60F6B"/>
    <w:rsid w:val="00C62C4F"/>
    <w:rsid w:val="00C6336C"/>
    <w:rsid w:val="00C64B2A"/>
    <w:rsid w:val="00C6532C"/>
    <w:rsid w:val="00C655B2"/>
    <w:rsid w:val="00C659C9"/>
    <w:rsid w:val="00C659D2"/>
    <w:rsid w:val="00C65E19"/>
    <w:rsid w:val="00C65E4E"/>
    <w:rsid w:val="00C65E9E"/>
    <w:rsid w:val="00C6660C"/>
    <w:rsid w:val="00C666C1"/>
    <w:rsid w:val="00C66CA1"/>
    <w:rsid w:val="00C67215"/>
    <w:rsid w:val="00C6798A"/>
    <w:rsid w:val="00C67D59"/>
    <w:rsid w:val="00C67FCF"/>
    <w:rsid w:val="00C70190"/>
    <w:rsid w:val="00C707B3"/>
    <w:rsid w:val="00C70881"/>
    <w:rsid w:val="00C70B10"/>
    <w:rsid w:val="00C70C9F"/>
    <w:rsid w:val="00C70D78"/>
    <w:rsid w:val="00C71339"/>
    <w:rsid w:val="00C71CBB"/>
    <w:rsid w:val="00C72382"/>
    <w:rsid w:val="00C7374F"/>
    <w:rsid w:val="00C73A1B"/>
    <w:rsid w:val="00C7404F"/>
    <w:rsid w:val="00C74064"/>
    <w:rsid w:val="00C74223"/>
    <w:rsid w:val="00C743C1"/>
    <w:rsid w:val="00C7473E"/>
    <w:rsid w:val="00C74961"/>
    <w:rsid w:val="00C74D9D"/>
    <w:rsid w:val="00C750C0"/>
    <w:rsid w:val="00C753DF"/>
    <w:rsid w:val="00C76066"/>
    <w:rsid w:val="00C76488"/>
    <w:rsid w:val="00C76755"/>
    <w:rsid w:val="00C7702D"/>
    <w:rsid w:val="00C77700"/>
    <w:rsid w:val="00C80779"/>
    <w:rsid w:val="00C80BEF"/>
    <w:rsid w:val="00C81171"/>
    <w:rsid w:val="00C81ACB"/>
    <w:rsid w:val="00C81E6A"/>
    <w:rsid w:val="00C82028"/>
    <w:rsid w:val="00C8207C"/>
    <w:rsid w:val="00C83093"/>
    <w:rsid w:val="00C833C1"/>
    <w:rsid w:val="00C837AF"/>
    <w:rsid w:val="00C847DC"/>
    <w:rsid w:val="00C84872"/>
    <w:rsid w:val="00C84B67"/>
    <w:rsid w:val="00C85CFC"/>
    <w:rsid w:val="00C85D9D"/>
    <w:rsid w:val="00C8601B"/>
    <w:rsid w:val="00C860BD"/>
    <w:rsid w:val="00C864E0"/>
    <w:rsid w:val="00C86589"/>
    <w:rsid w:val="00C86689"/>
    <w:rsid w:val="00C86A66"/>
    <w:rsid w:val="00C870DC"/>
    <w:rsid w:val="00C87830"/>
    <w:rsid w:val="00C87D75"/>
    <w:rsid w:val="00C911B7"/>
    <w:rsid w:val="00C91411"/>
    <w:rsid w:val="00C91547"/>
    <w:rsid w:val="00C91ADB"/>
    <w:rsid w:val="00C92A9D"/>
    <w:rsid w:val="00C92AD9"/>
    <w:rsid w:val="00C92DA6"/>
    <w:rsid w:val="00C937DA"/>
    <w:rsid w:val="00C93C59"/>
    <w:rsid w:val="00C94D0A"/>
    <w:rsid w:val="00C95923"/>
    <w:rsid w:val="00C967E3"/>
    <w:rsid w:val="00C96E49"/>
    <w:rsid w:val="00C976DF"/>
    <w:rsid w:val="00CA0894"/>
    <w:rsid w:val="00CA0A01"/>
    <w:rsid w:val="00CA0C34"/>
    <w:rsid w:val="00CA1086"/>
    <w:rsid w:val="00CA1588"/>
    <w:rsid w:val="00CA199E"/>
    <w:rsid w:val="00CA1A95"/>
    <w:rsid w:val="00CA1BA8"/>
    <w:rsid w:val="00CA20CF"/>
    <w:rsid w:val="00CA219B"/>
    <w:rsid w:val="00CA2752"/>
    <w:rsid w:val="00CA2F35"/>
    <w:rsid w:val="00CA35D1"/>
    <w:rsid w:val="00CA37BD"/>
    <w:rsid w:val="00CA39FE"/>
    <w:rsid w:val="00CA3DBE"/>
    <w:rsid w:val="00CA46CC"/>
    <w:rsid w:val="00CA5CC0"/>
    <w:rsid w:val="00CA5DC2"/>
    <w:rsid w:val="00CA5FAE"/>
    <w:rsid w:val="00CA60A2"/>
    <w:rsid w:val="00CA6E74"/>
    <w:rsid w:val="00CA76AD"/>
    <w:rsid w:val="00CA777A"/>
    <w:rsid w:val="00CA7CE2"/>
    <w:rsid w:val="00CB0B16"/>
    <w:rsid w:val="00CB10EA"/>
    <w:rsid w:val="00CB110F"/>
    <w:rsid w:val="00CB136F"/>
    <w:rsid w:val="00CB14E1"/>
    <w:rsid w:val="00CB3B67"/>
    <w:rsid w:val="00CB4603"/>
    <w:rsid w:val="00CB524E"/>
    <w:rsid w:val="00CB564C"/>
    <w:rsid w:val="00CB58E4"/>
    <w:rsid w:val="00CB5C03"/>
    <w:rsid w:val="00CB5D6D"/>
    <w:rsid w:val="00CB5E49"/>
    <w:rsid w:val="00CB6977"/>
    <w:rsid w:val="00CB6F8B"/>
    <w:rsid w:val="00CB73C7"/>
    <w:rsid w:val="00CB75B2"/>
    <w:rsid w:val="00CB794B"/>
    <w:rsid w:val="00CC04E6"/>
    <w:rsid w:val="00CC07AC"/>
    <w:rsid w:val="00CC1A64"/>
    <w:rsid w:val="00CC2371"/>
    <w:rsid w:val="00CC28A8"/>
    <w:rsid w:val="00CC2AD5"/>
    <w:rsid w:val="00CC2E4F"/>
    <w:rsid w:val="00CC3B2A"/>
    <w:rsid w:val="00CC4402"/>
    <w:rsid w:val="00CC479E"/>
    <w:rsid w:val="00CC47F5"/>
    <w:rsid w:val="00CC5035"/>
    <w:rsid w:val="00CC5F48"/>
    <w:rsid w:val="00CC705B"/>
    <w:rsid w:val="00CC7602"/>
    <w:rsid w:val="00CC7DBF"/>
    <w:rsid w:val="00CC7E7B"/>
    <w:rsid w:val="00CD0103"/>
    <w:rsid w:val="00CD0724"/>
    <w:rsid w:val="00CD073D"/>
    <w:rsid w:val="00CD0849"/>
    <w:rsid w:val="00CD27B1"/>
    <w:rsid w:val="00CD3337"/>
    <w:rsid w:val="00CD335C"/>
    <w:rsid w:val="00CD39E1"/>
    <w:rsid w:val="00CD40B3"/>
    <w:rsid w:val="00CD442E"/>
    <w:rsid w:val="00CD4B56"/>
    <w:rsid w:val="00CD4BEF"/>
    <w:rsid w:val="00CD4D62"/>
    <w:rsid w:val="00CD4E19"/>
    <w:rsid w:val="00CD5204"/>
    <w:rsid w:val="00CD53D4"/>
    <w:rsid w:val="00CD5708"/>
    <w:rsid w:val="00CD5C7C"/>
    <w:rsid w:val="00CD6193"/>
    <w:rsid w:val="00CD62C0"/>
    <w:rsid w:val="00CD688D"/>
    <w:rsid w:val="00CE037E"/>
    <w:rsid w:val="00CE0B36"/>
    <w:rsid w:val="00CE15A3"/>
    <w:rsid w:val="00CE28FE"/>
    <w:rsid w:val="00CE3B0A"/>
    <w:rsid w:val="00CE412E"/>
    <w:rsid w:val="00CE425D"/>
    <w:rsid w:val="00CE42D5"/>
    <w:rsid w:val="00CE42DD"/>
    <w:rsid w:val="00CE573C"/>
    <w:rsid w:val="00CE5D35"/>
    <w:rsid w:val="00CE5FD4"/>
    <w:rsid w:val="00CF0DDF"/>
    <w:rsid w:val="00CF17FA"/>
    <w:rsid w:val="00CF1E0F"/>
    <w:rsid w:val="00CF1EA3"/>
    <w:rsid w:val="00CF1F3B"/>
    <w:rsid w:val="00CF2635"/>
    <w:rsid w:val="00CF27BF"/>
    <w:rsid w:val="00CF2888"/>
    <w:rsid w:val="00CF2B21"/>
    <w:rsid w:val="00CF3385"/>
    <w:rsid w:val="00CF55B8"/>
    <w:rsid w:val="00CF5B50"/>
    <w:rsid w:val="00CF6406"/>
    <w:rsid w:val="00CF648E"/>
    <w:rsid w:val="00CF7B99"/>
    <w:rsid w:val="00CF7FA0"/>
    <w:rsid w:val="00D0027F"/>
    <w:rsid w:val="00D00E12"/>
    <w:rsid w:val="00D00F69"/>
    <w:rsid w:val="00D012ED"/>
    <w:rsid w:val="00D014F1"/>
    <w:rsid w:val="00D03115"/>
    <w:rsid w:val="00D0398A"/>
    <w:rsid w:val="00D03CD6"/>
    <w:rsid w:val="00D040E2"/>
    <w:rsid w:val="00D04DD2"/>
    <w:rsid w:val="00D04F39"/>
    <w:rsid w:val="00D0646A"/>
    <w:rsid w:val="00D06D8F"/>
    <w:rsid w:val="00D076B1"/>
    <w:rsid w:val="00D10E6B"/>
    <w:rsid w:val="00D11562"/>
    <w:rsid w:val="00D13024"/>
    <w:rsid w:val="00D13295"/>
    <w:rsid w:val="00D1361C"/>
    <w:rsid w:val="00D14015"/>
    <w:rsid w:val="00D15122"/>
    <w:rsid w:val="00D16DE1"/>
    <w:rsid w:val="00D171D6"/>
    <w:rsid w:val="00D17285"/>
    <w:rsid w:val="00D17B04"/>
    <w:rsid w:val="00D17C16"/>
    <w:rsid w:val="00D20388"/>
    <w:rsid w:val="00D20E08"/>
    <w:rsid w:val="00D214B3"/>
    <w:rsid w:val="00D218E2"/>
    <w:rsid w:val="00D23417"/>
    <w:rsid w:val="00D252A3"/>
    <w:rsid w:val="00D253B0"/>
    <w:rsid w:val="00D25AA5"/>
    <w:rsid w:val="00D26320"/>
    <w:rsid w:val="00D26B28"/>
    <w:rsid w:val="00D2780F"/>
    <w:rsid w:val="00D309EC"/>
    <w:rsid w:val="00D31E38"/>
    <w:rsid w:val="00D31E68"/>
    <w:rsid w:val="00D32480"/>
    <w:rsid w:val="00D337AB"/>
    <w:rsid w:val="00D34378"/>
    <w:rsid w:val="00D347A9"/>
    <w:rsid w:val="00D34D4F"/>
    <w:rsid w:val="00D35371"/>
    <w:rsid w:val="00D355D4"/>
    <w:rsid w:val="00D35A0D"/>
    <w:rsid w:val="00D36597"/>
    <w:rsid w:val="00D367DF"/>
    <w:rsid w:val="00D36D4D"/>
    <w:rsid w:val="00D37334"/>
    <w:rsid w:val="00D37603"/>
    <w:rsid w:val="00D37CD5"/>
    <w:rsid w:val="00D403D5"/>
    <w:rsid w:val="00D40887"/>
    <w:rsid w:val="00D41078"/>
    <w:rsid w:val="00D4118D"/>
    <w:rsid w:val="00D418A9"/>
    <w:rsid w:val="00D419D5"/>
    <w:rsid w:val="00D41F64"/>
    <w:rsid w:val="00D42278"/>
    <w:rsid w:val="00D422E0"/>
    <w:rsid w:val="00D42742"/>
    <w:rsid w:val="00D43098"/>
    <w:rsid w:val="00D4319C"/>
    <w:rsid w:val="00D4462F"/>
    <w:rsid w:val="00D447FE"/>
    <w:rsid w:val="00D45681"/>
    <w:rsid w:val="00D46020"/>
    <w:rsid w:val="00D47A1D"/>
    <w:rsid w:val="00D50558"/>
    <w:rsid w:val="00D512E5"/>
    <w:rsid w:val="00D5162E"/>
    <w:rsid w:val="00D5206C"/>
    <w:rsid w:val="00D520FD"/>
    <w:rsid w:val="00D52ABA"/>
    <w:rsid w:val="00D5338B"/>
    <w:rsid w:val="00D5359A"/>
    <w:rsid w:val="00D53657"/>
    <w:rsid w:val="00D55A62"/>
    <w:rsid w:val="00D55B2E"/>
    <w:rsid w:val="00D55DCC"/>
    <w:rsid w:val="00D564A7"/>
    <w:rsid w:val="00D56CE0"/>
    <w:rsid w:val="00D605DD"/>
    <w:rsid w:val="00D605E3"/>
    <w:rsid w:val="00D6135C"/>
    <w:rsid w:val="00D61B7A"/>
    <w:rsid w:val="00D63033"/>
    <w:rsid w:val="00D632DD"/>
    <w:rsid w:val="00D63852"/>
    <w:rsid w:val="00D64379"/>
    <w:rsid w:val="00D645A3"/>
    <w:rsid w:val="00D6485A"/>
    <w:rsid w:val="00D64E37"/>
    <w:rsid w:val="00D64E47"/>
    <w:rsid w:val="00D65409"/>
    <w:rsid w:val="00D66103"/>
    <w:rsid w:val="00D66F0D"/>
    <w:rsid w:val="00D66F1A"/>
    <w:rsid w:val="00D67373"/>
    <w:rsid w:val="00D67BFD"/>
    <w:rsid w:val="00D70BD5"/>
    <w:rsid w:val="00D71263"/>
    <w:rsid w:val="00D714C3"/>
    <w:rsid w:val="00D72210"/>
    <w:rsid w:val="00D72217"/>
    <w:rsid w:val="00D72311"/>
    <w:rsid w:val="00D7303F"/>
    <w:rsid w:val="00D73AE9"/>
    <w:rsid w:val="00D740E8"/>
    <w:rsid w:val="00D7428B"/>
    <w:rsid w:val="00D7449B"/>
    <w:rsid w:val="00D74C1C"/>
    <w:rsid w:val="00D74D61"/>
    <w:rsid w:val="00D74F38"/>
    <w:rsid w:val="00D75685"/>
    <w:rsid w:val="00D75BFB"/>
    <w:rsid w:val="00D7615E"/>
    <w:rsid w:val="00D7643B"/>
    <w:rsid w:val="00D776F0"/>
    <w:rsid w:val="00D77CAD"/>
    <w:rsid w:val="00D80121"/>
    <w:rsid w:val="00D80535"/>
    <w:rsid w:val="00D805F4"/>
    <w:rsid w:val="00D8176F"/>
    <w:rsid w:val="00D81C98"/>
    <w:rsid w:val="00D81F5A"/>
    <w:rsid w:val="00D822E5"/>
    <w:rsid w:val="00D829F9"/>
    <w:rsid w:val="00D83595"/>
    <w:rsid w:val="00D83621"/>
    <w:rsid w:val="00D83823"/>
    <w:rsid w:val="00D840E6"/>
    <w:rsid w:val="00D856F9"/>
    <w:rsid w:val="00D86E1C"/>
    <w:rsid w:val="00D877C1"/>
    <w:rsid w:val="00D87AEC"/>
    <w:rsid w:val="00D87C50"/>
    <w:rsid w:val="00D90A45"/>
    <w:rsid w:val="00D91400"/>
    <w:rsid w:val="00D91B26"/>
    <w:rsid w:val="00D91FB8"/>
    <w:rsid w:val="00D925A6"/>
    <w:rsid w:val="00D92B25"/>
    <w:rsid w:val="00D93206"/>
    <w:rsid w:val="00D93AD0"/>
    <w:rsid w:val="00D93DAC"/>
    <w:rsid w:val="00D95F03"/>
    <w:rsid w:val="00D96544"/>
    <w:rsid w:val="00D96F47"/>
    <w:rsid w:val="00D9768F"/>
    <w:rsid w:val="00DA007B"/>
    <w:rsid w:val="00DA0495"/>
    <w:rsid w:val="00DA04B9"/>
    <w:rsid w:val="00DA2141"/>
    <w:rsid w:val="00DA2259"/>
    <w:rsid w:val="00DA2CCA"/>
    <w:rsid w:val="00DA32AF"/>
    <w:rsid w:val="00DA348E"/>
    <w:rsid w:val="00DA43B1"/>
    <w:rsid w:val="00DA44A1"/>
    <w:rsid w:val="00DA48A6"/>
    <w:rsid w:val="00DA59D6"/>
    <w:rsid w:val="00DA65F4"/>
    <w:rsid w:val="00DA76C7"/>
    <w:rsid w:val="00DA7826"/>
    <w:rsid w:val="00DA7FA0"/>
    <w:rsid w:val="00DB0223"/>
    <w:rsid w:val="00DB1159"/>
    <w:rsid w:val="00DB1161"/>
    <w:rsid w:val="00DB11E7"/>
    <w:rsid w:val="00DB19EE"/>
    <w:rsid w:val="00DB1FBC"/>
    <w:rsid w:val="00DB2110"/>
    <w:rsid w:val="00DB327A"/>
    <w:rsid w:val="00DB3B69"/>
    <w:rsid w:val="00DB3D15"/>
    <w:rsid w:val="00DB3ED7"/>
    <w:rsid w:val="00DB4730"/>
    <w:rsid w:val="00DB4808"/>
    <w:rsid w:val="00DB4F33"/>
    <w:rsid w:val="00DB59DF"/>
    <w:rsid w:val="00DB5E62"/>
    <w:rsid w:val="00DB6336"/>
    <w:rsid w:val="00DB6713"/>
    <w:rsid w:val="00DB737A"/>
    <w:rsid w:val="00DC0B8E"/>
    <w:rsid w:val="00DC151D"/>
    <w:rsid w:val="00DC1C30"/>
    <w:rsid w:val="00DC243F"/>
    <w:rsid w:val="00DC25A3"/>
    <w:rsid w:val="00DC2A46"/>
    <w:rsid w:val="00DC2B37"/>
    <w:rsid w:val="00DC2D7F"/>
    <w:rsid w:val="00DC2F88"/>
    <w:rsid w:val="00DC3274"/>
    <w:rsid w:val="00DC3B91"/>
    <w:rsid w:val="00DC3DAF"/>
    <w:rsid w:val="00DC3F1C"/>
    <w:rsid w:val="00DC3F36"/>
    <w:rsid w:val="00DC3FC6"/>
    <w:rsid w:val="00DC49CE"/>
    <w:rsid w:val="00DC5214"/>
    <w:rsid w:val="00DC556A"/>
    <w:rsid w:val="00DC5EDA"/>
    <w:rsid w:val="00DC639B"/>
    <w:rsid w:val="00DD00F3"/>
    <w:rsid w:val="00DD0595"/>
    <w:rsid w:val="00DD0C47"/>
    <w:rsid w:val="00DD1E0C"/>
    <w:rsid w:val="00DD1F12"/>
    <w:rsid w:val="00DD2737"/>
    <w:rsid w:val="00DD2D66"/>
    <w:rsid w:val="00DD3BAE"/>
    <w:rsid w:val="00DD3D72"/>
    <w:rsid w:val="00DD3F0A"/>
    <w:rsid w:val="00DD41ED"/>
    <w:rsid w:val="00DD43D7"/>
    <w:rsid w:val="00DD55D3"/>
    <w:rsid w:val="00DD5CF7"/>
    <w:rsid w:val="00DD5E7C"/>
    <w:rsid w:val="00DD7875"/>
    <w:rsid w:val="00DD79FB"/>
    <w:rsid w:val="00DD7D30"/>
    <w:rsid w:val="00DE116D"/>
    <w:rsid w:val="00DE15F1"/>
    <w:rsid w:val="00DE1691"/>
    <w:rsid w:val="00DE2BB1"/>
    <w:rsid w:val="00DE2D6F"/>
    <w:rsid w:val="00DE50B4"/>
    <w:rsid w:val="00DE5180"/>
    <w:rsid w:val="00DE5702"/>
    <w:rsid w:val="00DE583B"/>
    <w:rsid w:val="00DE58BE"/>
    <w:rsid w:val="00DE5DDE"/>
    <w:rsid w:val="00DE6564"/>
    <w:rsid w:val="00DE6B48"/>
    <w:rsid w:val="00DE7534"/>
    <w:rsid w:val="00DE7996"/>
    <w:rsid w:val="00DF00ED"/>
    <w:rsid w:val="00DF0379"/>
    <w:rsid w:val="00DF0E49"/>
    <w:rsid w:val="00DF1049"/>
    <w:rsid w:val="00DF11D7"/>
    <w:rsid w:val="00DF18A4"/>
    <w:rsid w:val="00DF2140"/>
    <w:rsid w:val="00DF21F4"/>
    <w:rsid w:val="00DF35E0"/>
    <w:rsid w:val="00DF4045"/>
    <w:rsid w:val="00DF449C"/>
    <w:rsid w:val="00DF4C4C"/>
    <w:rsid w:val="00DF4EB7"/>
    <w:rsid w:val="00DF4F71"/>
    <w:rsid w:val="00DF579F"/>
    <w:rsid w:val="00DF5DCC"/>
    <w:rsid w:val="00DF5E24"/>
    <w:rsid w:val="00DF62A0"/>
    <w:rsid w:val="00DF71B7"/>
    <w:rsid w:val="00DF742D"/>
    <w:rsid w:val="00E003FC"/>
    <w:rsid w:val="00E005AE"/>
    <w:rsid w:val="00E007F1"/>
    <w:rsid w:val="00E009BC"/>
    <w:rsid w:val="00E01089"/>
    <w:rsid w:val="00E01705"/>
    <w:rsid w:val="00E01B7C"/>
    <w:rsid w:val="00E01BCF"/>
    <w:rsid w:val="00E039DC"/>
    <w:rsid w:val="00E03BD2"/>
    <w:rsid w:val="00E04064"/>
    <w:rsid w:val="00E04A5D"/>
    <w:rsid w:val="00E04D7A"/>
    <w:rsid w:val="00E051A9"/>
    <w:rsid w:val="00E05B63"/>
    <w:rsid w:val="00E066B5"/>
    <w:rsid w:val="00E06ADA"/>
    <w:rsid w:val="00E10901"/>
    <w:rsid w:val="00E10981"/>
    <w:rsid w:val="00E110D9"/>
    <w:rsid w:val="00E1126C"/>
    <w:rsid w:val="00E11478"/>
    <w:rsid w:val="00E117B9"/>
    <w:rsid w:val="00E118DE"/>
    <w:rsid w:val="00E11B23"/>
    <w:rsid w:val="00E11E0B"/>
    <w:rsid w:val="00E12348"/>
    <w:rsid w:val="00E130D6"/>
    <w:rsid w:val="00E134F2"/>
    <w:rsid w:val="00E13EFC"/>
    <w:rsid w:val="00E140B3"/>
    <w:rsid w:val="00E147B0"/>
    <w:rsid w:val="00E14876"/>
    <w:rsid w:val="00E14FDD"/>
    <w:rsid w:val="00E16281"/>
    <w:rsid w:val="00E164EA"/>
    <w:rsid w:val="00E16DE3"/>
    <w:rsid w:val="00E174FF"/>
    <w:rsid w:val="00E17551"/>
    <w:rsid w:val="00E17C2C"/>
    <w:rsid w:val="00E2081B"/>
    <w:rsid w:val="00E2114F"/>
    <w:rsid w:val="00E21603"/>
    <w:rsid w:val="00E21CB7"/>
    <w:rsid w:val="00E220C0"/>
    <w:rsid w:val="00E22270"/>
    <w:rsid w:val="00E223A0"/>
    <w:rsid w:val="00E22CEF"/>
    <w:rsid w:val="00E23F41"/>
    <w:rsid w:val="00E2461E"/>
    <w:rsid w:val="00E24B87"/>
    <w:rsid w:val="00E24E0C"/>
    <w:rsid w:val="00E251A4"/>
    <w:rsid w:val="00E25698"/>
    <w:rsid w:val="00E25739"/>
    <w:rsid w:val="00E25779"/>
    <w:rsid w:val="00E25EFA"/>
    <w:rsid w:val="00E262B9"/>
    <w:rsid w:val="00E26BE2"/>
    <w:rsid w:val="00E26C99"/>
    <w:rsid w:val="00E26CE5"/>
    <w:rsid w:val="00E26D00"/>
    <w:rsid w:val="00E26E8F"/>
    <w:rsid w:val="00E2732C"/>
    <w:rsid w:val="00E2733B"/>
    <w:rsid w:val="00E27480"/>
    <w:rsid w:val="00E275AA"/>
    <w:rsid w:val="00E27970"/>
    <w:rsid w:val="00E30376"/>
    <w:rsid w:val="00E30620"/>
    <w:rsid w:val="00E30BF8"/>
    <w:rsid w:val="00E311D8"/>
    <w:rsid w:val="00E3225C"/>
    <w:rsid w:val="00E32823"/>
    <w:rsid w:val="00E32F26"/>
    <w:rsid w:val="00E3342B"/>
    <w:rsid w:val="00E334FF"/>
    <w:rsid w:val="00E338D5"/>
    <w:rsid w:val="00E33D56"/>
    <w:rsid w:val="00E34741"/>
    <w:rsid w:val="00E35365"/>
    <w:rsid w:val="00E35768"/>
    <w:rsid w:val="00E363BD"/>
    <w:rsid w:val="00E366EA"/>
    <w:rsid w:val="00E36B80"/>
    <w:rsid w:val="00E37875"/>
    <w:rsid w:val="00E37914"/>
    <w:rsid w:val="00E40497"/>
    <w:rsid w:val="00E40584"/>
    <w:rsid w:val="00E40649"/>
    <w:rsid w:val="00E40A7A"/>
    <w:rsid w:val="00E41850"/>
    <w:rsid w:val="00E42585"/>
    <w:rsid w:val="00E451A9"/>
    <w:rsid w:val="00E4525A"/>
    <w:rsid w:val="00E45BC2"/>
    <w:rsid w:val="00E45DE0"/>
    <w:rsid w:val="00E46BDB"/>
    <w:rsid w:val="00E47AD5"/>
    <w:rsid w:val="00E5078E"/>
    <w:rsid w:val="00E51128"/>
    <w:rsid w:val="00E51564"/>
    <w:rsid w:val="00E51648"/>
    <w:rsid w:val="00E51769"/>
    <w:rsid w:val="00E540D2"/>
    <w:rsid w:val="00E541E2"/>
    <w:rsid w:val="00E54CD7"/>
    <w:rsid w:val="00E55CCA"/>
    <w:rsid w:val="00E56DF7"/>
    <w:rsid w:val="00E572C2"/>
    <w:rsid w:val="00E57E52"/>
    <w:rsid w:val="00E57F1E"/>
    <w:rsid w:val="00E601DB"/>
    <w:rsid w:val="00E606CA"/>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916"/>
    <w:rsid w:val="00E65C79"/>
    <w:rsid w:val="00E65E00"/>
    <w:rsid w:val="00E6641B"/>
    <w:rsid w:val="00E66450"/>
    <w:rsid w:val="00E66FC2"/>
    <w:rsid w:val="00E677A6"/>
    <w:rsid w:val="00E714F0"/>
    <w:rsid w:val="00E71696"/>
    <w:rsid w:val="00E71B49"/>
    <w:rsid w:val="00E72593"/>
    <w:rsid w:val="00E72F09"/>
    <w:rsid w:val="00E75117"/>
    <w:rsid w:val="00E755F3"/>
    <w:rsid w:val="00E75B4B"/>
    <w:rsid w:val="00E7631E"/>
    <w:rsid w:val="00E76D29"/>
    <w:rsid w:val="00E77270"/>
    <w:rsid w:val="00E80179"/>
    <w:rsid w:val="00E80253"/>
    <w:rsid w:val="00E80A5A"/>
    <w:rsid w:val="00E80B7A"/>
    <w:rsid w:val="00E80E7E"/>
    <w:rsid w:val="00E81841"/>
    <w:rsid w:val="00E81A69"/>
    <w:rsid w:val="00E8329D"/>
    <w:rsid w:val="00E84782"/>
    <w:rsid w:val="00E84902"/>
    <w:rsid w:val="00E84937"/>
    <w:rsid w:val="00E84C91"/>
    <w:rsid w:val="00E853F3"/>
    <w:rsid w:val="00E85462"/>
    <w:rsid w:val="00E861E5"/>
    <w:rsid w:val="00E86B0D"/>
    <w:rsid w:val="00E86DF3"/>
    <w:rsid w:val="00E875F1"/>
    <w:rsid w:val="00E907AA"/>
    <w:rsid w:val="00E90FBE"/>
    <w:rsid w:val="00E910A1"/>
    <w:rsid w:val="00E91491"/>
    <w:rsid w:val="00E9200D"/>
    <w:rsid w:val="00E92107"/>
    <w:rsid w:val="00E92108"/>
    <w:rsid w:val="00E921B3"/>
    <w:rsid w:val="00E9278F"/>
    <w:rsid w:val="00E94E4E"/>
    <w:rsid w:val="00E95CE0"/>
    <w:rsid w:val="00E96907"/>
    <w:rsid w:val="00E96CEB"/>
    <w:rsid w:val="00E97AA1"/>
    <w:rsid w:val="00EA09A9"/>
    <w:rsid w:val="00EA1E53"/>
    <w:rsid w:val="00EA1FD6"/>
    <w:rsid w:val="00EA265C"/>
    <w:rsid w:val="00EA2CF6"/>
    <w:rsid w:val="00EA2F69"/>
    <w:rsid w:val="00EA368F"/>
    <w:rsid w:val="00EA4123"/>
    <w:rsid w:val="00EA423E"/>
    <w:rsid w:val="00EA445A"/>
    <w:rsid w:val="00EA484B"/>
    <w:rsid w:val="00EA499F"/>
    <w:rsid w:val="00EA52BC"/>
    <w:rsid w:val="00EA5BA9"/>
    <w:rsid w:val="00EA5DC3"/>
    <w:rsid w:val="00EA6103"/>
    <w:rsid w:val="00EA636C"/>
    <w:rsid w:val="00EA74B3"/>
    <w:rsid w:val="00EA7955"/>
    <w:rsid w:val="00EA7C0D"/>
    <w:rsid w:val="00EB15CB"/>
    <w:rsid w:val="00EB1AD9"/>
    <w:rsid w:val="00EB2D78"/>
    <w:rsid w:val="00EB2DAC"/>
    <w:rsid w:val="00EB2E2D"/>
    <w:rsid w:val="00EB40B0"/>
    <w:rsid w:val="00EB40C3"/>
    <w:rsid w:val="00EB4F42"/>
    <w:rsid w:val="00EB57C7"/>
    <w:rsid w:val="00EB657E"/>
    <w:rsid w:val="00EB6C55"/>
    <w:rsid w:val="00EC01DF"/>
    <w:rsid w:val="00EC03C0"/>
    <w:rsid w:val="00EC0DCF"/>
    <w:rsid w:val="00EC14E5"/>
    <w:rsid w:val="00EC1C1D"/>
    <w:rsid w:val="00EC23B1"/>
    <w:rsid w:val="00EC24BF"/>
    <w:rsid w:val="00EC3619"/>
    <w:rsid w:val="00EC36AF"/>
    <w:rsid w:val="00EC3D32"/>
    <w:rsid w:val="00EC580F"/>
    <w:rsid w:val="00EC5C6F"/>
    <w:rsid w:val="00EC5F69"/>
    <w:rsid w:val="00EC61B2"/>
    <w:rsid w:val="00EC71F3"/>
    <w:rsid w:val="00EC771D"/>
    <w:rsid w:val="00EC7724"/>
    <w:rsid w:val="00ED10B6"/>
    <w:rsid w:val="00ED169E"/>
    <w:rsid w:val="00ED1BAB"/>
    <w:rsid w:val="00ED261B"/>
    <w:rsid w:val="00ED3070"/>
    <w:rsid w:val="00ED3F89"/>
    <w:rsid w:val="00ED4091"/>
    <w:rsid w:val="00ED46E8"/>
    <w:rsid w:val="00ED4E0E"/>
    <w:rsid w:val="00ED4FF1"/>
    <w:rsid w:val="00ED514B"/>
    <w:rsid w:val="00ED5EF1"/>
    <w:rsid w:val="00ED6D78"/>
    <w:rsid w:val="00ED71E2"/>
    <w:rsid w:val="00ED74F5"/>
    <w:rsid w:val="00ED75E1"/>
    <w:rsid w:val="00ED7F8E"/>
    <w:rsid w:val="00EE0085"/>
    <w:rsid w:val="00EE08E2"/>
    <w:rsid w:val="00EE1A66"/>
    <w:rsid w:val="00EE42B9"/>
    <w:rsid w:val="00EE4913"/>
    <w:rsid w:val="00EE5EEB"/>
    <w:rsid w:val="00EE6B60"/>
    <w:rsid w:val="00EE6DB0"/>
    <w:rsid w:val="00EE78A9"/>
    <w:rsid w:val="00EE7E30"/>
    <w:rsid w:val="00EE7EB2"/>
    <w:rsid w:val="00EF1C5F"/>
    <w:rsid w:val="00EF2162"/>
    <w:rsid w:val="00EF21EE"/>
    <w:rsid w:val="00EF230B"/>
    <w:rsid w:val="00EF3228"/>
    <w:rsid w:val="00EF336D"/>
    <w:rsid w:val="00EF34E6"/>
    <w:rsid w:val="00EF36C5"/>
    <w:rsid w:val="00EF3D16"/>
    <w:rsid w:val="00EF4EE7"/>
    <w:rsid w:val="00EF62E4"/>
    <w:rsid w:val="00EF78B6"/>
    <w:rsid w:val="00EF7C60"/>
    <w:rsid w:val="00EF7E2D"/>
    <w:rsid w:val="00F001BF"/>
    <w:rsid w:val="00F002B6"/>
    <w:rsid w:val="00F002CF"/>
    <w:rsid w:val="00F00900"/>
    <w:rsid w:val="00F00A27"/>
    <w:rsid w:val="00F00B39"/>
    <w:rsid w:val="00F00FB7"/>
    <w:rsid w:val="00F01A68"/>
    <w:rsid w:val="00F02248"/>
    <w:rsid w:val="00F0229C"/>
    <w:rsid w:val="00F031FB"/>
    <w:rsid w:val="00F039C5"/>
    <w:rsid w:val="00F041D4"/>
    <w:rsid w:val="00F047C8"/>
    <w:rsid w:val="00F04D05"/>
    <w:rsid w:val="00F05E3D"/>
    <w:rsid w:val="00F06035"/>
    <w:rsid w:val="00F0624D"/>
    <w:rsid w:val="00F068E8"/>
    <w:rsid w:val="00F07101"/>
    <w:rsid w:val="00F07268"/>
    <w:rsid w:val="00F075C5"/>
    <w:rsid w:val="00F07A08"/>
    <w:rsid w:val="00F07C04"/>
    <w:rsid w:val="00F106ED"/>
    <w:rsid w:val="00F10A46"/>
    <w:rsid w:val="00F10DAD"/>
    <w:rsid w:val="00F116C7"/>
    <w:rsid w:val="00F12086"/>
    <w:rsid w:val="00F1290F"/>
    <w:rsid w:val="00F12E1B"/>
    <w:rsid w:val="00F12FBB"/>
    <w:rsid w:val="00F13673"/>
    <w:rsid w:val="00F143BF"/>
    <w:rsid w:val="00F14F39"/>
    <w:rsid w:val="00F15FEA"/>
    <w:rsid w:val="00F1619F"/>
    <w:rsid w:val="00F167EA"/>
    <w:rsid w:val="00F16D98"/>
    <w:rsid w:val="00F175CB"/>
    <w:rsid w:val="00F20878"/>
    <w:rsid w:val="00F210EE"/>
    <w:rsid w:val="00F21815"/>
    <w:rsid w:val="00F22175"/>
    <w:rsid w:val="00F23067"/>
    <w:rsid w:val="00F230A2"/>
    <w:rsid w:val="00F23546"/>
    <w:rsid w:val="00F23656"/>
    <w:rsid w:val="00F23776"/>
    <w:rsid w:val="00F238BE"/>
    <w:rsid w:val="00F23BA8"/>
    <w:rsid w:val="00F24170"/>
    <w:rsid w:val="00F245D1"/>
    <w:rsid w:val="00F252AB"/>
    <w:rsid w:val="00F26B13"/>
    <w:rsid w:val="00F2721C"/>
    <w:rsid w:val="00F2747F"/>
    <w:rsid w:val="00F2757D"/>
    <w:rsid w:val="00F27936"/>
    <w:rsid w:val="00F30061"/>
    <w:rsid w:val="00F3070D"/>
    <w:rsid w:val="00F3080B"/>
    <w:rsid w:val="00F30964"/>
    <w:rsid w:val="00F30A60"/>
    <w:rsid w:val="00F3149E"/>
    <w:rsid w:val="00F3166E"/>
    <w:rsid w:val="00F31896"/>
    <w:rsid w:val="00F328C2"/>
    <w:rsid w:val="00F32E4F"/>
    <w:rsid w:val="00F333C3"/>
    <w:rsid w:val="00F33ADF"/>
    <w:rsid w:val="00F34063"/>
    <w:rsid w:val="00F3417F"/>
    <w:rsid w:val="00F34F0A"/>
    <w:rsid w:val="00F351CB"/>
    <w:rsid w:val="00F401F3"/>
    <w:rsid w:val="00F4109D"/>
    <w:rsid w:val="00F41333"/>
    <w:rsid w:val="00F413B8"/>
    <w:rsid w:val="00F41570"/>
    <w:rsid w:val="00F42340"/>
    <w:rsid w:val="00F424C4"/>
    <w:rsid w:val="00F42E07"/>
    <w:rsid w:val="00F42EF4"/>
    <w:rsid w:val="00F44737"/>
    <w:rsid w:val="00F448A6"/>
    <w:rsid w:val="00F45198"/>
    <w:rsid w:val="00F4643D"/>
    <w:rsid w:val="00F466A6"/>
    <w:rsid w:val="00F46B94"/>
    <w:rsid w:val="00F47161"/>
    <w:rsid w:val="00F4721E"/>
    <w:rsid w:val="00F4729D"/>
    <w:rsid w:val="00F47E41"/>
    <w:rsid w:val="00F50622"/>
    <w:rsid w:val="00F507E8"/>
    <w:rsid w:val="00F51B87"/>
    <w:rsid w:val="00F51C68"/>
    <w:rsid w:val="00F520DB"/>
    <w:rsid w:val="00F52DD7"/>
    <w:rsid w:val="00F52E66"/>
    <w:rsid w:val="00F54623"/>
    <w:rsid w:val="00F551BF"/>
    <w:rsid w:val="00F5535E"/>
    <w:rsid w:val="00F55B6C"/>
    <w:rsid w:val="00F573F1"/>
    <w:rsid w:val="00F57917"/>
    <w:rsid w:val="00F57D61"/>
    <w:rsid w:val="00F6003F"/>
    <w:rsid w:val="00F60475"/>
    <w:rsid w:val="00F6294E"/>
    <w:rsid w:val="00F634D4"/>
    <w:rsid w:val="00F6371B"/>
    <w:rsid w:val="00F63A1C"/>
    <w:rsid w:val="00F646DB"/>
    <w:rsid w:val="00F64E92"/>
    <w:rsid w:val="00F658A2"/>
    <w:rsid w:val="00F65DF5"/>
    <w:rsid w:val="00F6607D"/>
    <w:rsid w:val="00F66139"/>
    <w:rsid w:val="00F66DA2"/>
    <w:rsid w:val="00F70007"/>
    <w:rsid w:val="00F7120F"/>
    <w:rsid w:val="00F7144F"/>
    <w:rsid w:val="00F71EEC"/>
    <w:rsid w:val="00F71EF4"/>
    <w:rsid w:val="00F721FC"/>
    <w:rsid w:val="00F72D1E"/>
    <w:rsid w:val="00F7338C"/>
    <w:rsid w:val="00F7373D"/>
    <w:rsid w:val="00F73958"/>
    <w:rsid w:val="00F739A0"/>
    <w:rsid w:val="00F73AF2"/>
    <w:rsid w:val="00F73B43"/>
    <w:rsid w:val="00F73FC6"/>
    <w:rsid w:val="00F7400D"/>
    <w:rsid w:val="00F74B80"/>
    <w:rsid w:val="00F76604"/>
    <w:rsid w:val="00F76715"/>
    <w:rsid w:val="00F7771C"/>
    <w:rsid w:val="00F77E58"/>
    <w:rsid w:val="00F77F79"/>
    <w:rsid w:val="00F8091A"/>
    <w:rsid w:val="00F8107E"/>
    <w:rsid w:val="00F81EBE"/>
    <w:rsid w:val="00F82F72"/>
    <w:rsid w:val="00F8353E"/>
    <w:rsid w:val="00F836A7"/>
    <w:rsid w:val="00F83881"/>
    <w:rsid w:val="00F841BB"/>
    <w:rsid w:val="00F851B3"/>
    <w:rsid w:val="00F85C06"/>
    <w:rsid w:val="00F860CC"/>
    <w:rsid w:val="00F8622A"/>
    <w:rsid w:val="00F86653"/>
    <w:rsid w:val="00F86FA9"/>
    <w:rsid w:val="00F8705D"/>
    <w:rsid w:val="00F87802"/>
    <w:rsid w:val="00F87A14"/>
    <w:rsid w:val="00F87F6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1099"/>
    <w:rsid w:val="00FA1C54"/>
    <w:rsid w:val="00FA2275"/>
    <w:rsid w:val="00FA2968"/>
    <w:rsid w:val="00FA2FD9"/>
    <w:rsid w:val="00FA3184"/>
    <w:rsid w:val="00FA52DD"/>
    <w:rsid w:val="00FA59EB"/>
    <w:rsid w:val="00FA6FE5"/>
    <w:rsid w:val="00FA74E4"/>
    <w:rsid w:val="00FA768D"/>
    <w:rsid w:val="00FA794D"/>
    <w:rsid w:val="00FB0098"/>
    <w:rsid w:val="00FB13B0"/>
    <w:rsid w:val="00FB1706"/>
    <w:rsid w:val="00FB1D89"/>
    <w:rsid w:val="00FB33ED"/>
    <w:rsid w:val="00FB3965"/>
    <w:rsid w:val="00FB3BD8"/>
    <w:rsid w:val="00FB44DD"/>
    <w:rsid w:val="00FB4835"/>
    <w:rsid w:val="00FB48C3"/>
    <w:rsid w:val="00FB4A67"/>
    <w:rsid w:val="00FB5121"/>
    <w:rsid w:val="00FB5C72"/>
    <w:rsid w:val="00FB5CE4"/>
    <w:rsid w:val="00FB67CD"/>
    <w:rsid w:val="00FB7382"/>
    <w:rsid w:val="00FC045A"/>
    <w:rsid w:val="00FC06A4"/>
    <w:rsid w:val="00FC0F71"/>
    <w:rsid w:val="00FC1176"/>
    <w:rsid w:val="00FC1DD8"/>
    <w:rsid w:val="00FC2159"/>
    <w:rsid w:val="00FC2390"/>
    <w:rsid w:val="00FC266E"/>
    <w:rsid w:val="00FC3187"/>
    <w:rsid w:val="00FC3905"/>
    <w:rsid w:val="00FC40BB"/>
    <w:rsid w:val="00FC466A"/>
    <w:rsid w:val="00FC5BB8"/>
    <w:rsid w:val="00FC62C5"/>
    <w:rsid w:val="00FC7FB7"/>
    <w:rsid w:val="00FD0D4D"/>
    <w:rsid w:val="00FD1987"/>
    <w:rsid w:val="00FD34CC"/>
    <w:rsid w:val="00FD39FA"/>
    <w:rsid w:val="00FD3CD7"/>
    <w:rsid w:val="00FD4124"/>
    <w:rsid w:val="00FD5710"/>
    <w:rsid w:val="00FD58C4"/>
    <w:rsid w:val="00FD5FF3"/>
    <w:rsid w:val="00FD73D5"/>
    <w:rsid w:val="00FD7A7F"/>
    <w:rsid w:val="00FD7E32"/>
    <w:rsid w:val="00FE1B14"/>
    <w:rsid w:val="00FE20F5"/>
    <w:rsid w:val="00FE24AF"/>
    <w:rsid w:val="00FE29D1"/>
    <w:rsid w:val="00FE2DFF"/>
    <w:rsid w:val="00FE2E31"/>
    <w:rsid w:val="00FE30A7"/>
    <w:rsid w:val="00FE358C"/>
    <w:rsid w:val="00FE36E1"/>
    <w:rsid w:val="00FE3989"/>
    <w:rsid w:val="00FE39AD"/>
    <w:rsid w:val="00FE3B66"/>
    <w:rsid w:val="00FE45A8"/>
    <w:rsid w:val="00FE47B7"/>
    <w:rsid w:val="00FE47BB"/>
    <w:rsid w:val="00FE48F0"/>
    <w:rsid w:val="00FE51A4"/>
    <w:rsid w:val="00FE65BD"/>
    <w:rsid w:val="00FE6BE3"/>
    <w:rsid w:val="00FE6EC5"/>
    <w:rsid w:val="00FE79E1"/>
    <w:rsid w:val="00FF0557"/>
    <w:rsid w:val="00FF0C44"/>
    <w:rsid w:val="00FF1365"/>
    <w:rsid w:val="00FF13E0"/>
    <w:rsid w:val="00FF1602"/>
    <w:rsid w:val="00FF17B3"/>
    <w:rsid w:val="00FF17D2"/>
    <w:rsid w:val="00FF2152"/>
    <w:rsid w:val="00FF22F3"/>
    <w:rsid w:val="00FF2CD9"/>
    <w:rsid w:val="00FF3C64"/>
    <w:rsid w:val="00FF40D3"/>
    <w:rsid w:val="00FF4E16"/>
    <w:rsid w:val="00FF557C"/>
    <w:rsid w:val="00FF5C55"/>
    <w:rsid w:val="00FF64FB"/>
    <w:rsid w:val="00FF6D32"/>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ED9DFBF"/>
  <w15:docId w15:val="{25594654-7456-4E7B-A8AE-D8A0DD63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97"/>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pPr>
      <w:ind w:left="354"/>
      <w:outlineLvl w:val="2"/>
    </w:pPr>
    <w:rPr>
      <w:rFonts w:cs="Times New Roman"/>
      <w:b/>
      <w:bCs/>
      <w:sz w:val="20"/>
      <w:szCs w:val="20"/>
    </w:rPr>
  </w:style>
  <w:style w:type="paragraph" w:styleId="Ttulo4">
    <w:name w:val="heading 4"/>
    <w:basedOn w:val="Normal"/>
    <w:next w:val="Sangranormal"/>
    <w:qFormat/>
    <w:pPr>
      <w:ind w:left="354"/>
      <w:outlineLvl w:val="3"/>
    </w:pPr>
    <w:rPr>
      <w:rFonts w:cs="Times New Roman"/>
      <w:sz w:val="20"/>
      <w:szCs w:val="20"/>
      <w:u w:val="single"/>
    </w:rPr>
  </w:style>
  <w:style w:type="paragraph" w:styleId="Ttulo5">
    <w:name w:val="heading 5"/>
    <w:basedOn w:val="Normal"/>
    <w:next w:val="Sangranormal"/>
    <w:qFormat/>
    <w:pPr>
      <w:ind w:left="708"/>
      <w:outlineLvl w:val="4"/>
    </w:pPr>
    <w:rPr>
      <w:rFonts w:cs="Times New Roman"/>
      <w:b/>
      <w:bCs/>
      <w:sz w:val="20"/>
      <w:szCs w:val="20"/>
    </w:rPr>
  </w:style>
  <w:style w:type="paragraph" w:styleId="Ttulo6">
    <w:name w:val="heading 6"/>
    <w:basedOn w:val="Normal"/>
    <w:next w:val="Sangranormal"/>
    <w:qFormat/>
    <w:pPr>
      <w:ind w:left="708"/>
      <w:outlineLvl w:val="5"/>
    </w:pPr>
    <w:rPr>
      <w:rFonts w:cs="Times New Roman"/>
      <w:sz w:val="20"/>
      <w:szCs w:val="20"/>
      <w:u w:val="single"/>
    </w:rPr>
  </w:style>
  <w:style w:type="paragraph" w:styleId="Ttulo7">
    <w:name w:val="heading 7"/>
    <w:basedOn w:val="Normal"/>
    <w:next w:val="Sangranormal"/>
    <w:qFormat/>
    <w:pPr>
      <w:ind w:left="708"/>
      <w:outlineLvl w:val="6"/>
    </w:pPr>
    <w:rPr>
      <w:rFonts w:cs="Times New Roman"/>
      <w:i/>
      <w:iCs/>
      <w:sz w:val="20"/>
      <w:szCs w:val="20"/>
    </w:rPr>
  </w:style>
  <w:style w:type="paragraph" w:styleId="Ttulo8">
    <w:name w:val="heading 8"/>
    <w:basedOn w:val="Normal"/>
    <w:next w:val="Sangranormal"/>
    <w:qFormat/>
    <w:pPr>
      <w:ind w:left="708"/>
      <w:outlineLvl w:val="7"/>
    </w:pPr>
    <w:rPr>
      <w:rFonts w:cs="Times New Roman"/>
      <w:i/>
      <w:iCs/>
      <w:sz w:val="20"/>
      <w:szCs w:val="20"/>
    </w:rPr>
  </w:style>
  <w:style w:type="paragraph" w:styleId="Ttulo9">
    <w:name w:val="heading 9"/>
    <w:basedOn w:val="Normal"/>
    <w:next w:val="Sangranormal"/>
    <w:qFormat/>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ind w:left="708"/>
    </w:pPr>
  </w:style>
  <w:style w:type="character" w:customStyle="1" w:styleId="Heading1Char">
    <w:name w:val="Heading 1 Char"/>
    <w:aliases w:val="título 1 Char,título 11 Char,título 12 Char"/>
    <w:rPr>
      <w:rFonts w:ascii="Helv" w:hAnsi="Helv" w:cs="Helv"/>
      <w:b/>
      <w:bCs/>
      <w:sz w:val="20"/>
      <w:szCs w:val="20"/>
      <w:u w:val="single"/>
      <w:lang w:val="es-ES_tradnl" w:eastAsia="es-ES"/>
    </w:rPr>
  </w:style>
  <w:style w:type="character" w:customStyle="1" w:styleId="Ttulo2Car">
    <w:name w:val="Título 2 Car"/>
    <w:aliases w:val="Tight Slug Car,título 2 Car"/>
    <w:locked/>
    <w:rPr>
      <w:rFonts w:ascii="Helv" w:hAnsi="Helv" w:cs="Helv"/>
      <w:b/>
      <w:bCs/>
      <w:sz w:val="20"/>
      <w:szCs w:val="20"/>
      <w:lang w:val="es-ES_tradnl" w:eastAsia="es-ES"/>
    </w:rPr>
  </w:style>
  <w:style w:type="character" w:customStyle="1" w:styleId="Ttulo3Car">
    <w:name w:val="Título 3 Car"/>
    <w:aliases w:val="Note to Director Car,título 3 Car"/>
    <w:locked/>
    <w:rPr>
      <w:rFonts w:ascii="Arial" w:hAnsi="Arial" w:cs="Arial"/>
      <w:b/>
      <w:bCs/>
      <w:sz w:val="20"/>
      <w:szCs w:val="20"/>
      <w:lang w:val="es-ES_tradnl" w:eastAsia="es-ES"/>
    </w:rPr>
  </w:style>
  <w:style w:type="character" w:customStyle="1" w:styleId="Ttulo4Car">
    <w:name w:val="Título 4 Car"/>
    <w:locked/>
    <w:rPr>
      <w:rFonts w:ascii="Arial" w:hAnsi="Arial" w:cs="Arial"/>
      <w:sz w:val="20"/>
      <w:szCs w:val="20"/>
      <w:u w:val="single"/>
      <w:lang w:val="es-ES_tradnl" w:eastAsia="es-ES"/>
    </w:rPr>
  </w:style>
  <w:style w:type="character" w:customStyle="1" w:styleId="Ttulo5Car">
    <w:name w:val="Título 5 Car"/>
    <w:locked/>
    <w:rPr>
      <w:rFonts w:ascii="Arial" w:hAnsi="Arial" w:cs="Arial"/>
      <w:b/>
      <w:bCs/>
      <w:sz w:val="20"/>
      <w:szCs w:val="20"/>
      <w:lang w:val="es-ES_tradnl" w:eastAsia="es-ES"/>
    </w:rPr>
  </w:style>
  <w:style w:type="character" w:customStyle="1" w:styleId="Ttulo6Car">
    <w:name w:val="Título 6 Car"/>
    <w:locked/>
    <w:rPr>
      <w:rFonts w:ascii="Arial" w:hAnsi="Arial" w:cs="Arial"/>
      <w:sz w:val="20"/>
      <w:szCs w:val="20"/>
      <w:u w:val="single"/>
      <w:lang w:val="es-ES_tradnl" w:eastAsia="es-ES"/>
    </w:rPr>
  </w:style>
  <w:style w:type="character" w:customStyle="1" w:styleId="Ttulo7Car">
    <w:name w:val="Título 7 Car"/>
    <w:locked/>
    <w:rPr>
      <w:rFonts w:ascii="Arial" w:hAnsi="Arial" w:cs="Arial"/>
      <w:i/>
      <w:iCs/>
      <w:sz w:val="20"/>
      <w:szCs w:val="20"/>
      <w:lang w:val="es-ES_tradnl" w:eastAsia="es-ES"/>
    </w:rPr>
  </w:style>
  <w:style w:type="character" w:customStyle="1" w:styleId="Ttulo8Car">
    <w:name w:val="Título 8 Car"/>
    <w:locked/>
    <w:rPr>
      <w:rFonts w:ascii="Arial" w:hAnsi="Arial" w:cs="Arial"/>
      <w:i/>
      <w:iCs/>
      <w:sz w:val="20"/>
      <w:szCs w:val="20"/>
      <w:lang w:val="es-ES_tradnl" w:eastAsia="es-ES"/>
    </w:rPr>
  </w:style>
  <w:style w:type="character" w:customStyle="1" w:styleId="Ttulo9Car">
    <w:name w:val="Título 9 Car"/>
    <w:locked/>
    <w:rPr>
      <w:rFonts w:ascii="Arial" w:hAnsi="Arial" w:cs="Arial"/>
      <w:i/>
      <w:iCs/>
      <w:sz w:val="20"/>
      <w:szCs w:val="20"/>
      <w:lang w:val="es-ES_tradnl" w:eastAsia="es-ES"/>
    </w:rPr>
  </w:style>
  <w:style w:type="character" w:customStyle="1" w:styleId="Ttulo1Car">
    <w:name w:val="Título 1 Car"/>
    <w:aliases w:val="título 1 Car,título 11 Car,título 12 Car"/>
    <w:locked/>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Pr>
      <w:rFonts w:ascii="Arial" w:hAnsi="Arial" w:cs="Arial"/>
      <w:sz w:val="20"/>
      <w:szCs w:val="20"/>
      <w:lang w:val="es-ES_tradnl" w:eastAsia="es-ES"/>
    </w:rPr>
  </w:style>
  <w:style w:type="paragraph" w:styleId="Encabezado">
    <w:name w:val="header"/>
    <w:aliases w:val="encabezado,encabezado1,encabezado2,Page Header,Header"/>
    <w:basedOn w:val="Normal"/>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Pr>
      <w:rFonts w:ascii="Arial" w:hAnsi="Arial" w:cs="Arial"/>
      <w:sz w:val="20"/>
      <w:szCs w:val="20"/>
      <w:lang w:val="es-ES_tradnl" w:eastAsia="es-ES"/>
    </w:rPr>
  </w:style>
  <w:style w:type="character" w:styleId="Refdenotaalpie">
    <w:name w:val="footnote reference"/>
    <w:semiHidden/>
    <w:rPr>
      <w:rFonts w:cs="Times New Roman"/>
      <w:position w:val="6"/>
      <w:sz w:val="16"/>
      <w:szCs w:val="16"/>
    </w:rPr>
  </w:style>
  <w:style w:type="paragraph" w:styleId="Textonotapie">
    <w:name w:val="footnote text"/>
    <w:basedOn w:val="Normal"/>
    <w:semiHidden/>
    <w:rPr>
      <w:rFonts w:cs="Times New Roman"/>
      <w:sz w:val="20"/>
      <w:szCs w:val="20"/>
    </w:rPr>
  </w:style>
  <w:style w:type="character" w:customStyle="1" w:styleId="TextonotapieCar">
    <w:name w:val="Texto nota pie Car"/>
    <w:semiHidden/>
    <w:locked/>
    <w:rPr>
      <w:rFonts w:ascii="Arial" w:hAnsi="Arial" w:cs="Arial"/>
      <w:sz w:val="20"/>
      <w:szCs w:val="20"/>
      <w:lang w:val="es-ES_tradnl" w:eastAsia="es-ES"/>
    </w:rPr>
  </w:style>
  <w:style w:type="paragraph" w:customStyle="1" w:styleId="notaalpie">
    <w:name w:val="nota al pie"/>
    <w:basedOn w:val="Normal"/>
    <w:rPr>
      <w:sz w:val="20"/>
      <w:szCs w:val="20"/>
    </w:rPr>
  </w:style>
  <w:style w:type="paragraph" w:customStyle="1" w:styleId="refnotaalpie">
    <w:name w:val="ref. nota al pie"/>
    <w:basedOn w:val="Normal"/>
    <w:rPr>
      <w:position w:val="6"/>
      <w:sz w:val="20"/>
      <w:szCs w:val="20"/>
    </w:rPr>
  </w:style>
  <w:style w:type="paragraph" w:customStyle="1" w:styleId="Textual">
    <w:name w:val="Textual"/>
    <w:basedOn w:val="Normal"/>
    <w:pPr>
      <w:pBdr>
        <w:top w:val="single" w:sz="6" w:space="1" w:color="auto"/>
        <w:left w:val="single" w:sz="6" w:space="1" w:color="auto"/>
        <w:bottom w:val="single" w:sz="6" w:space="1" w:color="auto"/>
        <w:right w:val="single" w:sz="6" w:space="1" w:color="auto"/>
      </w:pBdr>
    </w:pPr>
  </w:style>
  <w:style w:type="character" w:styleId="Nmerodepgina">
    <w:name w:val="page number"/>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semiHidden/>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Pr>
      <w:rFonts w:ascii="Arial" w:hAnsi="Arial" w:cs="Arial"/>
      <w:b/>
      <w:bCs/>
      <w:sz w:val="20"/>
      <w:szCs w:val="20"/>
      <w:lang w:val="es-ES_tradnl" w:eastAsia="es-ES"/>
    </w:rPr>
  </w:style>
  <w:style w:type="paragraph" w:styleId="Textoindependiente2">
    <w:name w:val="Body Text 2"/>
    <w:basedOn w:val="Normal"/>
    <w:pPr>
      <w:keepNext/>
    </w:pPr>
    <w:rPr>
      <w:rFonts w:cs="Times New Roman"/>
      <w:i/>
      <w:iCs/>
      <w:color w:val="000000"/>
      <w:sz w:val="20"/>
      <w:szCs w:val="20"/>
    </w:rPr>
  </w:style>
  <w:style w:type="character" w:customStyle="1" w:styleId="Textoindependiente2Car">
    <w:name w:val="Texto independiente 2 Car"/>
    <w:locked/>
    <w:rPr>
      <w:rFonts w:ascii="Arial" w:hAnsi="Arial" w:cs="Arial"/>
      <w:i/>
      <w:iCs/>
      <w:color w:val="000000"/>
      <w:sz w:val="20"/>
      <w:szCs w:val="20"/>
      <w:lang w:val="es-ES_tradnl" w:eastAsia="es-ES"/>
    </w:rPr>
  </w:style>
  <w:style w:type="paragraph" w:styleId="Puesto">
    <w:name w:val="Title"/>
    <w:basedOn w:val="Normal"/>
    <w:qFormat/>
    <w:pPr>
      <w:spacing w:line="240" w:lineRule="atLeast"/>
      <w:jc w:val="center"/>
    </w:pPr>
    <w:rPr>
      <w:rFonts w:cs="Times New Roman"/>
      <w:b/>
      <w:bCs/>
      <w:color w:val="000000"/>
      <w:sz w:val="20"/>
      <w:szCs w:val="20"/>
    </w:rPr>
  </w:style>
  <w:style w:type="character" w:customStyle="1" w:styleId="TtuloCar">
    <w:name w:val="Título Car"/>
    <w:link w:val="1"/>
    <w:locked/>
    <w:rPr>
      <w:rFonts w:ascii="Arial" w:hAnsi="Arial" w:cs="Arial"/>
      <w:b/>
      <w:bCs/>
      <w:color w:val="000000"/>
      <w:sz w:val="20"/>
      <w:szCs w:val="20"/>
      <w:lang w:val="es-ES_tradnl" w:eastAsia="es-ES"/>
    </w:rPr>
  </w:style>
  <w:style w:type="paragraph" w:styleId="Textoindependiente3">
    <w:name w:val="Body Text 3"/>
    <w:basedOn w:val="Normal"/>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Pr>
      <w:rFonts w:ascii="Arial" w:hAnsi="Arial" w:cs="Arial"/>
      <w:i/>
      <w:iCs/>
      <w:color w:val="000000"/>
      <w:sz w:val="20"/>
      <w:szCs w:val="20"/>
      <w:lang w:val="es-ES_tradnl" w:eastAsia="es-ES"/>
    </w:rPr>
  </w:style>
  <w:style w:type="paragraph" w:customStyle="1" w:styleId="Textoindependiente21">
    <w:name w:val="Texto independiente 21"/>
    <w:basedOn w:val="Normal"/>
    <w:pPr>
      <w:widowControl w:val="0"/>
    </w:pPr>
    <w:rPr>
      <w:rFonts w:cs="Times New Roman"/>
      <w:b/>
      <w:bCs/>
      <w:sz w:val="22"/>
      <w:szCs w:val="22"/>
      <w:lang w:val="es-AR"/>
    </w:rPr>
  </w:style>
  <w:style w:type="character" w:styleId="Hipervnculo">
    <w:name w:val="Hyperlink"/>
    <w:uiPriority w:val="99"/>
    <w:rPr>
      <w:rFonts w:cs="Times New Roman"/>
      <w:color w:val="0000FF"/>
      <w:u w:val="single"/>
    </w:rPr>
  </w:style>
  <w:style w:type="paragraph" w:styleId="Sangradetextonormal">
    <w:name w:val="Body Text Indent"/>
    <w:basedOn w:val="Normal"/>
    <w:pPr>
      <w:ind w:left="1134" w:hanging="426"/>
      <w:jc w:val="left"/>
    </w:pPr>
    <w:rPr>
      <w:rFonts w:cs="Times New Roman"/>
      <w:snapToGrid w:val="0"/>
      <w:sz w:val="20"/>
      <w:szCs w:val="20"/>
      <w:lang w:val="x-none"/>
    </w:rPr>
  </w:style>
  <w:style w:type="character" w:customStyle="1" w:styleId="SangradetextonormalCar">
    <w:name w:val="Sangría de texto normal Car"/>
    <w:locked/>
    <w:rPr>
      <w:rFonts w:ascii="Arial" w:hAnsi="Arial" w:cs="Arial"/>
      <w:snapToGrid w:val="0"/>
      <w:sz w:val="20"/>
      <w:szCs w:val="20"/>
      <w:lang w:val="x-none" w:eastAsia="es-ES"/>
    </w:rPr>
  </w:style>
  <w:style w:type="paragraph" w:customStyle="1" w:styleId="Texto">
    <w:name w:val="Texto"/>
    <w:basedOn w:val="Normal"/>
    <w:rPr>
      <w:rFonts w:ascii="Book Antiqua" w:hAnsi="Book Antiqua" w:cs="Book Antiqua"/>
      <w:sz w:val="20"/>
      <w:szCs w:val="20"/>
    </w:rPr>
  </w:style>
  <w:style w:type="paragraph" w:customStyle="1" w:styleId="xl24">
    <w:name w:val="xl24"/>
    <w:basedOn w:val="Normal"/>
    <w:pPr>
      <w:spacing w:before="100" w:beforeAutospacing="1" w:after="100" w:afterAutospacing="1"/>
      <w:jc w:val="left"/>
    </w:pPr>
    <w:rPr>
      <w:rFonts w:eastAsia="Arial Unicode MS"/>
      <w:i/>
      <w:iCs/>
      <w:sz w:val="24"/>
      <w:szCs w:val="24"/>
      <w:lang w:val="es-ES"/>
    </w:rPr>
  </w:style>
  <w:style w:type="paragraph" w:customStyle="1" w:styleId="xl25">
    <w:name w:val="xl25"/>
    <w:basedOn w:val="Normal"/>
    <w:pPr>
      <w:spacing w:before="100" w:beforeAutospacing="1" w:after="100" w:afterAutospacing="1"/>
      <w:jc w:val="center"/>
    </w:pPr>
    <w:rPr>
      <w:rFonts w:eastAsia="Arial Unicode MS"/>
      <w:i/>
      <w:iC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pPr>
      <w:spacing w:before="100" w:beforeAutospacing="1" w:after="100" w:afterAutospacing="1"/>
      <w:jc w:val="center"/>
    </w:pPr>
    <w:rPr>
      <w:rFonts w:eastAsia="Arial Unicode MS"/>
      <w:i/>
      <w:iCs/>
      <w:sz w:val="24"/>
      <w:szCs w:val="24"/>
      <w:lang w:val="es-ES"/>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pPr>
      <w:spacing w:before="100" w:beforeAutospacing="1" w:after="100" w:afterAutospacing="1"/>
      <w:jc w:val="right"/>
    </w:pPr>
    <w:rPr>
      <w:rFonts w:eastAsia="Arial Unicode MS"/>
      <w:i/>
      <w:iCs/>
      <w:sz w:val="24"/>
      <w:szCs w:val="24"/>
      <w:lang w:val="es-ES"/>
    </w:rPr>
  </w:style>
  <w:style w:type="paragraph" w:customStyle="1" w:styleId="xl35">
    <w:name w:val="xl35"/>
    <w:basedOn w:val="Normal"/>
    <w:pPr>
      <w:spacing w:before="100" w:beforeAutospacing="1" w:after="100" w:afterAutospacing="1"/>
      <w:jc w:val="center"/>
    </w:pPr>
    <w:rPr>
      <w:rFonts w:eastAsia="Arial Unicode MS"/>
      <w:i/>
      <w:iCs/>
      <w:sz w:val="24"/>
      <w:szCs w:val="24"/>
      <w:lang w:val="es-ES"/>
    </w:rPr>
  </w:style>
  <w:style w:type="paragraph" w:customStyle="1" w:styleId="xl36">
    <w:name w:val="xl36"/>
    <w:basedOn w:val="Normal"/>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Pr>
      <w:rFonts w:cs="Times New Roman"/>
      <w:color w:val="800080"/>
      <w:u w:val="single"/>
    </w:rPr>
  </w:style>
  <w:style w:type="paragraph" w:customStyle="1" w:styleId="xl37">
    <w:name w:val="xl37"/>
    <w:basedOn w:val="Normal"/>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pPr>
      <w:spacing w:line="240" w:lineRule="atLeast"/>
      <w:ind w:left="567" w:hanging="567"/>
    </w:pPr>
    <w:rPr>
      <w:rFonts w:cs="Times New Roman"/>
      <w:i/>
      <w:iCs/>
      <w:sz w:val="20"/>
      <w:szCs w:val="20"/>
    </w:rPr>
  </w:style>
  <w:style w:type="character" w:customStyle="1" w:styleId="Sangra2detindependienteCar">
    <w:name w:val="Sangría 2 de t. independiente Car"/>
    <w:locked/>
    <w:rPr>
      <w:rFonts w:ascii="Arial" w:hAnsi="Arial" w:cs="Arial"/>
      <w:i/>
      <w:iCs/>
      <w:sz w:val="20"/>
      <w:szCs w:val="20"/>
      <w:lang w:val="es-ES_tradnl" w:eastAsia="es-ES"/>
    </w:rPr>
  </w:style>
  <w:style w:type="paragraph" w:styleId="Textodeglobo">
    <w:name w:val="Balloon Text"/>
    <w:basedOn w:val="Normal"/>
    <w:semiHidden/>
    <w:rPr>
      <w:rFonts w:ascii="Tahoma" w:hAnsi="Tahoma" w:cs="Times New Roman"/>
      <w:sz w:val="16"/>
      <w:szCs w:val="16"/>
    </w:rPr>
  </w:style>
  <w:style w:type="character" w:customStyle="1" w:styleId="TextodegloboCar">
    <w:name w:val="Texto de globo Car"/>
    <w:semiHidden/>
    <w:locked/>
    <w:rPr>
      <w:rFonts w:ascii="Tahoma" w:hAnsi="Tahoma" w:cs="Tahoma"/>
      <w:sz w:val="16"/>
      <w:szCs w:val="16"/>
      <w:lang w:val="es-ES_tradnl" w:eastAsia="es-ES"/>
    </w:rPr>
  </w:style>
  <w:style w:type="paragraph" w:styleId="Descripcin">
    <w:name w:val="caption"/>
    <w:basedOn w:val="Normal"/>
    <w:next w:val="Normal"/>
    <w:qFormat/>
    <w:pPr>
      <w:keepNext/>
      <w:jc w:val="center"/>
    </w:pPr>
    <w:rPr>
      <w:b/>
      <w:bCs/>
      <w:i/>
      <w:iCs/>
      <w:color w:val="000000"/>
      <w:sz w:val="20"/>
      <w:szCs w:val="20"/>
    </w:rPr>
  </w:style>
  <w:style w:type="paragraph" w:customStyle="1" w:styleId="xl38">
    <w:name w:val="xl38"/>
    <w:basedOn w:val="Normal"/>
    <w:pPr>
      <w:spacing w:before="100" w:beforeAutospacing="1" w:after="100" w:afterAutospacing="1"/>
      <w:jc w:val="center"/>
    </w:pPr>
    <w:rPr>
      <w:rFonts w:eastAsia="Arial Unicode MS"/>
      <w:i/>
      <w:iCs/>
      <w:sz w:val="14"/>
      <w:szCs w:val="14"/>
      <w:lang w:val="es-ES"/>
    </w:rPr>
  </w:style>
  <w:style w:type="character" w:styleId="nfasis">
    <w:name w:val="Emphasis"/>
    <w:qFormat/>
    <w:rPr>
      <w:rFonts w:cs="Times New Roman"/>
      <w:i/>
      <w:iCs/>
    </w:rPr>
  </w:style>
  <w:style w:type="character" w:styleId="Textoennegrita">
    <w:name w:val="Strong"/>
    <w:qFormat/>
    <w:rPr>
      <w:rFonts w:cs="Times New Roman"/>
      <w:b/>
      <w:bCs/>
    </w:rPr>
  </w:style>
  <w:style w:type="paragraph" w:styleId="Sangra3detindependiente">
    <w:name w:val="Body Text Indent 3"/>
    <w:basedOn w:val="Normal"/>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Pr>
      <w:rFonts w:ascii="Arial" w:hAnsi="Arial" w:cs="Arial"/>
      <w:i/>
      <w:iCs/>
      <w:color w:val="000000"/>
      <w:sz w:val="20"/>
      <w:szCs w:val="20"/>
      <w:lang w:val="es-ES_tradnl" w:eastAsia="es-ES"/>
    </w:rPr>
  </w:style>
  <w:style w:type="character" w:styleId="Refdecomentario">
    <w:name w:val="annotation reference"/>
    <w:semiHidden/>
    <w:rPr>
      <w:rFonts w:cs="Times New Roman"/>
      <w:sz w:val="16"/>
      <w:szCs w:val="16"/>
    </w:rPr>
  </w:style>
  <w:style w:type="paragraph" w:styleId="Textocomentario">
    <w:name w:val="annotation text"/>
    <w:basedOn w:val="Normal"/>
    <w:uiPriority w:val="99"/>
    <w:semiHidden/>
    <w:rPr>
      <w:rFonts w:cs="Times New Roman"/>
      <w:sz w:val="20"/>
      <w:szCs w:val="20"/>
    </w:rPr>
  </w:style>
  <w:style w:type="character" w:customStyle="1" w:styleId="TextocomentarioCar">
    <w:name w:val="Texto comentario Car"/>
    <w:uiPriority w:val="99"/>
    <w:semiHidden/>
    <w:locked/>
    <w:rPr>
      <w:rFonts w:ascii="Arial" w:hAnsi="Arial" w:cs="Arial"/>
      <w:sz w:val="20"/>
      <w:szCs w:val="20"/>
      <w:lang w:val="es-ES_tradnl" w:eastAsia="es-ES"/>
    </w:rPr>
  </w:style>
  <w:style w:type="paragraph" w:styleId="Asuntodelcomentario">
    <w:name w:val="annotation subject"/>
    <w:basedOn w:val="Textocomentario"/>
    <w:next w:val="Textocomentario"/>
    <w:semiHidden/>
    <w:rPr>
      <w:b/>
      <w:bCs/>
    </w:rPr>
  </w:style>
  <w:style w:type="character" w:customStyle="1" w:styleId="AsuntodelcomentarioCar">
    <w:name w:val="Asunto del comentario Car"/>
    <w:semiHidden/>
    <w:locked/>
    <w:rPr>
      <w:rFonts w:ascii="Arial" w:hAnsi="Arial" w:cs="Arial"/>
      <w:b/>
      <w:bCs/>
      <w:sz w:val="20"/>
      <w:szCs w:val="20"/>
      <w:lang w:val="es-ES_tradnl" w:eastAsia="es-ES"/>
    </w:rPr>
  </w:style>
  <w:style w:type="paragraph" w:customStyle="1" w:styleId="OmniPage770">
    <w:name w:val="OmniPage #770"/>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Pr>
      <w:sz w:val="22"/>
      <w:szCs w:val="22"/>
      <w:lang w:val="es-AR"/>
    </w:rPr>
  </w:style>
  <w:style w:type="paragraph" w:customStyle="1" w:styleId="Estndar">
    <w:name w:val="Estándar"/>
    <w:basedOn w:val="Normal"/>
    <w:pPr>
      <w:jc w:val="left"/>
    </w:pPr>
    <w:rPr>
      <w:rFonts w:cs="Times New Roman"/>
      <w:sz w:val="24"/>
      <w:szCs w:val="24"/>
    </w:rPr>
  </w:style>
  <w:style w:type="paragraph" w:customStyle="1" w:styleId="textopredeterminado1">
    <w:name w:val="textopredeterminado1"/>
    <w:basedOn w:val="Normal"/>
    <w:pPr>
      <w:spacing w:before="100" w:beforeAutospacing="1" w:after="100" w:afterAutospacing="1"/>
      <w:jc w:val="left"/>
    </w:pPr>
    <w:rPr>
      <w:rFonts w:cs="Times New Roman"/>
      <w:sz w:val="24"/>
      <w:szCs w:val="24"/>
      <w:lang w:val="es-ES"/>
    </w:rPr>
  </w:style>
  <w:style w:type="paragraph" w:customStyle="1" w:styleId="estndar0">
    <w:name w:val="estndar"/>
    <w:basedOn w:val="Normal"/>
    <w:pPr>
      <w:spacing w:before="100" w:beforeAutospacing="1" w:after="100" w:afterAutospacing="1"/>
      <w:jc w:val="left"/>
    </w:pPr>
    <w:rPr>
      <w:rFonts w:cs="Times New Roman"/>
      <w:sz w:val="24"/>
      <w:szCs w:val="24"/>
      <w:lang w:val="es-ES"/>
    </w:rPr>
  </w:style>
  <w:style w:type="paragraph" w:styleId="Subttulo">
    <w:name w:val="Subtitle"/>
    <w:basedOn w:val="Normal"/>
    <w:qFormat/>
    <w:rPr>
      <w:rFonts w:cs="Times New Roman"/>
      <w:i/>
      <w:iCs/>
      <w:sz w:val="24"/>
      <w:szCs w:val="24"/>
      <w:lang w:val="x-none"/>
    </w:rPr>
  </w:style>
  <w:style w:type="character" w:customStyle="1" w:styleId="SubttuloCar">
    <w:name w:val="Subtítulo Car"/>
    <w:locked/>
    <w:rPr>
      <w:rFonts w:ascii="Arial" w:hAnsi="Arial" w:cs="Arial"/>
      <w:i/>
      <w:iCs/>
      <w:sz w:val="24"/>
      <w:szCs w:val="24"/>
      <w:lang w:val="x-none"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pPr>
      <w:widowControl w:val="0"/>
      <w:ind w:left="709" w:right="-178" w:hanging="709"/>
    </w:pPr>
    <w:rPr>
      <w:i/>
      <w:iCs/>
      <w:sz w:val="22"/>
      <w:szCs w:val="22"/>
      <w:lang w:val="es-AR"/>
    </w:rPr>
  </w:style>
  <w:style w:type="paragraph" w:customStyle="1" w:styleId="BodyText22">
    <w:name w:val="Body Text 22"/>
    <w:basedOn w:val="Normal"/>
    <w:pPr>
      <w:widowControl w:val="0"/>
    </w:pPr>
    <w:rPr>
      <w:rFonts w:cs="Times New Roman"/>
      <w:sz w:val="20"/>
      <w:szCs w:val="20"/>
      <w:lang w:val="es-AR"/>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pPr>
      <w:autoSpaceDE w:val="0"/>
      <w:autoSpaceDN w:val="0"/>
      <w:jc w:val="left"/>
    </w:pPr>
    <w:rPr>
      <w:rFonts w:eastAsia="Arial Unicode MS"/>
      <w:color w:val="000000"/>
      <w:sz w:val="24"/>
      <w:szCs w:val="24"/>
      <w:lang w:val="es-ES"/>
    </w:rPr>
  </w:style>
  <w:style w:type="paragraph" w:styleId="Mapadeldocumento">
    <w:name w:val="Document Map"/>
    <w:basedOn w:val="Normal"/>
    <w:semiHidden/>
    <w:rPr>
      <w:rFonts w:ascii="Tahoma" w:hAnsi="Tahoma" w:cs="Times New Roman"/>
      <w:sz w:val="16"/>
      <w:szCs w:val="16"/>
    </w:rPr>
  </w:style>
  <w:style w:type="character" w:customStyle="1" w:styleId="MapadeldocumentoCar">
    <w:name w:val="Mapa del documento Car"/>
    <w:semiHidden/>
    <w:locked/>
    <w:rPr>
      <w:rFonts w:ascii="Tahoma" w:hAnsi="Tahoma" w:cs="Tahoma"/>
      <w:sz w:val="16"/>
      <w:szCs w:val="16"/>
      <w:lang w:val="es-ES_tradnl" w:eastAsia="es-ES"/>
    </w:rPr>
  </w:style>
  <w:style w:type="paragraph" w:styleId="Textosinformato">
    <w:name w:val="Plain Text"/>
    <w:basedOn w:val="Normal"/>
    <w:pPr>
      <w:jc w:val="left"/>
    </w:pPr>
    <w:rPr>
      <w:rFonts w:ascii="Consolas" w:hAnsi="Consolas" w:cs="Times New Roman"/>
      <w:sz w:val="21"/>
      <w:szCs w:val="21"/>
      <w:lang w:val="x-none" w:eastAsia="x-none"/>
    </w:rPr>
  </w:style>
  <w:style w:type="character" w:customStyle="1" w:styleId="TextosinformatoCar">
    <w:name w:val="Texto sin formato Car"/>
    <w:locked/>
    <w:rPr>
      <w:rFonts w:ascii="Consolas" w:hAnsi="Consolas" w:cs="Consolas"/>
      <w:sz w:val="21"/>
      <w:szCs w:val="21"/>
    </w:rPr>
  </w:style>
  <w:style w:type="paragraph" w:customStyle="1" w:styleId="bodytext220">
    <w:name w:val="bodytext22"/>
    <w:basedOn w:val="Normal"/>
    <w:rPr>
      <w:rFonts w:ascii="CG Times (W1)" w:hAnsi="CG Times (W1)" w:cs="CG Times (W1)"/>
      <w:sz w:val="20"/>
      <w:szCs w:val="20"/>
      <w:lang w:val="es-E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pPr>
      <w:spacing w:before="100" w:beforeAutospacing="1" w:after="100" w:afterAutospacing="1"/>
      <w:jc w:val="left"/>
    </w:pPr>
    <w:rPr>
      <w:rFonts w:eastAsia="Arial Unicode MS"/>
      <w:i/>
      <w:iCs/>
      <w:sz w:val="24"/>
      <w:szCs w:val="24"/>
      <w:lang w:val="es-ES"/>
    </w:rPr>
  </w:style>
  <w:style w:type="paragraph" w:customStyle="1" w:styleId="xl72">
    <w:name w:val="xl72"/>
    <w:basedOn w:val="Normal"/>
    <w:pPr>
      <w:spacing w:before="100" w:beforeAutospacing="1" w:after="100" w:afterAutospacing="1"/>
      <w:jc w:val="center"/>
    </w:pPr>
    <w:rPr>
      <w:rFonts w:eastAsia="Arial Unicode MS"/>
      <w:i/>
      <w:iCs/>
      <w:sz w:val="24"/>
      <w:szCs w:val="24"/>
      <w:lang w:val="es-ES"/>
    </w:rPr>
  </w:style>
  <w:style w:type="paragraph" w:customStyle="1" w:styleId="xl73">
    <w:name w:val="xl73"/>
    <w:basedOn w:val="Normal"/>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pPr>
      <w:spacing w:before="100" w:beforeAutospacing="1" w:after="100" w:afterAutospacing="1"/>
      <w:jc w:val="center"/>
    </w:pPr>
    <w:rPr>
      <w:rFonts w:eastAsia="Arial Unicode MS"/>
      <w:i/>
      <w:iCs/>
      <w:sz w:val="24"/>
      <w:szCs w:val="24"/>
      <w:lang w:val="es-ES"/>
    </w:rPr>
  </w:style>
  <w:style w:type="paragraph" w:customStyle="1" w:styleId="xl78">
    <w:name w:val="xl78"/>
    <w:basedOn w:val="Normal"/>
    <w:pPr>
      <w:spacing w:before="100" w:beforeAutospacing="1" w:after="100" w:afterAutospacing="1"/>
      <w:jc w:val="left"/>
    </w:pPr>
    <w:rPr>
      <w:rFonts w:eastAsia="Arial Unicode MS"/>
      <w:i/>
      <w:iCs/>
      <w:sz w:val="24"/>
      <w:szCs w:val="24"/>
      <w:lang w:val="es-ES"/>
    </w:rPr>
  </w:style>
  <w:style w:type="paragraph" w:customStyle="1" w:styleId="xl79">
    <w:name w:val="xl79"/>
    <w:basedOn w:val="Normal"/>
    <w:pPr>
      <w:spacing w:before="100" w:beforeAutospacing="1" w:after="100" w:afterAutospacing="1"/>
      <w:jc w:val="right"/>
    </w:pPr>
    <w:rPr>
      <w:rFonts w:eastAsia="Arial Unicode MS"/>
      <w:i/>
      <w:iCs/>
      <w:sz w:val="24"/>
      <w:szCs w:val="24"/>
      <w:lang w:val="es-ES"/>
    </w:rPr>
  </w:style>
  <w:style w:type="paragraph" w:customStyle="1" w:styleId="xl80">
    <w:name w:val="xl80"/>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pPr>
      <w:tabs>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Listaconvietas">
    <w:name w:val="List Bullet"/>
    <w:basedOn w:val="Normal"/>
    <w:autoRedefine/>
    <w:pPr>
      <w:tabs>
        <w:tab w:val="num" w:pos="360"/>
      </w:tabs>
      <w:ind w:left="360" w:hanging="360"/>
    </w:pPr>
  </w:style>
  <w:style w:type="paragraph" w:styleId="Listaconvietas2">
    <w:name w:val="List Bullet 2"/>
    <w:basedOn w:val="Normal"/>
    <w:autoRedefine/>
    <w:pPr>
      <w:tabs>
        <w:tab w:val="num" w:pos="643"/>
      </w:tabs>
      <w:ind w:left="643" w:hanging="360"/>
    </w:pPr>
  </w:style>
  <w:style w:type="paragraph" w:styleId="Listaconvietas3">
    <w:name w:val="List Bullet 3"/>
    <w:basedOn w:val="Normal"/>
    <w:autoRedefine/>
    <w:pPr>
      <w:tabs>
        <w:tab w:val="num" w:pos="926"/>
      </w:tabs>
      <w:ind w:left="926" w:hanging="360"/>
    </w:pPr>
  </w:style>
  <w:style w:type="paragraph" w:styleId="Listaconvietas4">
    <w:name w:val="List Bullet 4"/>
    <w:basedOn w:val="Normal"/>
    <w:autoRedefine/>
    <w:pPr>
      <w:tabs>
        <w:tab w:val="num" w:pos="1209"/>
      </w:tabs>
      <w:ind w:left="1209" w:hanging="360"/>
    </w:pPr>
  </w:style>
  <w:style w:type="paragraph" w:styleId="Listaconvietas5">
    <w:name w:val="List Bullet 5"/>
    <w:basedOn w:val="Normal"/>
    <w:autoRedefine/>
    <w:pPr>
      <w:tabs>
        <w:tab w:val="num" w:pos="1492"/>
      </w:tabs>
      <w:ind w:left="1492" w:hanging="360"/>
    </w:pPr>
  </w:style>
  <w:style w:type="paragraph" w:customStyle="1" w:styleId="StyleBulleted1">
    <w:name w:val="Style Bulleted 1"/>
    <w:basedOn w:val="Normal"/>
    <w:autoRedefine/>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Pr>
      <w:rFonts w:ascii="Book Antiqua" w:eastAsia="Arial Unicode MS" w:hAnsi="Book Antiqua" w:cs="Book Antiqua"/>
      <w:sz w:val="20"/>
      <w:szCs w:val="20"/>
      <w:lang w:val="es-ES"/>
    </w:rPr>
  </w:style>
  <w:style w:type="paragraph" w:customStyle="1" w:styleId="Style2">
    <w:name w:val="Style 2"/>
    <w:basedOn w:val="Normal"/>
    <w:pPr>
      <w:widowControl w:val="0"/>
      <w:autoSpaceDE w:val="0"/>
      <w:autoSpaceDN w:val="0"/>
      <w:spacing w:line="360" w:lineRule="auto"/>
    </w:pPr>
    <w:rPr>
      <w:rFonts w:cs="Times New Roman"/>
      <w:sz w:val="24"/>
      <w:szCs w:val="24"/>
      <w:lang w:val="en-US"/>
    </w:rPr>
  </w:style>
  <w:style w:type="paragraph" w:customStyle="1" w:styleId="Style4">
    <w:name w:val="Style 4"/>
    <w:basedOn w:val="Normal"/>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Pr>
      <w:rFonts w:cs="Times New Roman"/>
      <w:sz w:val="19"/>
      <w:szCs w:val="19"/>
    </w:rPr>
  </w:style>
  <w:style w:type="paragraph" w:customStyle="1" w:styleId="Revisin1">
    <w:name w:val="Revisión1"/>
    <w:hidden/>
    <w:semiHidden/>
    <w:rPr>
      <w:rFonts w:ascii="Arial" w:hAnsi="Arial" w:cs="Arial"/>
      <w:sz w:val="26"/>
      <w:szCs w:val="26"/>
      <w:lang w:val="es-ES_tradnl" w:eastAsia="es-ES"/>
    </w:rPr>
  </w:style>
  <w:style w:type="paragraph" w:customStyle="1" w:styleId="xl67">
    <w:name w:val="xl67"/>
    <w:basedOn w:val="Normal"/>
    <w:pPr>
      <w:spacing w:before="100" w:beforeAutospacing="1" w:after="100" w:afterAutospacing="1"/>
      <w:jc w:val="left"/>
    </w:pPr>
    <w:rPr>
      <w:rFonts w:eastAsia="Arial Unicode MS"/>
      <w:i/>
      <w:iCs/>
      <w:sz w:val="24"/>
      <w:szCs w:val="24"/>
      <w:lang w:val="es-ES"/>
    </w:rPr>
  </w:style>
  <w:style w:type="character" w:customStyle="1" w:styleId="Car1">
    <w:name w:val="Car1"/>
    <w:semiHidden/>
    <w:rPr>
      <w:rFonts w:ascii="Arial" w:hAnsi="Arial" w:cs="Arial"/>
      <w:lang w:val="es-ES_tradnl" w:eastAsia="x-none"/>
    </w:rPr>
  </w:style>
  <w:style w:type="paragraph" w:customStyle="1" w:styleId="style20">
    <w:name w:val="style2"/>
    <w:basedOn w:val="Normal"/>
    <w:pPr>
      <w:spacing w:before="100" w:beforeAutospacing="1" w:after="100" w:afterAutospacing="1"/>
      <w:jc w:val="left"/>
    </w:pPr>
    <w:rPr>
      <w:rFonts w:cs="Times New Roman"/>
      <w:sz w:val="24"/>
      <w:szCs w:val="24"/>
      <w:lang w:val="es-ES"/>
    </w:rPr>
  </w:style>
  <w:style w:type="paragraph" w:customStyle="1" w:styleId="omnipage7700">
    <w:name w:val="omnipage770"/>
    <w:basedOn w:val="Normal"/>
    <w:rPr>
      <w:rFonts w:ascii="Times New Roman" w:eastAsia="Times New Roman" w:hAnsi="Times New Roman" w:cs="Times New Roman"/>
      <w:sz w:val="18"/>
      <w:szCs w:val="18"/>
      <w:lang w:val="es-ES"/>
    </w:rPr>
  </w:style>
  <w:style w:type="paragraph" w:customStyle="1" w:styleId="Textopredete">
    <w:name w:val="Texto predete"/>
    <w:rPr>
      <w:rFonts w:ascii="Arial" w:hAnsi="Arial"/>
      <w:color w:val="000000"/>
      <w:sz w:val="24"/>
      <w:szCs w:val="24"/>
      <w:lang w:val="es-ES_tradnl" w:eastAsia="es-ES"/>
    </w:rPr>
  </w:style>
  <w:style w:type="paragraph" w:customStyle="1" w:styleId="epgrafe">
    <w:name w:val="epígrafe"/>
    <w:basedOn w:val="Normal"/>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Pr>
      <w:rFonts w:eastAsia="Arial Unicode MS"/>
      <w:sz w:val="20"/>
      <w:szCs w:val="20"/>
      <w:lang w:val="es-ES"/>
    </w:rPr>
  </w:style>
  <w:style w:type="character" w:customStyle="1" w:styleId="Car2">
    <w:name w:val="Car2"/>
    <w:semiHidden/>
    <w:rPr>
      <w:rFonts w:ascii="Arial" w:hAnsi="Arial" w:cs="Arial"/>
      <w:lang w:val="es-ES_tradnl" w:eastAsia="x-none"/>
    </w:rPr>
  </w:style>
  <w:style w:type="paragraph" w:customStyle="1" w:styleId="xl582">
    <w:name w:val="xl582"/>
    <w:basedOn w:val="Normal"/>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pPr>
      <w:spacing w:before="200"/>
    </w:pPr>
    <w:rPr>
      <w:rFonts w:cs="Times New Roman"/>
      <w:sz w:val="20"/>
      <w:szCs w:val="20"/>
      <w:lang w:val="en-US" w:eastAsia="en-US"/>
    </w:rPr>
  </w:style>
  <w:style w:type="paragraph" w:customStyle="1" w:styleId="TitleL">
    <w:name w:val="Title L"/>
    <w:basedOn w:val="Puesto"/>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Pr>
      <w:rFonts w:ascii="Arial" w:hAnsi="Arial" w:cs="Arial"/>
      <w:i/>
      <w:iCs/>
      <w:color w:val="000000"/>
      <w:sz w:val="18"/>
      <w:szCs w:val="18"/>
      <w:lang w:val="es-ES_tradnl" w:eastAsia="x-none"/>
    </w:rPr>
  </w:style>
  <w:style w:type="character" w:customStyle="1" w:styleId="st1">
    <w:name w:val="st1"/>
    <w:rPr>
      <w:rFonts w:ascii="Times New Roman" w:hAnsi="Times New Roman" w:cs="Times New Roman"/>
    </w:rPr>
  </w:style>
  <w:style w:type="character" w:customStyle="1" w:styleId="Car21">
    <w:name w:val="Car21"/>
    <w:rPr>
      <w:rFonts w:ascii="Arial" w:hAnsi="Arial" w:cs="Arial"/>
      <w:lang w:val="es-ES_tradnl" w:eastAsia="x-none"/>
    </w:rPr>
  </w:style>
  <w:style w:type="paragraph" w:customStyle="1" w:styleId="Style5">
    <w:name w:val="Style 5"/>
    <w:basedOn w:val="Normal"/>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Pr>
      <w:rFonts w:ascii="Arial" w:hAnsi="Arial"/>
      <w:sz w:val="26"/>
      <w:lang w:val="es-ES_tradnl" w:eastAsia="es-ES"/>
    </w:rPr>
  </w:style>
  <w:style w:type="paragraph" w:styleId="Revisin">
    <w:name w:val="Revision"/>
    <w:hidden/>
    <w:semiHidden/>
    <w:rPr>
      <w:rFonts w:ascii="Arial" w:hAnsi="Arial" w:cs="Arial"/>
      <w:sz w:val="26"/>
      <w:szCs w:val="26"/>
      <w:lang w:val="es-ES_tradnl" w:eastAsia="es-ES"/>
    </w:rPr>
  </w:style>
  <w:style w:type="character" w:customStyle="1" w:styleId="cuit">
    <w:name w:val="cuit"/>
    <w:basedOn w:val="Fuentedeprrafopredeter"/>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rsid w:val="008B29C3"/>
  </w:style>
  <w:style w:type="paragraph" w:customStyle="1" w:styleId="Prrafodelista1">
    <w:name w:val="Párrafo de lista1"/>
    <w:basedOn w:val="Normal"/>
    <w:uiPriority w:val="99"/>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Puest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styleId="Sombreadoclaro">
    <w:name w:val="Light Shading"/>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de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200640"/>
    <w:pPr>
      <w:tabs>
        <w:tab w:val="right" w:leader="dot" w:pos="8830"/>
      </w:tabs>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0835743">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4329195">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hyperlink" Target="http://www.cnv.gov.ar" TargetMode="External"/><Relationship Id="rId34" Type="http://schemas.openxmlformats.org/officeDocument/2006/relationships/image" Target="media/image19.e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argentina.gob.ar" TargetMode="External"/><Relationship Id="rId29" Type="http://schemas.openxmlformats.org/officeDocument/2006/relationships/image" Target="media/image14.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webSettings" Target="webSettings.xml"/><Relationship Id="rId19" Type="http://schemas.openxmlformats.org/officeDocument/2006/relationships/hyperlink" Target="http://www.cnv.gov.ar" TargetMode="External"/><Relationship Id="rId31" Type="http://schemas.openxmlformats.org/officeDocument/2006/relationships/image" Target="media/image1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A6E8-DCA6-4DD1-8F9B-020CB584EBE9}">
  <ds:schemaRefs>
    <ds:schemaRef ds:uri="http://schemas.openxmlformats.org/officeDocument/2006/bibliography"/>
  </ds:schemaRefs>
</ds:datastoreItem>
</file>

<file path=customXml/itemProps2.xml><?xml version="1.0" encoding="utf-8"?>
<ds:datastoreItem xmlns:ds="http://schemas.openxmlformats.org/officeDocument/2006/customXml" ds:itemID="{4DA467C6-73EF-419A-A810-3556E825C7B2}">
  <ds:schemaRefs>
    <ds:schemaRef ds:uri="http://schemas.openxmlformats.org/officeDocument/2006/bibliography"/>
  </ds:schemaRefs>
</ds:datastoreItem>
</file>

<file path=customXml/itemProps3.xml><?xml version="1.0" encoding="utf-8"?>
<ds:datastoreItem xmlns:ds="http://schemas.openxmlformats.org/officeDocument/2006/customXml" ds:itemID="{4A97F3F9-1209-4CDB-82A2-560109A2202C}">
  <ds:schemaRefs>
    <ds:schemaRef ds:uri="http://schemas.openxmlformats.org/officeDocument/2006/bibliography"/>
  </ds:schemaRefs>
</ds:datastoreItem>
</file>

<file path=customXml/itemProps4.xml><?xml version="1.0" encoding="utf-8"?>
<ds:datastoreItem xmlns:ds="http://schemas.openxmlformats.org/officeDocument/2006/customXml" ds:itemID="{17BB3F22-FEAD-43EE-B9A1-F7358FC548A4}">
  <ds:schemaRefs>
    <ds:schemaRef ds:uri="http://schemas.openxmlformats.org/officeDocument/2006/bibliography"/>
  </ds:schemaRefs>
</ds:datastoreItem>
</file>

<file path=customXml/itemProps5.xml><?xml version="1.0" encoding="utf-8"?>
<ds:datastoreItem xmlns:ds="http://schemas.openxmlformats.org/officeDocument/2006/customXml" ds:itemID="{FD423358-A5A8-48FE-9FAB-A25F3EBC608F}">
  <ds:schemaRefs>
    <ds:schemaRef ds:uri="http://schemas.openxmlformats.org/officeDocument/2006/bibliography"/>
  </ds:schemaRefs>
</ds:datastoreItem>
</file>

<file path=customXml/itemProps6.xml><?xml version="1.0" encoding="utf-8"?>
<ds:datastoreItem xmlns:ds="http://schemas.openxmlformats.org/officeDocument/2006/customXml" ds:itemID="{BF7276DF-E59E-4E6B-BF5E-B50CFA39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14476</Words>
  <Characters>79618</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93907</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creator>Francisco Jose Grasso</dc:creator>
  <cp:lastModifiedBy>Lucas Jakimowicz</cp:lastModifiedBy>
  <cp:revision>3</cp:revision>
  <cp:lastPrinted>2020-02-13T13:14:00Z</cp:lastPrinted>
  <dcterms:created xsi:type="dcterms:W3CDTF">2020-03-13T19:53:00Z</dcterms:created>
  <dcterms:modified xsi:type="dcterms:W3CDTF">2020-03-13T19:53:00Z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