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BE2858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FINCAS DEL ROSARIO</w:t>
      </w:r>
      <w:r w:rsidR="0089518C">
        <w:rPr>
          <w:rFonts w:ascii="Times New Roman" w:hAnsi="Times New Roman" w:cs="Times New Roman"/>
          <w:sz w:val="24"/>
          <w:szCs w:val="24"/>
        </w:rPr>
        <w:t xml:space="preserve"> S.R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89518C">
        <w:rPr>
          <w:rFonts w:ascii="Times New Roman" w:hAnsi="Times New Roman" w:cs="Times New Roman"/>
          <w:sz w:val="24"/>
          <w:szCs w:val="24"/>
        </w:rPr>
        <w:t>L.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BE2858">
        <w:rPr>
          <w:rFonts w:ascii="Times New Roman" w:hAnsi="Times New Roman" w:cs="Times New Roman"/>
          <w:sz w:val="24"/>
          <w:szCs w:val="24"/>
        </w:rPr>
        <w:t>FINCAS DEL ROSARIO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BE2858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BE2858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2020-06-02T11:47:00Z</dcterms:modified>
</cp:coreProperties>
</file>