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0A2DB1" w:rsidRDefault="000A2DB1" w:rsidP="000A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COES SUDAMÉRICA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>,</w:t>
      </w:r>
      <w:r w:rsidR="000A2DB1">
        <w:rPr>
          <w:rFonts w:ascii="Times New Roman" w:hAnsi="Times New Roman" w:cs="Times New Roman"/>
          <w:sz w:val="24"/>
          <w:szCs w:val="24"/>
        </w:rPr>
        <w:t xml:space="preserve"> COES SUDAMÉRICA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0A2DB1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2DB1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2020-06-02T11:55:00Z</dcterms:modified>
</cp:coreProperties>
</file>