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99DD" w14:textId="77777777" w:rsidR="00651CE1" w:rsidRPr="00506990" w:rsidRDefault="00651CE1" w:rsidP="00EE6B60">
      <w:pPr>
        <w:pStyle w:val="Descripcin"/>
        <w:rPr>
          <w:rFonts w:ascii="Times New Roman" w:hAnsi="Times New Roman" w:cs="Times New Roman"/>
        </w:rPr>
      </w:pPr>
      <w:r w:rsidRPr="00506990">
        <w:rPr>
          <w:rFonts w:ascii="Times New Roman" w:hAnsi="Times New Roman" w:cs="Times New Roman"/>
        </w:rPr>
        <w:t>SUPLEMENTO DEL PROSPECTO DE OFERTA PÚBLICA</w:t>
      </w:r>
    </w:p>
    <w:p w14:paraId="6498464B" w14:textId="43A98F33"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0" w:name="_Toc506982456"/>
      <w:bookmarkStart w:id="1" w:name="_Toc521424840"/>
      <w:bookmarkStart w:id="2" w:name="_Toc20409054"/>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 xml:space="preserve">“CONFIBONO </w:t>
      </w:r>
      <w:r w:rsidR="003F20DA" w:rsidRPr="00506990">
        <w:rPr>
          <w:rFonts w:ascii="Times New Roman" w:hAnsi="Times New Roman" w:cs="Times New Roman"/>
          <w:b/>
          <w:bCs/>
          <w:iCs/>
          <w:color w:val="0D0D0D" w:themeColor="text1" w:themeTint="F2"/>
          <w:sz w:val="22"/>
          <w:szCs w:val="22"/>
          <w:u w:val="single"/>
        </w:rPr>
        <w:t>L</w:t>
      </w:r>
      <w:r w:rsidR="00C55AB5" w:rsidRPr="00506990">
        <w:rPr>
          <w:rFonts w:ascii="Times New Roman" w:hAnsi="Times New Roman" w:cs="Times New Roman"/>
          <w:b/>
          <w:bCs/>
          <w:iCs/>
          <w:color w:val="0D0D0D" w:themeColor="text1" w:themeTint="F2"/>
          <w:sz w:val="22"/>
          <w:szCs w:val="22"/>
          <w:u w:val="single"/>
        </w:rPr>
        <w:t>I</w:t>
      </w:r>
      <w:r w:rsidR="0069754F" w:rsidRPr="00506990">
        <w:rPr>
          <w:rFonts w:ascii="Times New Roman" w:hAnsi="Times New Roman" w:cs="Times New Roman"/>
          <w:b/>
          <w:bCs/>
          <w:iCs/>
          <w:color w:val="0D0D0D" w:themeColor="text1" w:themeTint="F2"/>
          <w:sz w:val="22"/>
          <w:szCs w:val="22"/>
          <w:u w:val="single"/>
        </w:rPr>
        <w:t>I</w:t>
      </w:r>
      <w:r w:rsidR="00727F69" w:rsidRPr="00506990">
        <w:rPr>
          <w:rFonts w:ascii="Times New Roman" w:hAnsi="Times New Roman" w:cs="Times New Roman"/>
          <w:b/>
          <w:bCs/>
          <w:iCs/>
          <w:color w:val="0D0D0D" w:themeColor="text1" w:themeTint="F2"/>
          <w:sz w:val="22"/>
          <w:szCs w:val="22"/>
          <w:u w:val="single"/>
        </w:rPr>
        <w:t>I</w:t>
      </w:r>
      <w:r w:rsidRPr="00506990">
        <w:rPr>
          <w:rFonts w:ascii="Times New Roman" w:hAnsi="Times New Roman" w:cs="Times New Roman"/>
          <w:b/>
          <w:bCs/>
          <w:iCs/>
          <w:color w:val="0D0D0D" w:themeColor="text1" w:themeTint="F2"/>
          <w:sz w:val="22"/>
          <w:szCs w:val="22"/>
          <w:u w:val="single"/>
        </w:rPr>
        <w:t>”</w:t>
      </w:r>
      <w:bookmarkEnd w:id="0"/>
      <w:bookmarkEnd w:id="1"/>
      <w:bookmarkEnd w:id="2"/>
    </w:p>
    <w:p w14:paraId="3C39AACB" w14:textId="2ACD16BF" w:rsidR="001E3465" w:rsidRPr="00506990" w:rsidRDefault="001E3465" w:rsidP="00651CE1">
      <w:pPr>
        <w:suppressLineNumbers/>
        <w:jc w:val="center"/>
        <w:rPr>
          <w:rFonts w:ascii="Times New Roman" w:hAnsi="Times New Roman" w:cs="Times New Roman"/>
          <w:b/>
          <w:color w:val="0D0D0D" w:themeColor="text1" w:themeTint="F2"/>
          <w:sz w:val="22"/>
          <w:szCs w:val="22"/>
        </w:rPr>
      </w:pPr>
    </w:p>
    <w:p w14:paraId="4C1A58E6" w14:textId="50FC1D62" w:rsidR="00651CE1" w:rsidRPr="00506990" w:rsidRDefault="006C6BA2"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En el marco del </w:t>
      </w:r>
      <w:r w:rsidR="00651CE1" w:rsidRPr="00506990">
        <w:rPr>
          <w:rFonts w:ascii="Times New Roman" w:hAnsi="Times New Roman" w:cs="Times New Roman"/>
          <w:b/>
          <w:color w:val="0D0D0D" w:themeColor="text1" w:themeTint="F2"/>
          <w:sz w:val="22"/>
          <w:szCs w:val="22"/>
        </w:rPr>
        <w:t>Programa Global de Valores Fiduciarios “CONFIBONO”</w:t>
      </w:r>
    </w:p>
    <w:p w14:paraId="60FF7AC4" w14:textId="3DF91152"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Hasta V/N </w:t>
      </w:r>
      <w:r w:rsidR="00656019" w:rsidRPr="00506990">
        <w:rPr>
          <w:rFonts w:ascii="Times New Roman" w:hAnsi="Times New Roman" w:cs="Times New Roman"/>
          <w:b/>
          <w:color w:val="0D0D0D" w:themeColor="text1" w:themeTint="F2"/>
          <w:sz w:val="22"/>
          <w:szCs w:val="22"/>
        </w:rPr>
        <w:t>U</w:t>
      </w:r>
      <w:r w:rsidRPr="00506990">
        <w:rPr>
          <w:rFonts w:ascii="Times New Roman" w:hAnsi="Times New Roman" w:cs="Times New Roman"/>
          <w:b/>
          <w:color w:val="0D0D0D" w:themeColor="text1" w:themeTint="F2"/>
          <w:sz w:val="22"/>
          <w:szCs w:val="22"/>
        </w:rPr>
        <w:t>$</w:t>
      </w:r>
      <w:r w:rsidR="00656019" w:rsidRPr="00506990">
        <w:rPr>
          <w:rFonts w:ascii="Times New Roman" w:hAnsi="Times New Roman" w:cs="Times New Roman"/>
          <w:b/>
          <w:color w:val="0D0D0D" w:themeColor="text1" w:themeTint="F2"/>
          <w:sz w:val="22"/>
          <w:szCs w:val="22"/>
        </w:rPr>
        <w:t>S</w:t>
      </w:r>
      <w:r w:rsidRPr="00506990">
        <w:rPr>
          <w:rFonts w:ascii="Times New Roman" w:hAnsi="Times New Roman" w:cs="Times New Roman"/>
          <w:b/>
          <w:color w:val="0D0D0D" w:themeColor="text1" w:themeTint="F2"/>
          <w:sz w:val="22"/>
          <w:szCs w:val="22"/>
        </w:rPr>
        <w:t xml:space="preserve"> </w:t>
      </w:r>
      <w:r w:rsidR="00656019" w:rsidRPr="00506990">
        <w:rPr>
          <w:rFonts w:ascii="Times New Roman" w:hAnsi="Times New Roman" w:cs="Times New Roman"/>
          <w:b/>
          <w:color w:val="0D0D0D" w:themeColor="text1" w:themeTint="F2"/>
          <w:sz w:val="22"/>
          <w:szCs w:val="22"/>
        </w:rPr>
        <w:t>80</w:t>
      </w:r>
      <w:r w:rsidRPr="00506990">
        <w:rPr>
          <w:rFonts w:ascii="Times New Roman" w:hAnsi="Times New Roman" w:cs="Times New Roman"/>
          <w:b/>
          <w:color w:val="0D0D0D" w:themeColor="text1" w:themeTint="F2"/>
          <w:sz w:val="22"/>
          <w:szCs w:val="22"/>
        </w:rPr>
        <w:t>.000.000.- (</w:t>
      </w:r>
      <w:r w:rsidR="00AA3319" w:rsidRPr="00506990">
        <w:rPr>
          <w:rFonts w:ascii="Times New Roman" w:hAnsi="Times New Roman" w:cs="Times New Roman"/>
          <w:b/>
          <w:color w:val="0D0D0D" w:themeColor="text1" w:themeTint="F2"/>
          <w:sz w:val="22"/>
          <w:szCs w:val="22"/>
        </w:rPr>
        <w:t>d</w:t>
      </w:r>
      <w:r w:rsidR="00656019" w:rsidRPr="00506990">
        <w:rPr>
          <w:rFonts w:ascii="Times New Roman" w:hAnsi="Times New Roman" w:cs="Times New Roman"/>
          <w:b/>
          <w:color w:val="0D0D0D" w:themeColor="text1" w:themeTint="F2"/>
          <w:sz w:val="22"/>
          <w:szCs w:val="22"/>
        </w:rPr>
        <w:t xml:space="preserve">ólares </w:t>
      </w:r>
      <w:r w:rsidR="00AA3319" w:rsidRPr="00506990">
        <w:rPr>
          <w:rFonts w:ascii="Times New Roman" w:hAnsi="Times New Roman" w:cs="Times New Roman"/>
          <w:b/>
          <w:color w:val="0D0D0D" w:themeColor="text1" w:themeTint="F2"/>
          <w:sz w:val="22"/>
          <w:szCs w:val="22"/>
        </w:rPr>
        <w:t xml:space="preserve">estadounidenses </w:t>
      </w:r>
      <w:r w:rsidR="00656019" w:rsidRPr="00506990">
        <w:rPr>
          <w:rFonts w:ascii="Times New Roman" w:hAnsi="Times New Roman" w:cs="Times New Roman"/>
          <w:b/>
          <w:color w:val="0D0D0D" w:themeColor="text1" w:themeTint="F2"/>
          <w:sz w:val="22"/>
          <w:szCs w:val="22"/>
        </w:rPr>
        <w:t xml:space="preserve">ochenta </w:t>
      </w:r>
      <w:r w:rsidRPr="00506990">
        <w:rPr>
          <w:rFonts w:ascii="Times New Roman" w:hAnsi="Times New Roman" w:cs="Times New Roman"/>
          <w:b/>
          <w:color w:val="0D0D0D" w:themeColor="text1" w:themeTint="F2"/>
          <w:sz w:val="22"/>
          <w:szCs w:val="22"/>
        </w:rPr>
        <w:t>millones)</w:t>
      </w:r>
    </w:p>
    <w:p w14:paraId="65C8159C" w14:textId="4415AC9C" w:rsidR="0048224C" w:rsidRPr="00506990" w:rsidRDefault="0048224C" w:rsidP="0048224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 su equivalente en otras monedas)</w:t>
      </w:r>
    </w:p>
    <w:p w14:paraId="2A9D5B14" w14:textId="77777777" w:rsidR="0048224C" w:rsidRPr="00506990" w:rsidRDefault="0048224C" w:rsidP="0048224C">
      <w:pPr>
        <w:suppressLineNumbers/>
        <w:jc w:val="center"/>
        <w:rPr>
          <w:rFonts w:ascii="Times New Roman" w:hAnsi="Times New Roman" w:cs="Times New Roman"/>
          <w:b/>
          <w:color w:val="0D0D0D" w:themeColor="text1" w:themeTint="F2"/>
          <w:sz w:val="22"/>
          <w:szCs w:val="22"/>
        </w:rPr>
      </w:pPr>
    </w:p>
    <w:p w14:paraId="4EBCE125" w14:textId="1E216BD9"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 w:name="_Toc506982457"/>
      <w:bookmarkStart w:id="4" w:name="_Toc521424841"/>
      <w:bookmarkStart w:id="5" w:name="_Toc20409055"/>
      <w:r w:rsidRPr="00506990">
        <w:rPr>
          <w:rFonts w:ascii="Times New Roman" w:hAnsi="Times New Roman" w:cs="Times New Roman"/>
          <w:noProof/>
          <w:color w:val="0D0D0D" w:themeColor="text1" w:themeTint="F2"/>
          <w:sz w:val="22"/>
          <w:szCs w:val="22"/>
          <w:lang w:val="es-AR" w:eastAsia="es-AR"/>
        </w:rPr>
        <w:drawing>
          <wp:inline distT="0" distB="0" distL="0" distR="0" wp14:anchorId="06BD90E1" wp14:editId="478A1727">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3"/>
      <w:bookmarkEnd w:id="4"/>
      <w:bookmarkEnd w:id="5"/>
    </w:p>
    <w:p w14:paraId="271CB60D" w14:textId="77777777"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14:paraId="1CCC3760" w14:textId="3EDAAA0E"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r w:rsidR="003C5AD8" w:rsidRPr="00506990">
        <w:rPr>
          <w:rFonts w:ascii="Times New Roman" w:hAnsi="Times New Roman" w:cs="Times New Roman"/>
          <w:color w:val="0D0D0D" w:themeColor="text1" w:themeTint="F2"/>
          <w:sz w:val="20"/>
          <w:szCs w:val="22"/>
        </w:rPr>
        <w:t xml:space="preserve">CNV </w:t>
      </w:r>
      <w:r w:rsidRPr="00506990">
        <w:rPr>
          <w:rFonts w:ascii="Times New Roman" w:hAnsi="Times New Roman" w:cs="Times New Roman"/>
          <w:color w:val="0D0D0D" w:themeColor="text1" w:themeTint="F2"/>
          <w:sz w:val="20"/>
          <w:szCs w:val="22"/>
        </w:rPr>
        <w:t>bajo el N° 41</w:t>
      </w:r>
    </w:p>
    <w:p w14:paraId="0C4AD23A" w14:textId="45378F07"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6" w:name="_Toc506982458"/>
      <w:bookmarkStart w:id="7" w:name="_Toc521424842"/>
      <w:bookmarkStart w:id="8" w:name="_Toc20409056"/>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6"/>
      <w:bookmarkEnd w:id="7"/>
      <w:bookmarkEnd w:id="8"/>
    </w:p>
    <w:p w14:paraId="71BBDA9D" w14:textId="6F1FB311"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3700"/>
      </w:tblGrid>
      <w:tr w:rsidR="00813740" w:rsidRPr="00506990" w14:paraId="36293018" w14:textId="77777777" w:rsidTr="0098446E">
        <w:trPr>
          <w:trHeight w:val="1918"/>
        </w:trPr>
        <w:tc>
          <w:tcPr>
            <w:tcW w:w="3876" w:type="dxa"/>
          </w:tcPr>
          <w:p w14:paraId="4F3A6E7F" w14:textId="77777777"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14:shadow w14:blurRad="50800" w14:dist="38100" w14:dir="2700000" w14:sx="100000" w14:sy="100000" w14:kx="0" w14:ky="0" w14:algn="tl">
                  <w14:srgbClr w14:val="000000">
                    <w14:alpha w14:val="60000"/>
                  </w14:srgbClr>
                </w14:shadow>
              </w:rPr>
            </w:pPr>
          </w:p>
          <w:p w14:paraId="0FADD488" w14:textId="77777777" w:rsidR="00813740" w:rsidRPr="00506990" w:rsidRDefault="00813740" w:rsidP="00813740">
            <w:pPr>
              <w:suppressAutoHyphens/>
              <w:spacing w:line="240" w:lineRule="atLeast"/>
              <w:jc w:val="center"/>
              <w:outlineLvl w:val="0"/>
              <w:rPr>
                <w:rFonts w:ascii="Times New Roman" w:hAnsi="Times New Roman" w:cs="Times New Roman"/>
                <w:color w:val="0D0D0D" w:themeColor="text1" w:themeTint="F2"/>
                <w:sz w:val="22"/>
                <w:szCs w:val="22"/>
              </w:rPr>
            </w:pPr>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6526DBE3" wp14:editId="17A7128E">
                  <wp:extent cx="2322830" cy="414655"/>
                  <wp:effectExtent l="0" t="0" r="127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30" cy="414655"/>
                          </a:xfrm>
                          <a:prstGeom prst="rect">
                            <a:avLst/>
                          </a:prstGeom>
                          <a:noFill/>
                        </pic:spPr>
                      </pic:pic>
                    </a:graphicData>
                  </a:graphic>
                </wp:inline>
              </w:drawing>
            </w:r>
            <w:r w:rsidRPr="00506990">
              <w:rPr>
                <w:rFonts w:ascii="Times New Roman" w:hAnsi="Times New Roman" w:cs="Times New Roman"/>
                <w:b/>
                <w:i/>
                <w:color w:val="0D0D0D" w:themeColor="text1" w:themeTint="F2"/>
                <w:sz w:val="22"/>
                <w:szCs w:val="22"/>
                <w14:shadow w14:blurRad="50800" w14:dist="38100" w14:dir="2700000" w14:sx="100000" w14:sy="100000" w14:kx="0" w14:ky="0" w14:algn="tl">
                  <w14:srgbClr w14:val="000000">
                    <w14:alpha w14:val="60000"/>
                  </w14:srgbClr>
                </w14:shadow>
              </w:rPr>
              <w:t xml:space="preserve">  </w:t>
            </w:r>
          </w:p>
          <w:p w14:paraId="1ABF2972"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Bazar Avenida S.A. </w:t>
            </w:r>
          </w:p>
          <w:p w14:paraId="32A5AB32"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 Administrador, Agente de Cobro y Fideicomisario</w:t>
            </w:r>
          </w:p>
          <w:p w14:paraId="18A55A29" w14:textId="77777777"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1A8084D4"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426FB88E" w14:textId="6501535F" w:rsidR="00813740" w:rsidRPr="00506990" w:rsidRDefault="00596C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B43F7C">
              <w:rPr>
                <w:rFonts w:ascii="Times New Roman" w:hAnsi="Times New Roman" w:cs="Times New Roman"/>
              </w:rPr>
              <w:object w:dxaOrig="3900" w:dyaOrig="1215" w14:anchorId="58BB2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5" o:title=""/>
                </v:shape>
                <o:OLEObject Type="Embed" ProgID="PBrush" ShapeID="_x0000_i1025" DrawAspect="Content" ObjectID="_1639560402" r:id="rId16"/>
              </w:object>
            </w:r>
          </w:p>
          <w:p w14:paraId="5307F873" w14:textId="77777777" w:rsidR="00813740" w:rsidRPr="00506990" w:rsidRDefault="00813740" w:rsidP="0098446E">
            <w:pPr>
              <w:suppressAutoHyphens/>
              <w:spacing w:line="240" w:lineRule="atLeast"/>
              <w:outlineLvl w:val="0"/>
              <w:rPr>
                <w:rFonts w:ascii="Times New Roman" w:hAnsi="Times New Roman" w:cs="Times New Roman"/>
                <w:b/>
                <w:bCs/>
                <w:iCs/>
                <w:color w:val="0D0D0D" w:themeColor="text1" w:themeTint="F2"/>
                <w:sz w:val="22"/>
                <w:szCs w:val="22"/>
                <w:lang w:val="es-AR"/>
              </w:rPr>
            </w:pPr>
          </w:p>
          <w:p w14:paraId="73D33DF3"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Consumo S.A.</w:t>
            </w:r>
          </w:p>
          <w:p w14:paraId="09FC7BE2"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y Fideicomisario</w:t>
            </w:r>
          </w:p>
        </w:tc>
      </w:tr>
    </w:tbl>
    <w:p w14:paraId="17D2C437"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0BBE2F33" w14:textId="2453899F"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bookmarkStart w:id="9" w:name="_Toc506982462"/>
      <w:bookmarkStart w:id="10" w:name="_Toc521424846"/>
      <w:bookmarkStart w:id="11" w:name="_Toc20409060"/>
      <w:r w:rsidRPr="00506990">
        <w:rPr>
          <w:rFonts w:ascii="Times New Roman" w:hAnsi="Times New Roman" w:cs="Times New Roman"/>
          <w:b/>
          <w:bCs/>
          <w:iCs/>
          <w:noProof/>
          <w:color w:val="0D0D0D" w:themeColor="text1" w:themeTint="F2"/>
          <w:sz w:val="22"/>
          <w:szCs w:val="22"/>
          <w:lang w:val="es-AR" w:eastAsia="es-AR"/>
        </w:rPr>
        <w:drawing>
          <wp:inline distT="0" distB="0" distL="0" distR="0" wp14:anchorId="138E2B03" wp14:editId="5B70D95A">
            <wp:extent cx="1076325" cy="353537"/>
            <wp:effectExtent l="0" t="0" r="0" b="889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553" cy="354926"/>
                    </a:xfrm>
                    <a:prstGeom prst="rect">
                      <a:avLst/>
                    </a:prstGeom>
                    <a:noFill/>
                  </pic:spPr>
                </pic:pic>
              </a:graphicData>
            </a:graphic>
          </wp:inline>
        </w:drawing>
      </w:r>
      <w:bookmarkEnd w:id="9"/>
      <w:bookmarkEnd w:id="10"/>
      <w:bookmarkEnd w:id="11"/>
    </w:p>
    <w:p w14:paraId="4245971E" w14:textId="13A5B73E"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12" w:name="_Toc506982463"/>
      <w:bookmarkStart w:id="13" w:name="_Toc521424847"/>
      <w:bookmarkStart w:id="14" w:name="_Toc20409061"/>
      <w:r w:rsidRPr="00506990">
        <w:rPr>
          <w:rFonts w:ascii="Times New Roman" w:hAnsi="Times New Roman" w:cs="Times New Roman"/>
          <w:b/>
          <w:bCs/>
          <w:iCs/>
          <w:color w:val="0D0D0D" w:themeColor="text1" w:themeTint="F2"/>
          <w:sz w:val="20"/>
          <w:szCs w:val="22"/>
          <w:lang w:val="en-US"/>
        </w:rPr>
        <w:t>First Corporate Finance Advisors S.A.</w:t>
      </w:r>
      <w:bookmarkEnd w:id="12"/>
      <w:bookmarkEnd w:id="13"/>
      <w:bookmarkEnd w:id="14"/>
    </w:p>
    <w:p w14:paraId="7E7F7B4D" w14:textId="00B7E80D"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15" w:name="_Toc506982464"/>
      <w:bookmarkStart w:id="16" w:name="_Toc521424848"/>
      <w:bookmarkStart w:id="17" w:name="_Toc20409062"/>
      <w:r w:rsidRPr="00506990">
        <w:rPr>
          <w:rFonts w:ascii="Times New Roman" w:hAnsi="Times New Roman" w:cs="Times New Roman"/>
          <w:b/>
          <w:bCs/>
          <w:iCs/>
          <w:color w:val="0D0D0D" w:themeColor="text1" w:themeTint="F2"/>
          <w:sz w:val="20"/>
          <w:szCs w:val="22"/>
          <w:lang w:val="es-AR"/>
        </w:rPr>
        <w:t>Organizador - Asesor Financiero</w:t>
      </w:r>
      <w:bookmarkEnd w:id="15"/>
      <w:bookmarkEnd w:id="16"/>
      <w:bookmarkEnd w:id="17"/>
      <w:r w:rsidRPr="00506990">
        <w:rPr>
          <w:rFonts w:ascii="Times New Roman" w:hAnsi="Times New Roman" w:cs="Times New Roman"/>
          <w:b/>
          <w:bCs/>
          <w:iCs/>
          <w:color w:val="0D0D0D" w:themeColor="text1" w:themeTint="F2"/>
          <w:sz w:val="20"/>
          <w:szCs w:val="22"/>
          <w:lang w:val="es-AR"/>
        </w:rPr>
        <w:t xml:space="preserve"> </w:t>
      </w:r>
    </w:p>
    <w:p w14:paraId="59225AF6" w14:textId="77777777" w:rsidR="00994A29" w:rsidRPr="00506990" w:rsidRDefault="00994A2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37E1780A" w14:textId="77777777"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8" w:name="_Toc506982465"/>
      <w:bookmarkStart w:id="19" w:name="_Toc521424849"/>
      <w:bookmarkStart w:id="20" w:name="_Toc20409063"/>
      <w:r w:rsidRPr="00506990">
        <w:rPr>
          <w:rFonts w:ascii="Times New Roman" w:hAnsi="Times New Roman" w:cs="Times New Roman"/>
          <w:b/>
          <w:bCs/>
          <w:iCs/>
          <w:color w:val="0D0D0D" w:themeColor="text1" w:themeTint="F2"/>
          <w:sz w:val="22"/>
          <w:szCs w:val="22"/>
          <w:lang w:val="es-AR"/>
        </w:rPr>
        <w:t>COLOCADORES</w:t>
      </w:r>
      <w:bookmarkEnd w:id="18"/>
      <w:bookmarkEnd w:id="19"/>
      <w:bookmarkEnd w:id="2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14:paraId="2464708E" w14:textId="359624E2" w:rsidTr="0098446E">
        <w:tc>
          <w:tcPr>
            <w:tcW w:w="8830" w:type="dxa"/>
            <w:gridSpan w:val="2"/>
          </w:tcPr>
          <w:p w14:paraId="5FC6E7A8" w14:textId="68F36112"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6CB1F191" w14:textId="3F1D35BC"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1" w:name="_Toc506982466"/>
            <w:bookmarkStart w:id="22" w:name="_Toc521424850"/>
            <w:bookmarkStart w:id="23" w:name="_Toc20409064"/>
            <w:r w:rsidRPr="00506990">
              <w:rPr>
                <w:rFonts w:ascii="Times New Roman" w:hAnsi="Times New Roman" w:cs="Times New Roman"/>
                <w:b/>
                <w:bCs/>
                <w:iCs/>
                <w:color w:val="0D0D0D" w:themeColor="text1" w:themeTint="F2"/>
                <w:sz w:val="22"/>
                <w:szCs w:val="22"/>
                <w:lang w:val="es-AR"/>
              </w:rPr>
              <w:t>Agentes miembros del Mercado Argentino de Valores S.A.</w:t>
            </w:r>
            <w:bookmarkEnd w:id="21"/>
            <w:bookmarkEnd w:id="22"/>
            <w:bookmarkEnd w:id="23"/>
          </w:p>
          <w:p w14:paraId="018D4A34" w14:textId="5BDFD909"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506990" w14:paraId="555C3E2E" w14:textId="267A2D24" w:rsidTr="0098446E">
        <w:tblPrEx>
          <w:jc w:val="center"/>
        </w:tblPrEx>
        <w:trPr>
          <w:jc w:val="center"/>
        </w:trPr>
        <w:tc>
          <w:tcPr>
            <w:tcW w:w="4531" w:type="dxa"/>
          </w:tcPr>
          <w:p w14:paraId="4B550090" w14:textId="77777777" w:rsidR="002B53EF" w:rsidRPr="00506990" w:rsidRDefault="002B53EF"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4" w:name="_Toc506982469"/>
            <w:bookmarkStart w:id="25" w:name="_Toc521424853"/>
            <w:bookmarkStart w:id="26" w:name="_Toc20409065"/>
            <w:r w:rsidRPr="0098446E">
              <w:rPr>
                <w:rFonts w:ascii="Times New Roman" w:hAnsi="Times New Roman" w:cs="Times New Roman"/>
                <w:b/>
                <w:bCs/>
                <w:noProof/>
                <w:sz w:val="22"/>
                <w:szCs w:val="22"/>
                <w:lang w:val="es-AR" w:eastAsia="es-AR"/>
              </w:rPr>
              <w:drawing>
                <wp:inline distT="0" distB="0" distL="0" distR="0" wp14:anchorId="4ECA4812" wp14:editId="134F3BB9">
                  <wp:extent cx="1708172" cy="741871"/>
                  <wp:effectExtent l="0" t="0" r="6350" b="1270"/>
                  <wp:docPr id="2" name="Imagen 2" descr="C:\Users\ljakimowicz\AppData\Local\Microsoft\Windows\Temporary Internet Files\Content.Outlook\QYRB97A2\Logo INTL Cibsa_NationalSecuriti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jakimowicz\AppData\Local\Microsoft\Windows\Temporary Internet Files\Content.Outlook\QYRB97A2\Logo INTL Cibsa_NationalSecurities-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1179" cy="782264"/>
                          </a:xfrm>
                          <a:prstGeom prst="rect">
                            <a:avLst/>
                          </a:prstGeom>
                          <a:noFill/>
                          <a:ln>
                            <a:noFill/>
                          </a:ln>
                        </pic:spPr>
                      </pic:pic>
                    </a:graphicData>
                  </a:graphic>
                </wp:inline>
              </w:drawing>
            </w:r>
            <w:bookmarkEnd w:id="24"/>
            <w:bookmarkEnd w:id="25"/>
            <w:bookmarkEnd w:id="26"/>
          </w:p>
          <w:p w14:paraId="1703756C" w14:textId="77777777" w:rsidR="002B53EF" w:rsidRPr="00506990" w:rsidRDefault="002B53EF"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7" w:name="_Toc506982470"/>
            <w:bookmarkStart w:id="28" w:name="_Toc521424854"/>
            <w:bookmarkStart w:id="29" w:name="_Toc20409066"/>
            <w:r w:rsidRPr="00506990">
              <w:rPr>
                <w:rFonts w:ascii="Times New Roman" w:hAnsi="Times New Roman" w:cs="Times New Roman"/>
                <w:b/>
                <w:bCs/>
                <w:iCs/>
                <w:color w:val="0D0D0D" w:themeColor="text1" w:themeTint="F2"/>
                <w:sz w:val="22"/>
                <w:szCs w:val="22"/>
                <w:lang w:val="es-AR"/>
              </w:rPr>
              <w:t>INTL CIBSA S.A.</w:t>
            </w:r>
            <w:bookmarkEnd w:id="27"/>
            <w:bookmarkEnd w:id="28"/>
            <w:bookmarkEnd w:id="29"/>
          </w:p>
        </w:tc>
        <w:tc>
          <w:tcPr>
            <w:tcW w:w="4299" w:type="dxa"/>
          </w:tcPr>
          <w:p w14:paraId="252AA487" w14:textId="3077D92F" w:rsidR="00491797" w:rsidRDefault="00005F0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0" w:name="_Toc20409067"/>
            <w:bookmarkStart w:id="31" w:name="_Toc506982471"/>
            <w:bookmarkStart w:id="32" w:name="_Toc521424855"/>
            <w:r>
              <w:rPr>
                <w:rFonts w:ascii="Times New Roman" w:hAnsi="Times New Roman" w:cs="Times New Roman"/>
                <w:b/>
                <w:bCs/>
                <w:iCs/>
                <w:noProof/>
                <w:color w:val="0D0D0D" w:themeColor="text1" w:themeTint="F2"/>
                <w:sz w:val="22"/>
                <w:szCs w:val="22"/>
                <w:lang w:val="es-AR" w:eastAsia="es-AR"/>
              </w:rPr>
              <w:drawing>
                <wp:inline distT="0" distB="0" distL="0" distR="0" wp14:anchorId="300C71FC" wp14:editId="4FAA2520">
                  <wp:extent cx="1649016" cy="571500"/>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9748" cy="575219"/>
                          </a:xfrm>
                          <a:prstGeom prst="rect">
                            <a:avLst/>
                          </a:prstGeom>
                          <a:noFill/>
                        </pic:spPr>
                      </pic:pic>
                    </a:graphicData>
                  </a:graphic>
                </wp:inline>
              </w:drawing>
            </w:r>
          </w:p>
          <w:bookmarkEnd w:id="30"/>
          <w:p w14:paraId="76E3198A" w14:textId="77777777" w:rsidR="002B53EF" w:rsidRPr="00506990" w:rsidRDefault="002B53EF" w:rsidP="00B62265">
            <w:pPr>
              <w:suppressAutoHyphens/>
              <w:spacing w:line="240" w:lineRule="atLeast"/>
              <w:outlineLvl w:val="0"/>
              <w:rPr>
                <w:rFonts w:ascii="Times New Roman" w:hAnsi="Times New Roman" w:cs="Times New Roman"/>
                <w:b/>
                <w:bCs/>
                <w:iCs/>
                <w:color w:val="0D0D0D" w:themeColor="text1" w:themeTint="F2"/>
                <w:sz w:val="22"/>
                <w:szCs w:val="22"/>
                <w:lang w:val="es-AR"/>
              </w:rPr>
            </w:pPr>
          </w:p>
          <w:p w14:paraId="4B839809" w14:textId="0DDB2DB7" w:rsidR="002B53EF" w:rsidRPr="0098446E" w:rsidRDefault="00005F07"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33" w:name="_Toc506982472"/>
            <w:bookmarkStart w:id="34" w:name="_Toc521424856"/>
            <w:bookmarkStart w:id="35" w:name="_Toc20409068"/>
            <w:bookmarkEnd w:id="31"/>
            <w:bookmarkEnd w:id="32"/>
            <w:r>
              <w:rPr>
                <w:rFonts w:ascii="Times New Roman" w:hAnsi="Times New Roman" w:cs="Times New Roman"/>
                <w:b/>
                <w:bCs/>
                <w:iCs/>
                <w:color w:val="0D0D0D" w:themeColor="text1" w:themeTint="F2"/>
                <w:sz w:val="22"/>
                <w:szCs w:val="22"/>
                <w:lang w:val="es-AR"/>
              </w:rPr>
              <w:t>OPTION SECURITIES</w:t>
            </w:r>
            <w:r w:rsidRPr="003F083B">
              <w:rPr>
                <w:rFonts w:ascii="Times New Roman" w:hAnsi="Times New Roman" w:cs="Times New Roman"/>
                <w:b/>
                <w:bCs/>
                <w:iCs/>
                <w:color w:val="0D0D0D" w:themeColor="text1" w:themeTint="F2"/>
                <w:sz w:val="22"/>
                <w:szCs w:val="22"/>
                <w:lang w:val="es-AR"/>
              </w:rPr>
              <w:t xml:space="preserve"> S.A.</w:t>
            </w:r>
            <w:bookmarkEnd w:id="33"/>
            <w:bookmarkEnd w:id="34"/>
            <w:bookmarkEnd w:id="35"/>
          </w:p>
        </w:tc>
      </w:tr>
    </w:tbl>
    <w:p w14:paraId="230394FE" w14:textId="77777777"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14598CC3" w14:textId="12E96FE6" w:rsidR="00B62265" w:rsidRPr="00506990"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 NOMINAL $ </w:t>
      </w:r>
      <w:r w:rsidR="00196B3E" w:rsidRPr="00506990">
        <w:rPr>
          <w:rFonts w:ascii="Times New Roman" w:hAnsi="Times New Roman" w:cs="Times New Roman"/>
          <w:b/>
          <w:bCs/>
          <w:iCs/>
          <w:color w:val="0D0D0D" w:themeColor="text1" w:themeTint="F2"/>
          <w:sz w:val="22"/>
          <w:szCs w:val="22"/>
        </w:rPr>
        <w:t>12</w:t>
      </w:r>
      <w:r w:rsidR="00074CF9">
        <w:rPr>
          <w:rFonts w:ascii="Times New Roman" w:hAnsi="Times New Roman" w:cs="Times New Roman"/>
          <w:b/>
          <w:bCs/>
          <w:iCs/>
          <w:color w:val="0D0D0D" w:themeColor="text1" w:themeTint="F2"/>
          <w:sz w:val="22"/>
          <w:szCs w:val="22"/>
        </w:rPr>
        <w:t>0</w:t>
      </w:r>
      <w:r w:rsidR="00196B3E" w:rsidRPr="00506990">
        <w:rPr>
          <w:rFonts w:ascii="Times New Roman" w:hAnsi="Times New Roman" w:cs="Times New Roman"/>
          <w:b/>
          <w:bCs/>
          <w:iCs/>
          <w:color w:val="0D0D0D" w:themeColor="text1" w:themeTint="F2"/>
          <w:sz w:val="22"/>
          <w:szCs w:val="22"/>
        </w:rPr>
        <w:t>.</w:t>
      </w:r>
      <w:r w:rsidR="00074CF9">
        <w:rPr>
          <w:rFonts w:ascii="Times New Roman" w:hAnsi="Times New Roman" w:cs="Times New Roman"/>
          <w:b/>
          <w:bCs/>
          <w:iCs/>
          <w:color w:val="0D0D0D" w:themeColor="text1" w:themeTint="F2"/>
          <w:sz w:val="22"/>
          <w:szCs w:val="22"/>
        </w:rPr>
        <w:t>39</w:t>
      </w:r>
      <w:r w:rsidR="00196B3E" w:rsidRPr="00506990">
        <w:rPr>
          <w:rFonts w:ascii="Times New Roman" w:hAnsi="Times New Roman" w:cs="Times New Roman"/>
          <w:b/>
          <w:bCs/>
          <w:iCs/>
          <w:color w:val="0D0D0D" w:themeColor="text1" w:themeTint="F2"/>
          <w:sz w:val="22"/>
          <w:szCs w:val="22"/>
        </w:rPr>
        <w:t>1.</w:t>
      </w:r>
      <w:r w:rsidR="00074CF9">
        <w:rPr>
          <w:rFonts w:ascii="Times New Roman" w:hAnsi="Times New Roman" w:cs="Times New Roman"/>
          <w:b/>
          <w:bCs/>
          <w:iCs/>
          <w:color w:val="0D0D0D" w:themeColor="text1" w:themeTint="F2"/>
          <w:sz w:val="22"/>
          <w:szCs w:val="22"/>
        </w:rPr>
        <w:t>496</w:t>
      </w:r>
      <w:r w:rsidRPr="00506990">
        <w:rPr>
          <w:rFonts w:ascii="Times New Roman" w:hAnsi="Times New Roman" w:cs="Times New Roman"/>
          <w:b/>
          <w:color w:val="0D0D0D" w:themeColor="text1" w:themeTint="F2"/>
          <w:sz w:val="22"/>
          <w:szCs w:val="22"/>
        </w:rPr>
        <w:t>.</w:t>
      </w:r>
    </w:p>
    <w:tbl>
      <w:tblPr>
        <w:tblW w:w="8222" w:type="dxa"/>
        <w:tblLayout w:type="fixed"/>
        <w:tblLook w:val="0000" w:firstRow="0" w:lastRow="0" w:firstColumn="0" w:lastColumn="0" w:noHBand="0" w:noVBand="0"/>
      </w:tblPr>
      <w:tblGrid>
        <w:gridCol w:w="3970"/>
        <w:gridCol w:w="4252"/>
      </w:tblGrid>
      <w:tr w:rsidR="00B62265" w:rsidRPr="00506990" w14:paraId="4C2676C0" w14:textId="77777777" w:rsidTr="00502438">
        <w:trPr>
          <w:trHeight w:val="1011"/>
        </w:trPr>
        <w:tc>
          <w:tcPr>
            <w:tcW w:w="3970" w:type="dxa"/>
          </w:tcPr>
          <w:p w14:paraId="10A52F05" w14:textId="77777777" w:rsidR="00B62265" w:rsidRPr="00D31E68"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14:paraId="2C097B21" w14:textId="77777777" w:rsidR="00B62265" w:rsidRPr="00D31E68"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D31E68">
              <w:rPr>
                <w:rFonts w:ascii="Times New Roman" w:hAnsi="Times New Roman"/>
                <w:b/>
                <w:bCs/>
                <w:iCs/>
                <w:color w:val="0D0D0D" w:themeColor="text1" w:themeTint="F2"/>
                <w:sz w:val="22"/>
                <w:szCs w:val="22"/>
                <w:u w:val="none"/>
              </w:rPr>
              <w:t>Valores de Deuda Fiduciaria Clase A</w:t>
            </w:r>
          </w:p>
          <w:p w14:paraId="02C57BB1" w14:textId="390EAC94" w:rsidR="00B62265" w:rsidRPr="00D31E68" w:rsidRDefault="00B62265" w:rsidP="00727F69">
            <w:pPr>
              <w:pStyle w:val="Ttulo6"/>
              <w:suppressAutoHyphens/>
              <w:ind w:left="0"/>
              <w:jc w:val="center"/>
              <w:rPr>
                <w:rFonts w:ascii="Times New Roman" w:hAnsi="Times New Roman"/>
                <w:b/>
                <w:bCs/>
                <w:iCs/>
                <w:color w:val="0D0D0D" w:themeColor="text1" w:themeTint="F2"/>
                <w:sz w:val="22"/>
                <w:szCs w:val="22"/>
                <w:u w:val="none"/>
              </w:rPr>
            </w:pPr>
            <w:r w:rsidRPr="00D31E68">
              <w:rPr>
                <w:rFonts w:ascii="Times New Roman" w:hAnsi="Times New Roman"/>
                <w:b/>
                <w:bCs/>
                <w:iCs/>
                <w:color w:val="0D0D0D" w:themeColor="text1" w:themeTint="F2"/>
                <w:sz w:val="22"/>
                <w:szCs w:val="22"/>
                <w:u w:val="none"/>
              </w:rPr>
              <w:t xml:space="preserve"> V/N $ </w:t>
            </w:r>
            <w:r w:rsidR="00196B3E" w:rsidRPr="00C91547">
              <w:rPr>
                <w:rFonts w:ascii="Times New Roman" w:hAnsi="Times New Roman"/>
                <w:b/>
                <w:bCs/>
                <w:iCs/>
                <w:color w:val="0D0D0D" w:themeColor="text1" w:themeTint="F2"/>
                <w:sz w:val="22"/>
                <w:szCs w:val="22"/>
                <w:u w:val="none"/>
              </w:rPr>
              <w:t>111.000.000</w:t>
            </w:r>
            <w:r w:rsidRPr="00D31E68">
              <w:rPr>
                <w:rFonts w:ascii="Times New Roman" w:hAnsi="Times New Roman"/>
                <w:b/>
                <w:bCs/>
                <w:iCs/>
                <w:color w:val="0D0D0D" w:themeColor="text1" w:themeTint="F2"/>
                <w:sz w:val="22"/>
                <w:szCs w:val="22"/>
                <w:u w:val="none"/>
              </w:rPr>
              <w:t>.-</w:t>
            </w:r>
          </w:p>
        </w:tc>
        <w:tc>
          <w:tcPr>
            <w:tcW w:w="4252" w:type="dxa"/>
          </w:tcPr>
          <w:p w14:paraId="6D26F733" w14:textId="77777777" w:rsidR="00B62265" w:rsidRPr="00D31E6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14:paraId="0AE64313" w14:textId="77777777" w:rsidR="00B62265" w:rsidRPr="00D31E6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D31E68">
              <w:rPr>
                <w:rFonts w:ascii="Times New Roman" w:hAnsi="Times New Roman" w:cs="Times New Roman"/>
                <w:b/>
                <w:bCs/>
                <w:iCs/>
                <w:color w:val="0D0D0D" w:themeColor="text1" w:themeTint="F2"/>
                <w:sz w:val="22"/>
                <w:szCs w:val="22"/>
              </w:rPr>
              <w:t>Valores de Deuda Fiduciaria Clase B</w:t>
            </w:r>
          </w:p>
          <w:p w14:paraId="3EA7F31D" w14:textId="1B80CC14" w:rsidR="00B62265" w:rsidRPr="00D31E68" w:rsidRDefault="00B62265" w:rsidP="00727F69">
            <w:pPr>
              <w:suppressAutoHyphens/>
              <w:spacing w:line="240" w:lineRule="atLeast"/>
              <w:jc w:val="center"/>
              <w:rPr>
                <w:rFonts w:ascii="Times New Roman" w:hAnsi="Times New Roman" w:cs="Times New Roman"/>
                <w:b/>
                <w:bCs/>
                <w:iCs/>
                <w:color w:val="0D0D0D" w:themeColor="text1" w:themeTint="F2"/>
                <w:sz w:val="22"/>
                <w:szCs w:val="22"/>
              </w:rPr>
            </w:pPr>
            <w:r w:rsidRPr="00D31E68">
              <w:rPr>
                <w:rFonts w:ascii="Times New Roman" w:hAnsi="Times New Roman" w:cs="Times New Roman"/>
                <w:b/>
                <w:bCs/>
                <w:iCs/>
                <w:color w:val="0D0D0D" w:themeColor="text1" w:themeTint="F2"/>
                <w:sz w:val="22"/>
                <w:szCs w:val="22"/>
              </w:rPr>
              <w:t xml:space="preserve"> V/N $ </w:t>
            </w:r>
            <w:r w:rsidR="00074CF9" w:rsidRPr="00C91547">
              <w:rPr>
                <w:rFonts w:ascii="Times New Roman" w:hAnsi="Times New Roman" w:cs="Times New Roman"/>
                <w:b/>
                <w:bCs/>
                <w:iCs/>
                <w:color w:val="0D0D0D" w:themeColor="text1" w:themeTint="F2"/>
                <w:sz w:val="22"/>
                <w:szCs w:val="22"/>
              </w:rPr>
              <w:t>9</w:t>
            </w:r>
            <w:r w:rsidR="00196B3E" w:rsidRPr="00C91547">
              <w:rPr>
                <w:rFonts w:ascii="Times New Roman" w:hAnsi="Times New Roman" w:cs="Times New Roman"/>
                <w:b/>
                <w:bCs/>
                <w:iCs/>
                <w:color w:val="0D0D0D" w:themeColor="text1" w:themeTint="F2"/>
                <w:sz w:val="22"/>
                <w:szCs w:val="22"/>
              </w:rPr>
              <w:t>.</w:t>
            </w:r>
            <w:r w:rsidR="00074CF9" w:rsidRPr="00C91547">
              <w:rPr>
                <w:rFonts w:ascii="Times New Roman" w:hAnsi="Times New Roman" w:cs="Times New Roman"/>
                <w:b/>
                <w:bCs/>
                <w:iCs/>
                <w:color w:val="0D0D0D" w:themeColor="text1" w:themeTint="F2"/>
                <w:sz w:val="22"/>
                <w:szCs w:val="22"/>
              </w:rPr>
              <w:t>39</w:t>
            </w:r>
            <w:r w:rsidR="00196B3E" w:rsidRPr="00C91547">
              <w:rPr>
                <w:rFonts w:ascii="Times New Roman" w:hAnsi="Times New Roman" w:cs="Times New Roman"/>
                <w:b/>
                <w:bCs/>
                <w:iCs/>
                <w:color w:val="0D0D0D" w:themeColor="text1" w:themeTint="F2"/>
                <w:sz w:val="22"/>
                <w:szCs w:val="22"/>
              </w:rPr>
              <w:t>1.</w:t>
            </w:r>
            <w:r w:rsidR="00074CF9" w:rsidRPr="00C91547">
              <w:rPr>
                <w:rFonts w:ascii="Times New Roman" w:hAnsi="Times New Roman" w:cs="Times New Roman"/>
                <w:b/>
                <w:bCs/>
                <w:iCs/>
                <w:color w:val="0D0D0D" w:themeColor="text1" w:themeTint="F2"/>
                <w:sz w:val="22"/>
                <w:szCs w:val="22"/>
              </w:rPr>
              <w:t>496</w:t>
            </w:r>
            <w:r w:rsidRPr="00D31E68">
              <w:rPr>
                <w:rFonts w:ascii="Times New Roman" w:hAnsi="Times New Roman" w:cs="Times New Roman"/>
                <w:b/>
                <w:color w:val="0D0D0D" w:themeColor="text1" w:themeTint="F2"/>
                <w:sz w:val="22"/>
                <w:szCs w:val="22"/>
              </w:rPr>
              <w:t>.-</w:t>
            </w:r>
          </w:p>
        </w:tc>
      </w:tr>
    </w:tbl>
    <w:p w14:paraId="6E3CE24F" w14:textId="49170034"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14:paraId="6B3F29B4" w14:textId="34DDF2AD" w:rsidR="007C062B" w:rsidRPr="00506990" w:rsidRDefault="007C062B"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sidRPr="00506990">
        <w:rPr>
          <w:rFonts w:ascii="Times New Roman" w:hAnsi="Times New Roman"/>
          <w:i w:val="0"/>
          <w:color w:val="0D0D0D" w:themeColor="text1" w:themeTint="F2"/>
          <w:sz w:val="22"/>
          <w:szCs w:val="22"/>
        </w:rPr>
        <w:t>Oferta Pública del Programa autorizada por Resolución Nº RESFC-2017-19002-APN-DIR#CNV de fecha 02 de noviembre de 2017 y sus condicionamientos fueron levantados mediante dictamen de Gerencia de Fideicomisos Financieros en fecha 14 de</w:t>
      </w:r>
      <w:r w:rsidRPr="00506990">
        <w:rPr>
          <w:rFonts w:ascii="Times New Roman" w:hAnsi="Times New Roman"/>
          <w:b/>
          <w:bCs/>
          <w:iCs w:val="0"/>
          <w:color w:val="0D0D0D" w:themeColor="text1" w:themeTint="F2"/>
          <w:sz w:val="22"/>
          <w:szCs w:val="22"/>
        </w:rPr>
        <w:t xml:space="preserve"> </w:t>
      </w:r>
      <w:r w:rsidRPr="00506990">
        <w:rPr>
          <w:rFonts w:ascii="Times New Roman" w:hAnsi="Times New Roman"/>
          <w:i w:val="0"/>
          <w:color w:val="0D0D0D" w:themeColor="text1" w:themeTint="F2"/>
          <w:sz w:val="22"/>
          <w:szCs w:val="22"/>
        </w:rPr>
        <w:t>noviembre de 2017</w:t>
      </w:r>
      <w:r w:rsidR="00656019" w:rsidRPr="00506990">
        <w:rPr>
          <w:rFonts w:ascii="Times New Roman" w:hAnsi="Times New Roman"/>
          <w:i w:val="0"/>
          <w:color w:val="0D0D0D" w:themeColor="text1" w:themeTint="F2"/>
          <w:sz w:val="22"/>
          <w:szCs w:val="22"/>
        </w:rPr>
        <w:t xml:space="preserve">, aumento de monto y cambio de moneda </w:t>
      </w:r>
      <w:r w:rsidR="00C91ADB" w:rsidRPr="00506990">
        <w:rPr>
          <w:rFonts w:ascii="Times New Roman" w:hAnsi="Times New Roman"/>
          <w:i w:val="0"/>
          <w:color w:val="0D0D0D" w:themeColor="text1" w:themeTint="F2"/>
          <w:sz w:val="22"/>
          <w:szCs w:val="22"/>
        </w:rPr>
        <w:t>autorizado por Resolución N° RESFC-201</w:t>
      </w:r>
      <w:r w:rsidR="00D012ED" w:rsidRPr="00506990">
        <w:rPr>
          <w:rFonts w:ascii="Times New Roman" w:hAnsi="Times New Roman"/>
          <w:i w:val="0"/>
          <w:color w:val="0D0D0D" w:themeColor="text1" w:themeTint="F2"/>
          <w:sz w:val="22"/>
          <w:szCs w:val="22"/>
        </w:rPr>
        <w:t>8</w:t>
      </w:r>
      <w:r w:rsidR="00C91ADB" w:rsidRPr="00506990">
        <w:rPr>
          <w:rFonts w:ascii="Times New Roman" w:hAnsi="Times New Roman"/>
          <w:i w:val="0"/>
          <w:color w:val="0D0D0D" w:themeColor="text1" w:themeTint="F2"/>
          <w:sz w:val="22"/>
          <w:szCs w:val="22"/>
        </w:rPr>
        <w:t>-19655-APN-DIR#CNV</w:t>
      </w:r>
      <w:r w:rsidR="001F5659" w:rsidRPr="00506990">
        <w:rPr>
          <w:rFonts w:ascii="Times New Roman" w:hAnsi="Times New Roman"/>
          <w:i w:val="0"/>
          <w:color w:val="0D0D0D" w:themeColor="text1" w:themeTint="F2"/>
          <w:sz w:val="22"/>
          <w:szCs w:val="22"/>
        </w:rPr>
        <w:t xml:space="preserve"> de fecha 09/08/2018 y sus condicionamientos levantados en fecha 24/08/2018</w:t>
      </w:r>
      <w:r w:rsidRPr="00506990">
        <w:rPr>
          <w:rFonts w:ascii="Times New Roman" w:hAnsi="Times New Roman"/>
          <w:i w:val="0"/>
          <w:color w:val="0D0D0D" w:themeColor="text1" w:themeTint="F2"/>
          <w:sz w:val="22"/>
          <w:szCs w:val="22"/>
        </w:rPr>
        <w:t xml:space="preserve">. La oferta pública de la presente emisión fue autorizada por la Gerencia de Fideicomisos Financieros en fecha </w:t>
      </w:r>
      <w:r w:rsidR="001A6098">
        <w:rPr>
          <w:rFonts w:ascii="Times New Roman" w:hAnsi="Times New Roman"/>
          <w:i w:val="0"/>
          <w:color w:val="0D0D0D" w:themeColor="text1" w:themeTint="F2"/>
          <w:sz w:val="22"/>
          <w:szCs w:val="22"/>
        </w:rPr>
        <w:t>6</w:t>
      </w:r>
      <w:r w:rsidRPr="00506990">
        <w:rPr>
          <w:rFonts w:ascii="Times New Roman" w:hAnsi="Times New Roman"/>
          <w:i w:val="0"/>
          <w:color w:val="0D0D0D" w:themeColor="text1" w:themeTint="F2"/>
          <w:sz w:val="22"/>
          <w:szCs w:val="22"/>
        </w:rPr>
        <w:t xml:space="preserve"> de </w:t>
      </w:r>
      <w:r w:rsidR="00132FBE">
        <w:rPr>
          <w:rFonts w:ascii="Times New Roman" w:hAnsi="Times New Roman"/>
          <w:i w:val="0"/>
          <w:color w:val="0D0D0D" w:themeColor="text1" w:themeTint="F2"/>
          <w:sz w:val="22"/>
          <w:szCs w:val="22"/>
        </w:rPr>
        <w:t>enero</w:t>
      </w:r>
      <w:r w:rsidRPr="00506990">
        <w:rPr>
          <w:rFonts w:ascii="Times New Roman" w:hAnsi="Times New Roman"/>
          <w:i w:val="0"/>
          <w:color w:val="0D0D0D" w:themeColor="text1" w:themeTint="F2"/>
          <w:sz w:val="22"/>
          <w:szCs w:val="22"/>
        </w:rPr>
        <w:t xml:space="preserve"> de 20</w:t>
      </w:r>
      <w:r w:rsidR="00132FBE">
        <w:rPr>
          <w:rFonts w:ascii="Times New Roman" w:hAnsi="Times New Roman"/>
          <w:i w:val="0"/>
          <w:color w:val="0D0D0D" w:themeColor="text1" w:themeTint="F2"/>
          <w:sz w:val="22"/>
          <w:szCs w:val="22"/>
        </w:rPr>
        <w:t>20</w:t>
      </w:r>
      <w:r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lastRenderedPageBreak/>
        <w:t>de la Comisión Nacional de Valores. Esta</w:t>
      </w:r>
      <w:r w:rsidR="00B40BF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el Suplemento de Prospecto. La veracidad de la información suministrada en el presente Suplemento de Prospecto es responsabilidad del Fiduciario y de</w:t>
      </w:r>
      <w:r w:rsidR="003C5928" w:rsidRPr="00506990">
        <w:rPr>
          <w:rFonts w:ascii="Times New Roman" w:hAnsi="Times New Roman"/>
          <w:i w:val="0"/>
          <w:color w:val="0D0D0D" w:themeColor="text1" w:themeTint="F2"/>
          <w:sz w:val="22"/>
          <w:szCs w:val="22"/>
        </w:rPr>
        <w:t xml:space="preserve"> </w:t>
      </w:r>
      <w:r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Pr="00506990">
        <w:rPr>
          <w:rFonts w:ascii="Times New Roman" w:hAnsi="Times New Roman"/>
          <w:i w:val="0"/>
          <w:color w:val="0D0D0D" w:themeColor="text1" w:themeTint="F2"/>
          <w:sz w:val="22"/>
          <w:szCs w:val="22"/>
        </w:rPr>
        <w:t xml:space="preserve">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Pr="00506990" w:rsidDel="00D253B0">
        <w:rPr>
          <w:rFonts w:ascii="Times New Roman" w:hAnsi="Times New Roman"/>
        </w:rPr>
        <w:t xml:space="preserve"> </w:t>
      </w:r>
    </w:p>
    <w:p w14:paraId="6C72A861" w14:textId="77777777" w:rsidR="00DA44A1" w:rsidRPr="00506990" w:rsidRDefault="00DA44A1" w:rsidP="00576A80">
      <w:pPr>
        <w:suppressAutoHyphens/>
        <w:spacing w:line="240" w:lineRule="atLeast"/>
        <w:rPr>
          <w:rFonts w:ascii="Times New Roman" w:hAnsi="Times New Roman" w:cs="Times New Roman"/>
          <w:b/>
          <w:bCs/>
          <w:iCs/>
          <w:color w:val="0D0D0D" w:themeColor="text1" w:themeTint="F2"/>
          <w:sz w:val="22"/>
          <w:szCs w:val="22"/>
        </w:rPr>
      </w:pPr>
    </w:p>
    <w:p w14:paraId="05B28EE6" w14:textId="535A628D"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VALORES </w:t>
      </w:r>
      <w:r w:rsidR="00D80121" w:rsidRPr="00506990">
        <w:rPr>
          <w:rFonts w:ascii="Times New Roman" w:hAnsi="Times New Roman"/>
          <w:b/>
          <w:bCs/>
          <w:i w:val="0"/>
          <w:color w:val="0D0D0D" w:themeColor="text1" w:themeTint="F2"/>
          <w:sz w:val="22"/>
          <w:szCs w:val="22"/>
        </w:rPr>
        <w:t xml:space="preserve">DE DEUDA </w:t>
      </w:r>
      <w:r w:rsidRPr="00506990">
        <w:rPr>
          <w:rFonts w:ascii="Times New Roman" w:hAnsi="Times New Roman"/>
          <w:b/>
          <w:bCs/>
          <w:i w:val="0"/>
          <w:color w:val="0D0D0D" w:themeColor="text1" w:themeTint="F2"/>
          <w:sz w:val="22"/>
          <w:szCs w:val="22"/>
        </w:rPr>
        <w:t>FIDUCIARI</w:t>
      </w:r>
      <w:r w:rsidR="00D80121" w:rsidRPr="00506990">
        <w:rPr>
          <w:rFonts w:ascii="Times New Roman" w:hAnsi="Times New Roman"/>
          <w:b/>
          <w:bCs/>
          <w:i w:val="0"/>
          <w:color w:val="0D0D0D" w:themeColor="text1" w:themeTint="F2"/>
          <w:sz w:val="22"/>
          <w:szCs w:val="22"/>
        </w:rPr>
        <w:t>A</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EL</w:t>
      </w:r>
      <w:r w:rsidR="00635E9A" w:rsidRPr="00506990">
        <w:rPr>
          <w:rFonts w:ascii="Times New Roman" w:hAnsi="Times New Roman"/>
          <w:b/>
          <w:bCs/>
          <w:i w:val="0"/>
          <w:color w:val="0D0D0D" w:themeColor="text1" w:themeTint="F2"/>
          <w:sz w:val="22"/>
          <w:szCs w:val="22"/>
        </w:rPr>
        <w:t xml:space="preserve"> </w:t>
      </w:r>
      <w:r w:rsidR="00670471">
        <w:rPr>
          <w:rFonts w:ascii="Times New Roman" w:hAnsi="Times New Roman"/>
          <w:b/>
          <w:bCs/>
          <w:i w:val="0"/>
          <w:iCs w:val="0"/>
          <w:color w:val="0D0D0D" w:themeColor="text1" w:themeTint="F2"/>
          <w:sz w:val="22"/>
          <w:szCs w:val="22"/>
        </w:rPr>
        <w:t>19</w:t>
      </w:r>
      <w:r w:rsidR="00670471" w:rsidRPr="00506990">
        <w:rPr>
          <w:rFonts w:ascii="Times New Roman" w:hAnsi="Times New Roman"/>
          <w:b/>
          <w:bCs/>
          <w:i w:val="0"/>
          <w:color w:val="0D0D0D" w:themeColor="text1" w:themeTint="F2"/>
          <w:sz w:val="22"/>
          <w:szCs w:val="22"/>
        </w:rPr>
        <w:t xml:space="preserve"> </w:t>
      </w:r>
      <w:r w:rsidR="003C3041" w:rsidRPr="00506990">
        <w:rPr>
          <w:rFonts w:ascii="Times New Roman" w:hAnsi="Times New Roman"/>
          <w:b/>
          <w:bCs/>
          <w:i w:val="0"/>
          <w:color w:val="0D0D0D" w:themeColor="text1" w:themeTint="F2"/>
          <w:sz w:val="22"/>
          <w:szCs w:val="22"/>
        </w:rPr>
        <w:t xml:space="preserve">DE </w:t>
      </w:r>
      <w:r w:rsidR="00670471">
        <w:rPr>
          <w:rFonts w:ascii="Times New Roman" w:hAnsi="Times New Roman"/>
          <w:b/>
          <w:bCs/>
          <w:i w:val="0"/>
          <w:iCs w:val="0"/>
          <w:color w:val="0D0D0D" w:themeColor="text1" w:themeTint="F2"/>
          <w:sz w:val="22"/>
          <w:szCs w:val="22"/>
        </w:rPr>
        <w:t>DICIEMBRE</w:t>
      </w:r>
      <w:r w:rsidR="00670471" w:rsidRPr="00506990">
        <w:rPr>
          <w:rFonts w:ascii="Times New Roman" w:hAnsi="Times New Roman"/>
          <w:b/>
          <w:bCs/>
          <w:i w:val="0"/>
          <w:color w:val="0D0D0D" w:themeColor="text1" w:themeTint="F2"/>
          <w:sz w:val="22"/>
          <w:szCs w:val="22"/>
        </w:rPr>
        <w:t xml:space="preserve"> </w:t>
      </w:r>
      <w:r w:rsidR="00D67373" w:rsidRPr="00506990">
        <w:rPr>
          <w:rFonts w:ascii="Times New Roman" w:hAnsi="Times New Roman"/>
          <w:b/>
          <w:bCs/>
          <w:i w:val="0"/>
          <w:color w:val="0D0D0D" w:themeColor="text1" w:themeTint="F2"/>
          <w:sz w:val="22"/>
          <w:szCs w:val="22"/>
        </w:rPr>
        <w:t>D</w:t>
      </w:r>
      <w:r w:rsidR="002A1BE9" w:rsidRPr="00506990">
        <w:rPr>
          <w:rFonts w:ascii="Times New Roman" w:hAnsi="Times New Roman"/>
          <w:b/>
          <w:bCs/>
          <w:i w:val="0"/>
          <w:color w:val="0D0D0D" w:themeColor="text1" w:themeTint="F2"/>
          <w:sz w:val="22"/>
          <w:szCs w:val="22"/>
        </w:rPr>
        <w:t>E 201</w:t>
      </w:r>
      <w:r w:rsidR="00B62265" w:rsidRPr="00506990">
        <w:rPr>
          <w:rFonts w:ascii="Times New Roman" w:hAnsi="Times New Roman"/>
          <w:b/>
          <w:bCs/>
          <w:i w:val="0"/>
          <w:color w:val="0D0D0D" w:themeColor="text1" w:themeTint="F2"/>
          <w:sz w:val="22"/>
          <w:szCs w:val="22"/>
        </w:rPr>
        <w:t>9</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DOCUMENTACIÓN E INFORMACIÓN PRESENTADA POR EL EMISOR Y SUS </w:t>
      </w:r>
      <w:r w:rsidRPr="00D31E68">
        <w:rPr>
          <w:rFonts w:ascii="Times New Roman" w:hAnsi="Times New Roman"/>
          <w:b/>
          <w:bCs/>
          <w:i w:val="0"/>
          <w:color w:val="0D0D0D" w:themeColor="text1" w:themeTint="F2"/>
          <w:sz w:val="22"/>
          <w:szCs w:val="22"/>
        </w:rPr>
        <w:t xml:space="preserve">ASESORES </w:t>
      </w:r>
      <w:r w:rsidR="00AB168C" w:rsidRPr="00D31E68">
        <w:rPr>
          <w:rFonts w:ascii="Times New Roman" w:hAnsi="Times New Roman"/>
          <w:b/>
          <w:bCs/>
          <w:i w:val="0"/>
          <w:color w:val="0D0D0D" w:themeColor="text1" w:themeTint="F2"/>
          <w:sz w:val="22"/>
          <w:szCs w:val="22"/>
        </w:rPr>
        <w:t xml:space="preserve">A </w:t>
      </w:r>
      <w:r w:rsidR="00670471" w:rsidRPr="00C91547">
        <w:rPr>
          <w:rFonts w:ascii="Times New Roman" w:hAnsi="Times New Roman"/>
          <w:b/>
          <w:bCs/>
          <w:i w:val="0"/>
          <w:iCs w:val="0"/>
          <w:color w:val="0D0D0D" w:themeColor="text1" w:themeTint="F2"/>
          <w:sz w:val="22"/>
          <w:szCs w:val="22"/>
        </w:rPr>
        <w:t>OCTUBRE</w:t>
      </w:r>
      <w:r w:rsidR="00157F81" w:rsidRPr="00D31E68">
        <w:rPr>
          <w:rFonts w:ascii="Times New Roman" w:hAnsi="Times New Roman"/>
          <w:b/>
          <w:bCs/>
          <w:i w:val="0"/>
          <w:color w:val="0D0D0D" w:themeColor="text1" w:themeTint="F2"/>
          <w:sz w:val="22"/>
          <w:szCs w:val="22"/>
        </w:rPr>
        <w:t xml:space="preserve"> </w:t>
      </w:r>
      <w:r w:rsidR="00AB168C" w:rsidRPr="00D31E68">
        <w:rPr>
          <w:rFonts w:ascii="Times New Roman" w:hAnsi="Times New Roman"/>
          <w:b/>
          <w:bCs/>
          <w:i w:val="0"/>
          <w:color w:val="0D0D0D" w:themeColor="text1" w:themeTint="F2"/>
          <w:sz w:val="22"/>
          <w:szCs w:val="22"/>
        </w:rPr>
        <w:t>DE</w:t>
      </w:r>
      <w:r w:rsidR="00AB168C" w:rsidRPr="00506990">
        <w:rPr>
          <w:rFonts w:ascii="Times New Roman" w:hAnsi="Times New Roman"/>
          <w:b/>
          <w:bCs/>
          <w:i w:val="0"/>
          <w:color w:val="0D0D0D" w:themeColor="text1" w:themeTint="F2"/>
          <w:sz w:val="22"/>
          <w:szCs w:val="22"/>
        </w:rPr>
        <w:t xml:space="preserve"> 201</w:t>
      </w:r>
      <w:r w:rsidR="00B62265" w:rsidRPr="00506990">
        <w:rPr>
          <w:rFonts w:ascii="Times New Roman" w:hAnsi="Times New Roman"/>
          <w:b/>
          <w:bCs/>
          <w:i w:val="0"/>
          <w:color w:val="0D0D0D" w:themeColor="text1" w:themeTint="F2"/>
          <w:sz w:val="22"/>
          <w:szCs w:val="22"/>
        </w:rPr>
        <w:t>9</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QUEDANDO SUJETAS A LA RECEPCIÓN DE LA DOCUMENTACIÓN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CNV (</w:t>
      </w:r>
      <w:hyperlink r:id="rId20" w:history="1">
        <w:r w:rsidR="006B4CC2" w:rsidRPr="00506990">
          <w:rPr>
            <w:rStyle w:val="Hipervnculo"/>
            <w:rFonts w:ascii="Times New Roman" w:hAnsi="Times New Roman"/>
            <w:b/>
            <w:bCs/>
            <w:i w:val="0"/>
            <w:sz w:val="22"/>
            <w:szCs w:val="22"/>
          </w:rPr>
          <w:t>www.cnv.gov.ar</w:t>
        </w:r>
      </w:hyperlink>
      <w:r w:rsidRPr="00506990">
        <w:rPr>
          <w:rFonts w:ascii="Times New Roman" w:hAnsi="Times New Roman"/>
          <w:b/>
          <w:bCs/>
          <w:i w:val="0"/>
          <w:color w:val="0D0D0D" w:themeColor="text1" w:themeTint="F2"/>
          <w:sz w:val="22"/>
          <w:szCs w:val="22"/>
        </w:rPr>
        <w:t>)</w:t>
      </w:r>
    </w:p>
    <w:p w14:paraId="2E20B232" w14:textId="77777777"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14:paraId="4A797C71" w14:textId="77777777" w:rsidR="0059185D" w:rsidRPr="00506990"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3B558B2B" w14:textId="6A75AF85" w:rsidR="000D2637" w:rsidRPr="00506990" w:rsidRDefault="000D2637"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color w:val="0D0D0D" w:themeColor="text1" w:themeTint="F2"/>
          <w:sz w:val="22"/>
          <w:szCs w:val="22"/>
        </w:rPr>
      </w:pPr>
      <w:r w:rsidRPr="00506990">
        <w:rPr>
          <w:rFonts w:ascii="Times New Roman" w:hAnsi="Times New Roman"/>
          <w:color w:val="0D0D0D" w:themeColor="text1" w:themeTint="F2"/>
          <w:sz w:val="22"/>
          <w:szCs w:val="22"/>
        </w:rPr>
        <w:t xml:space="preserve">Los Valores </w:t>
      </w:r>
      <w:r w:rsidR="00D80121" w:rsidRPr="00506990">
        <w:rPr>
          <w:rFonts w:ascii="Times New Roman" w:hAnsi="Times New Roman"/>
          <w:color w:val="0D0D0D" w:themeColor="text1" w:themeTint="F2"/>
          <w:sz w:val="22"/>
          <w:szCs w:val="22"/>
        </w:rPr>
        <w:t xml:space="preserve">de Deuda </w:t>
      </w:r>
      <w:r w:rsidRPr="00506990">
        <w:rPr>
          <w:rFonts w:ascii="Times New Roman" w:hAnsi="Times New Roman"/>
          <w:color w:val="0D0D0D" w:themeColor="text1" w:themeTint="F2"/>
          <w:sz w:val="22"/>
          <w:szCs w:val="22"/>
        </w:rPr>
        <w:t>Fiduciari</w:t>
      </w:r>
      <w:r w:rsidR="00D80121" w:rsidRPr="00506990">
        <w:rPr>
          <w:rFonts w:ascii="Times New Roman" w:hAnsi="Times New Roman"/>
          <w:color w:val="0D0D0D" w:themeColor="text1" w:themeTint="F2"/>
          <w:sz w:val="22"/>
          <w:szCs w:val="22"/>
        </w:rPr>
        <w:t>a</w:t>
      </w:r>
      <w:r w:rsidRPr="00506990">
        <w:rPr>
          <w:rFonts w:ascii="Times New Roman" w:hAnsi="Times New Roman"/>
          <w:color w:val="0D0D0D" w:themeColor="text1" w:themeTint="F2"/>
          <w:sz w:val="22"/>
          <w:szCs w:val="22"/>
        </w:rPr>
        <w:t xml:space="preserve"> que se ofrecen por el presente corresponden al Fideicomiso Financiero </w:t>
      </w:r>
      <w:r w:rsidR="00D11562" w:rsidRPr="00506990">
        <w:rPr>
          <w:rFonts w:ascii="Times New Roman" w:hAnsi="Times New Roman"/>
          <w:color w:val="0D0D0D" w:themeColor="text1" w:themeTint="F2"/>
          <w:sz w:val="22"/>
          <w:szCs w:val="22"/>
        </w:rPr>
        <w:t xml:space="preserve">CONFIBONO </w:t>
      </w:r>
      <w:r w:rsidR="003F20DA" w:rsidRPr="00506990">
        <w:rPr>
          <w:rFonts w:ascii="Times New Roman" w:hAnsi="Times New Roman"/>
          <w:color w:val="0D0D0D" w:themeColor="text1" w:themeTint="F2"/>
          <w:sz w:val="22"/>
          <w:szCs w:val="22"/>
        </w:rPr>
        <w:t>L</w:t>
      </w:r>
      <w:r w:rsidR="00192FE0" w:rsidRPr="00506990">
        <w:rPr>
          <w:rFonts w:ascii="Times New Roman" w:hAnsi="Times New Roman"/>
          <w:color w:val="0D0D0D" w:themeColor="text1" w:themeTint="F2"/>
          <w:sz w:val="22"/>
          <w:szCs w:val="22"/>
        </w:rPr>
        <w:t>I</w:t>
      </w:r>
      <w:r w:rsidR="000F6441" w:rsidRPr="00506990">
        <w:rPr>
          <w:rFonts w:ascii="Times New Roman" w:hAnsi="Times New Roman"/>
          <w:color w:val="0D0D0D" w:themeColor="text1" w:themeTint="F2"/>
          <w:sz w:val="22"/>
          <w:szCs w:val="22"/>
        </w:rPr>
        <w:t>I</w:t>
      </w:r>
      <w:r w:rsidR="00F3166E" w:rsidRPr="00506990">
        <w:rPr>
          <w:rFonts w:ascii="Times New Roman" w:hAnsi="Times New Roman"/>
          <w:color w:val="0D0D0D" w:themeColor="text1" w:themeTint="F2"/>
          <w:sz w:val="22"/>
          <w:szCs w:val="22"/>
        </w:rPr>
        <w:t>I</w:t>
      </w:r>
      <w:r w:rsidR="00124075" w:rsidRPr="00506990">
        <w:rPr>
          <w:rFonts w:ascii="Times New Roman" w:hAnsi="Times New Roman"/>
          <w:color w:val="0D0D0D" w:themeColor="text1" w:themeTint="F2"/>
          <w:sz w:val="22"/>
          <w:szCs w:val="22"/>
        </w:rPr>
        <w:t>,</w:t>
      </w:r>
      <w:r w:rsidR="0091727C"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constituido bajo el Programa Global de Valores Fiduciarios “</w:t>
      </w:r>
      <w:r w:rsidR="007B30B6" w:rsidRPr="00506990">
        <w:rPr>
          <w:rFonts w:ascii="Times New Roman" w:hAnsi="Times New Roman"/>
          <w:color w:val="0D0D0D" w:themeColor="text1" w:themeTint="F2"/>
          <w:sz w:val="22"/>
          <w:szCs w:val="22"/>
        </w:rPr>
        <w:t>CONFIBONO</w:t>
      </w:r>
      <w:r w:rsidRPr="00506990">
        <w:rPr>
          <w:rFonts w:ascii="Times New Roman" w:hAnsi="Times New Roman"/>
          <w:color w:val="0D0D0D" w:themeColor="text1" w:themeTint="F2"/>
          <w:sz w:val="22"/>
          <w:szCs w:val="22"/>
        </w:rPr>
        <w:t xml:space="preserve">”, conforme </w:t>
      </w:r>
      <w:r w:rsidR="00986CB3" w:rsidRPr="00506990">
        <w:rPr>
          <w:rFonts w:ascii="Times New Roman" w:hAnsi="Times New Roman"/>
          <w:color w:val="0D0D0D" w:themeColor="text1" w:themeTint="F2"/>
          <w:sz w:val="22"/>
          <w:szCs w:val="22"/>
          <w:lang w:val="es-AR"/>
        </w:rPr>
        <w:t xml:space="preserve">al Libro Tercero, Título IV, Capítulo 30 </w:t>
      </w:r>
      <w:r w:rsidR="003C769E" w:rsidRPr="00506990">
        <w:rPr>
          <w:rFonts w:ascii="Times New Roman" w:hAnsi="Times New Roman"/>
          <w:color w:val="0D0D0D" w:themeColor="text1" w:themeTint="F2"/>
          <w:sz w:val="22"/>
          <w:szCs w:val="22"/>
          <w:lang w:val="es-AR"/>
        </w:rPr>
        <w:t xml:space="preserve">del </w:t>
      </w:r>
      <w:r w:rsidR="003C769E" w:rsidRPr="00506990">
        <w:rPr>
          <w:rFonts w:ascii="Times New Roman" w:hAnsi="Times New Roman"/>
          <w:color w:val="0D0D0D" w:themeColor="text1" w:themeTint="F2"/>
          <w:sz w:val="22"/>
          <w:szCs w:val="22"/>
        </w:rPr>
        <w:t>Código</w:t>
      </w:r>
      <w:r w:rsidR="00BF6C87" w:rsidRPr="00506990">
        <w:rPr>
          <w:rFonts w:ascii="Times New Roman" w:hAnsi="Times New Roman"/>
          <w:color w:val="0D0D0D" w:themeColor="text1" w:themeTint="F2"/>
          <w:sz w:val="22"/>
          <w:szCs w:val="22"/>
        </w:rPr>
        <w:t xml:space="preserve"> Civil y Comercial de la </w:t>
      </w:r>
      <w:r w:rsidR="003C769E" w:rsidRPr="00506990">
        <w:rPr>
          <w:rFonts w:ascii="Times New Roman" w:hAnsi="Times New Roman"/>
          <w:color w:val="0D0D0D" w:themeColor="text1" w:themeTint="F2"/>
          <w:sz w:val="22"/>
          <w:szCs w:val="22"/>
        </w:rPr>
        <w:t>Nación y</w:t>
      </w:r>
      <w:r w:rsidRPr="00506990">
        <w:rPr>
          <w:rFonts w:ascii="Times New Roman" w:hAnsi="Times New Roman"/>
          <w:color w:val="0D0D0D" w:themeColor="text1" w:themeTint="F2"/>
          <w:sz w:val="22"/>
          <w:szCs w:val="22"/>
        </w:rPr>
        <w:t xml:space="preserve"> el Título V Capítulo IV de las NORMAS de la Comisión Nacional de Valores (“CNV”) (</w:t>
      </w:r>
      <w:r w:rsidR="00A769F5" w:rsidRPr="00506990">
        <w:rPr>
          <w:rFonts w:ascii="Times New Roman" w:hAnsi="Times New Roman"/>
          <w:color w:val="0D0D0D" w:themeColor="text1" w:themeTint="F2"/>
          <w:sz w:val="22"/>
          <w:szCs w:val="22"/>
        </w:rPr>
        <w:t>N.T</w:t>
      </w:r>
      <w:r w:rsidR="00840581" w:rsidRPr="00506990">
        <w:rPr>
          <w:rFonts w:ascii="Times New Roman" w:hAnsi="Times New Roman"/>
          <w:color w:val="0D0D0D" w:themeColor="text1" w:themeTint="F2"/>
          <w:sz w:val="22"/>
          <w:szCs w:val="22"/>
        </w:rPr>
        <w:t xml:space="preserve"> </w:t>
      </w:r>
      <w:r w:rsidR="00A769F5" w:rsidRPr="00506990">
        <w:rPr>
          <w:rFonts w:ascii="Times New Roman" w:hAnsi="Times New Roman"/>
          <w:color w:val="0D0D0D" w:themeColor="text1" w:themeTint="F2"/>
          <w:sz w:val="22"/>
          <w:szCs w:val="22"/>
        </w:rPr>
        <w:t>2013</w:t>
      </w:r>
      <w:r w:rsidRPr="00506990">
        <w:rPr>
          <w:rFonts w:ascii="Times New Roman" w:hAnsi="Times New Roman"/>
          <w:color w:val="0D0D0D" w:themeColor="text1" w:themeTint="F2"/>
          <w:sz w:val="22"/>
          <w:szCs w:val="22"/>
        </w:rPr>
        <w:t xml:space="preserve">. </w:t>
      </w:r>
      <w:r w:rsidR="005A3BE4" w:rsidRPr="00506990">
        <w:rPr>
          <w:rFonts w:ascii="Times New Roman" w:hAnsi="Times New Roman"/>
          <w:color w:val="0D0D0D" w:themeColor="text1" w:themeTint="F2"/>
          <w:sz w:val="22"/>
          <w:szCs w:val="22"/>
        </w:rPr>
        <w:t xml:space="preserve">y </w:t>
      </w:r>
      <w:r w:rsidR="00A769F5" w:rsidRPr="00506990">
        <w:rPr>
          <w:rFonts w:ascii="Times New Roman" w:hAnsi="Times New Roman"/>
          <w:color w:val="0D0D0D" w:themeColor="text1" w:themeTint="F2"/>
          <w:sz w:val="22"/>
          <w:szCs w:val="22"/>
        </w:rPr>
        <w:t>mod</w:t>
      </w:r>
      <w:r w:rsidR="00D253B0" w:rsidRPr="00506990">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 xml:space="preserve"> – las “NORMAS”). Los bienes del Fiduciario no responderán por las obligaciones contraídas en la ejecución del Fideicomiso</w:t>
      </w:r>
      <w:r w:rsidR="00E11E0B" w:rsidRPr="00506990">
        <w:rPr>
          <w:rFonts w:ascii="Times New Roman" w:hAnsi="Times New Roman"/>
          <w:color w:val="0D0D0D" w:themeColor="text1" w:themeTint="F2"/>
          <w:sz w:val="22"/>
          <w:szCs w:val="22"/>
        </w:rPr>
        <w:t xml:space="preserve"> que </w:t>
      </w:r>
      <w:r w:rsidRPr="00506990">
        <w:rPr>
          <w:rFonts w:ascii="Times New Roman" w:hAnsi="Times New Roman"/>
          <w:color w:val="0D0D0D" w:themeColor="text1" w:themeTint="F2"/>
          <w:sz w:val="22"/>
          <w:szCs w:val="22"/>
        </w:rPr>
        <w:t>serán exclusivamente satisfechas con los Bienes Fideicomitidos, conforme lo dispone el artículo 16</w:t>
      </w:r>
      <w:r w:rsidR="00CA5FAE" w:rsidRPr="00506990">
        <w:rPr>
          <w:rFonts w:ascii="Times New Roman" w:hAnsi="Times New Roman"/>
          <w:color w:val="0D0D0D" w:themeColor="text1" w:themeTint="F2"/>
          <w:sz w:val="22"/>
          <w:szCs w:val="22"/>
        </w:rPr>
        <w:t>87</w:t>
      </w:r>
      <w:r w:rsidRPr="00506990">
        <w:rPr>
          <w:rFonts w:ascii="Times New Roman" w:hAnsi="Times New Roman"/>
          <w:color w:val="0D0D0D" w:themeColor="text1" w:themeTint="F2"/>
          <w:sz w:val="22"/>
          <w:szCs w:val="22"/>
        </w:rPr>
        <w:t xml:space="preserve"> de</w:t>
      </w:r>
      <w:r w:rsidR="00CA5FAE" w:rsidRPr="00506990">
        <w:rPr>
          <w:rFonts w:ascii="Times New Roman" w:hAnsi="Times New Roman"/>
          <w:color w:val="0D0D0D" w:themeColor="text1" w:themeTint="F2"/>
          <w:sz w:val="22"/>
          <w:szCs w:val="22"/>
        </w:rPr>
        <w:t>l Código Civil y Comercial de la Nación</w:t>
      </w:r>
      <w:r w:rsidRPr="00506990">
        <w:rPr>
          <w:rFonts w:ascii="Times New Roman" w:hAnsi="Times New Roman"/>
          <w:color w:val="0D0D0D" w:themeColor="text1" w:themeTint="F2"/>
          <w:sz w:val="22"/>
          <w:szCs w:val="22"/>
        </w:rPr>
        <w:t>.</w:t>
      </w:r>
      <w:r w:rsidR="00214E30" w:rsidRPr="00506990">
        <w:rPr>
          <w:rFonts w:ascii="Times New Roman" w:hAnsi="Times New Roman"/>
          <w:color w:val="0D0D0D" w:themeColor="text1" w:themeTint="F2"/>
          <w:sz w:val="22"/>
          <w:szCs w:val="22"/>
        </w:rPr>
        <w:t xml:space="preserve"> En caso de incumplimiento total o parcial de los obligados de los activos que constituyan los Bienes Fideicomitidos, los Beneficiarios no tendrán derecho o acción alguna contra el Fiduciario, </w:t>
      </w:r>
      <w:r w:rsidR="008A0685" w:rsidRPr="00506990">
        <w:rPr>
          <w:rFonts w:ascii="Times New Roman" w:hAnsi="Times New Roman"/>
          <w:color w:val="0D0D0D" w:themeColor="text1" w:themeTint="F2"/>
          <w:sz w:val="22"/>
          <w:szCs w:val="22"/>
        </w:rPr>
        <w:t xml:space="preserve">el </w:t>
      </w:r>
      <w:r w:rsidR="003C769E" w:rsidRPr="00506990">
        <w:rPr>
          <w:rFonts w:ascii="Times New Roman" w:hAnsi="Times New Roman"/>
          <w:color w:val="0D0D0D" w:themeColor="text1" w:themeTint="F2"/>
          <w:sz w:val="22"/>
          <w:szCs w:val="22"/>
        </w:rPr>
        <w:t>Organizador y</w:t>
      </w:r>
      <w:r w:rsidR="00214E30" w:rsidRPr="00506990">
        <w:rPr>
          <w:rFonts w:ascii="Times New Roman" w:hAnsi="Times New Roman"/>
          <w:color w:val="0D0D0D" w:themeColor="text1" w:themeTint="F2"/>
          <w:sz w:val="22"/>
          <w:szCs w:val="22"/>
        </w:rPr>
        <w:t>/o l</w:t>
      </w:r>
      <w:r w:rsidR="003C5928" w:rsidRPr="00506990">
        <w:rPr>
          <w:rFonts w:ascii="Times New Roman" w:hAnsi="Times New Roman"/>
          <w:color w:val="0D0D0D" w:themeColor="text1" w:themeTint="F2"/>
          <w:sz w:val="22"/>
          <w:szCs w:val="22"/>
        </w:rPr>
        <w:t>os</w:t>
      </w:r>
      <w:r w:rsidR="00214E30" w:rsidRPr="00506990">
        <w:rPr>
          <w:rFonts w:ascii="Times New Roman" w:hAnsi="Times New Roman"/>
          <w:color w:val="0D0D0D" w:themeColor="text1" w:themeTint="F2"/>
          <w:sz w:val="22"/>
          <w:szCs w:val="22"/>
        </w:rPr>
        <w:t xml:space="preserve"> Fiduciante</w:t>
      </w:r>
      <w:r w:rsidR="003C5928" w:rsidRPr="00506990">
        <w:rPr>
          <w:rFonts w:ascii="Times New Roman" w:hAnsi="Times New Roman"/>
          <w:color w:val="0D0D0D" w:themeColor="text1" w:themeTint="F2"/>
          <w:sz w:val="22"/>
          <w:szCs w:val="22"/>
        </w:rPr>
        <w:t>s</w:t>
      </w:r>
      <w:r w:rsidR="00214E30" w:rsidRPr="00506990">
        <w:rPr>
          <w:rFonts w:ascii="Times New Roman" w:hAnsi="Times New Roman"/>
          <w:color w:val="0D0D0D" w:themeColor="text1" w:themeTint="F2"/>
          <w:sz w:val="22"/>
          <w:szCs w:val="22"/>
        </w:rPr>
        <w:t xml:space="preserve">, salvo la garantía de evicción que éste último presta. </w:t>
      </w:r>
    </w:p>
    <w:p w14:paraId="5BC8C9EF" w14:textId="77777777"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14:paraId="56425C37" w14:textId="66439264" w:rsidR="00E11B23" w:rsidRPr="00506990" w:rsidRDefault="00E11B23" w:rsidP="00E11B23">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t xml:space="preserve">La fecha de este Suplemento de Prospecto es </w:t>
      </w:r>
      <w:r w:rsidR="001A6098">
        <w:rPr>
          <w:rFonts w:ascii="Times New Roman" w:hAnsi="Times New Roman" w:cs="Times New Roman"/>
          <w:b/>
          <w:i/>
          <w:color w:val="000000" w:themeColor="text1"/>
          <w:sz w:val="22"/>
          <w:szCs w:val="22"/>
        </w:rPr>
        <w:t>6</w:t>
      </w:r>
      <w:r w:rsidRPr="00506990">
        <w:rPr>
          <w:rFonts w:ascii="Times New Roman" w:hAnsi="Times New Roman" w:cs="Times New Roman"/>
          <w:b/>
          <w:i/>
          <w:color w:val="000000" w:themeColor="text1"/>
          <w:sz w:val="22"/>
          <w:szCs w:val="22"/>
        </w:rPr>
        <w:t xml:space="preserve"> de </w:t>
      </w:r>
      <w:r w:rsidR="00132FBE">
        <w:rPr>
          <w:rFonts w:ascii="Times New Roman" w:hAnsi="Times New Roman" w:cs="Times New Roman"/>
          <w:b/>
          <w:i/>
          <w:color w:val="000000" w:themeColor="text1"/>
          <w:sz w:val="22"/>
          <w:szCs w:val="22"/>
        </w:rPr>
        <w:t>enero</w:t>
      </w:r>
      <w:r w:rsidR="0022662F" w:rsidRPr="00506990">
        <w:rPr>
          <w:rFonts w:ascii="Times New Roman" w:hAnsi="Times New Roman" w:cs="Times New Roman"/>
          <w:b/>
          <w:i/>
          <w:color w:val="000000" w:themeColor="text1"/>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20</w:t>
      </w:r>
      <w:bookmarkStart w:id="36" w:name="_GoBack"/>
      <w:bookmarkEnd w:id="36"/>
      <w:r w:rsidRPr="00506990">
        <w:rPr>
          <w:rFonts w:ascii="Times New Roman" w:hAnsi="Times New Roman" w:cs="Times New Roman"/>
          <w:b/>
          <w:i/>
          <w:color w:val="000000" w:themeColor="text1"/>
          <w:sz w:val="22"/>
          <w:szCs w:val="22"/>
        </w:rPr>
        <w:t xml:space="preserve"> y debe leerse juntamente con el Prospecto del Programa</w:t>
      </w:r>
      <w:r w:rsidR="00CA777A" w:rsidRPr="00506990">
        <w:rPr>
          <w:rFonts w:ascii="Times New Roman" w:hAnsi="Times New Roman" w:cs="Times New Roman"/>
          <w:b/>
          <w:i/>
          <w:color w:val="000000" w:themeColor="text1"/>
          <w:sz w:val="22"/>
          <w:szCs w:val="22"/>
        </w:rPr>
        <w:t>, publicado en el boletín diario de la Bolsa de Comercio de Rosario el 24 de agosto de 2018</w:t>
      </w:r>
      <w:r w:rsidRPr="00506990">
        <w:rPr>
          <w:rFonts w:ascii="Times New Roman" w:hAnsi="Times New Roman" w:cs="Times New Roman"/>
          <w:b/>
          <w:i/>
          <w:color w:val="000000" w:themeColor="text1"/>
          <w:sz w:val="22"/>
          <w:szCs w:val="22"/>
        </w:rPr>
        <w:t xml:space="preserve">. Ambos documentos están disponibles en </w:t>
      </w:r>
      <w:hyperlink w:history="1">
        <w:r w:rsidR="00413336" w:rsidRPr="00506990">
          <w:rPr>
            <w:rStyle w:val="Hipervnculo"/>
            <w:rFonts w:ascii="Times New Roman" w:hAnsi="Times New Roman"/>
            <w:b/>
            <w:i/>
            <w:sz w:val="22"/>
            <w:szCs w:val="22"/>
          </w:rPr>
          <w:t>www.cnv.gov.ar,</w:t>
        </w:r>
        <w:r w:rsidR="00413336" w:rsidRPr="00506990">
          <w:rPr>
            <w:rStyle w:val="Hipervnculo"/>
            <w:rFonts w:ascii="Times New Roman" w:hAnsi="Times New Roman"/>
            <w:b/>
            <w:i/>
            <w:color w:val="auto"/>
            <w:sz w:val="22"/>
            <w:szCs w:val="22"/>
            <w:u w:val="none"/>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donde se listen los Valores </w:t>
      </w:r>
      <w:r w:rsidR="00D37CD5" w:rsidRPr="00B43F7C">
        <w:rPr>
          <w:rFonts w:ascii="Times New Roman" w:hAnsi="Times New Roman" w:cs="Times New Roman"/>
          <w:b/>
          <w:i/>
          <w:iCs/>
          <w:color w:val="0D0D0D" w:themeColor="text1" w:themeTint="F2"/>
          <w:sz w:val="22"/>
          <w:szCs w:val="22"/>
          <w:lang w:val="es-AR"/>
        </w:rPr>
        <w:t xml:space="preserve">de Deuda </w:t>
      </w:r>
      <w:r w:rsidRPr="00506990">
        <w:rPr>
          <w:rFonts w:ascii="Times New Roman" w:hAnsi="Times New Roman" w:cs="Times New Roman"/>
          <w:b/>
          <w:i/>
          <w:color w:val="000000" w:themeColor="text1"/>
          <w:sz w:val="22"/>
          <w:szCs w:val="22"/>
        </w:rPr>
        <w:t>Fiduciari</w:t>
      </w:r>
      <w:r w:rsidR="00D37CD5" w:rsidRPr="00506990">
        <w:rPr>
          <w:rFonts w:ascii="Times New Roman" w:hAnsi="Times New Roman" w:cs="Times New Roman"/>
          <w:b/>
          <w:i/>
          <w:color w:val="000000" w:themeColor="text1"/>
          <w:sz w:val="22"/>
          <w:szCs w:val="22"/>
        </w:rPr>
        <w:t>a</w:t>
      </w:r>
      <w:r w:rsidRPr="00506990">
        <w:rPr>
          <w:rFonts w:ascii="Times New Roman" w:hAnsi="Times New Roman" w:cs="Times New Roman"/>
          <w:b/>
          <w:i/>
          <w:color w:val="000000" w:themeColor="text1"/>
          <w:sz w:val="22"/>
          <w:szCs w:val="22"/>
        </w:rPr>
        <w:t>, en las oficinas del Fiduciario y de los Colocadores.</w:t>
      </w:r>
    </w:p>
    <w:p w14:paraId="481AB54E" w14:textId="6E120D3E" w:rsidR="00F02248" w:rsidRPr="00506990" w:rsidRDefault="00F02248">
      <w:pPr>
        <w:jc w:val="left"/>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br w:type="page"/>
      </w:r>
    </w:p>
    <w:sdt>
      <w:sdtPr>
        <w:rPr>
          <w:rFonts w:ascii="Times New Roman" w:eastAsia="Calibri" w:hAnsi="Times New Roman" w:cs="Times New Roman"/>
          <w:b w:val="0"/>
          <w:bCs w:val="0"/>
          <w:color w:val="auto"/>
          <w:sz w:val="24"/>
          <w:szCs w:val="24"/>
          <w:lang w:val="es-ES" w:eastAsia="es-ES"/>
        </w:rPr>
        <w:id w:val="586892718"/>
        <w:docPartObj>
          <w:docPartGallery w:val="Table of Contents"/>
          <w:docPartUnique/>
        </w:docPartObj>
      </w:sdtPr>
      <w:sdtEndPr/>
      <w:sdtContent>
        <w:p w14:paraId="6C98F8B3" w14:textId="6DF34B4B" w:rsidR="00B228F5" w:rsidRPr="00506990" w:rsidRDefault="00B228F5">
          <w:pPr>
            <w:pStyle w:val="TtuloTDC"/>
            <w:rPr>
              <w:rFonts w:ascii="Times New Roman" w:hAnsi="Times New Roman" w:cs="Times New Roman"/>
              <w:sz w:val="24"/>
              <w:szCs w:val="24"/>
            </w:rPr>
          </w:pPr>
          <w:r w:rsidRPr="00506990">
            <w:rPr>
              <w:rFonts w:ascii="Times New Roman" w:hAnsi="Times New Roman" w:cs="Times New Roman"/>
              <w:sz w:val="24"/>
              <w:szCs w:val="24"/>
              <w:lang w:val="es-ES"/>
            </w:rPr>
            <w:t>ÍNDICE</w:t>
          </w:r>
        </w:p>
        <w:p w14:paraId="3C37802B" w14:textId="4E83537C" w:rsidR="00B228F5" w:rsidRPr="00506990" w:rsidRDefault="00B228F5" w:rsidP="00B228F5">
          <w:pPr>
            <w:pStyle w:val="TDC1"/>
            <w:tabs>
              <w:tab w:val="right" w:leader="dot" w:pos="8830"/>
            </w:tabs>
            <w:rPr>
              <w:rFonts w:ascii="Times New Roman" w:eastAsiaTheme="minorEastAsia" w:hAnsi="Times New Roman" w:cs="Times New Roman"/>
              <w:noProof/>
              <w:sz w:val="24"/>
              <w:szCs w:val="24"/>
              <w:lang w:val="es-AR" w:eastAsia="es-AR"/>
            </w:rPr>
          </w:pPr>
          <w:r w:rsidRPr="00463985">
            <w:rPr>
              <w:rFonts w:ascii="Times New Roman" w:hAnsi="Times New Roman" w:cs="Times New Roman"/>
              <w:sz w:val="24"/>
              <w:szCs w:val="24"/>
            </w:rPr>
            <w:fldChar w:fldCharType="begin"/>
          </w:r>
          <w:r w:rsidRPr="00506990">
            <w:rPr>
              <w:rFonts w:ascii="Times New Roman" w:hAnsi="Times New Roman" w:cs="Times New Roman"/>
              <w:sz w:val="24"/>
              <w:szCs w:val="24"/>
            </w:rPr>
            <w:instrText xml:space="preserve"> TOC \o "1-3" \h \z \u </w:instrText>
          </w:r>
          <w:r w:rsidRPr="00463985">
            <w:rPr>
              <w:rFonts w:ascii="Times New Roman" w:hAnsi="Times New Roman" w:cs="Times New Roman"/>
              <w:sz w:val="24"/>
              <w:szCs w:val="24"/>
            </w:rPr>
            <w:fldChar w:fldCharType="separate"/>
          </w:r>
        </w:p>
        <w:p w14:paraId="383CCDC9" w14:textId="759E24CF"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69" w:history="1">
            <w:r w:rsidR="00B228F5" w:rsidRPr="00506990">
              <w:rPr>
                <w:rStyle w:val="Hipervnculo"/>
                <w:rFonts w:ascii="Times New Roman" w:hAnsi="Times New Roman"/>
                <w:noProof/>
                <w:sz w:val="24"/>
                <w:szCs w:val="24"/>
              </w:rPr>
              <w:t>I.- ADVERTENCIAS</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_Toc20409069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4</w:t>
            </w:r>
            <w:r w:rsidR="00B228F5" w:rsidRPr="0098446E">
              <w:rPr>
                <w:rFonts w:ascii="Times New Roman" w:hAnsi="Times New Roman" w:cs="Times New Roman"/>
                <w:noProof/>
                <w:webHidden/>
                <w:sz w:val="24"/>
                <w:szCs w:val="24"/>
              </w:rPr>
              <w:fldChar w:fldCharType="end"/>
            </w:r>
          </w:hyperlink>
        </w:p>
        <w:p w14:paraId="0FAF5B88" w14:textId="5DCB5899"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70" w:history="1">
            <w:r w:rsidR="00B228F5" w:rsidRPr="00506990">
              <w:rPr>
                <w:rStyle w:val="Hipervnculo"/>
                <w:rFonts w:ascii="Times New Roman" w:hAnsi="Times New Roman"/>
                <w:noProof/>
                <w:sz w:val="24"/>
                <w:szCs w:val="24"/>
              </w:rPr>
              <w:t>II.- CONSIDERACIONES DE RIESGO PARA LA INVERSIÓN</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_Toc20409070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8</w:t>
            </w:r>
            <w:r w:rsidR="00B228F5" w:rsidRPr="0098446E">
              <w:rPr>
                <w:rFonts w:ascii="Times New Roman" w:hAnsi="Times New Roman" w:cs="Times New Roman"/>
                <w:noProof/>
                <w:webHidden/>
                <w:sz w:val="24"/>
                <w:szCs w:val="24"/>
              </w:rPr>
              <w:fldChar w:fldCharType="end"/>
            </w:r>
          </w:hyperlink>
        </w:p>
        <w:p w14:paraId="6E140A05" w14:textId="4F97EED7"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80" w:history="1">
            <w:r w:rsidR="00B228F5" w:rsidRPr="00506990">
              <w:rPr>
                <w:rStyle w:val="Hipervnculo"/>
                <w:rFonts w:ascii="Times New Roman" w:hAnsi="Times New Roman"/>
                <w:noProof/>
                <w:sz w:val="24"/>
                <w:szCs w:val="24"/>
              </w:rPr>
              <w:t>III.- RESUMEN DE TÉRMINOS Y CONDICIONES DE LOS VALORES DE DEUDA FIDUCIARIA</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_Toc20409080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14</w:t>
            </w:r>
            <w:r w:rsidR="00B228F5" w:rsidRPr="0098446E">
              <w:rPr>
                <w:rFonts w:ascii="Times New Roman" w:hAnsi="Times New Roman" w:cs="Times New Roman"/>
                <w:noProof/>
                <w:webHidden/>
                <w:sz w:val="24"/>
                <w:szCs w:val="24"/>
              </w:rPr>
              <w:fldChar w:fldCharType="end"/>
            </w:r>
          </w:hyperlink>
        </w:p>
        <w:p w14:paraId="2690A3AD" w14:textId="12B2973C"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82" w:history="1">
            <w:r w:rsidR="00B228F5" w:rsidRPr="00506990">
              <w:rPr>
                <w:rStyle w:val="Hipervnculo"/>
                <w:rFonts w:ascii="Times New Roman" w:hAnsi="Times New Roman"/>
                <w:noProof/>
                <w:sz w:val="24"/>
                <w:szCs w:val="24"/>
              </w:rPr>
              <w:t>IV.- DESCRIPCIÓN DEL FIDUCIARIO</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_Toc20409082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20</w:t>
            </w:r>
            <w:r w:rsidR="00B228F5" w:rsidRPr="0098446E">
              <w:rPr>
                <w:rFonts w:ascii="Times New Roman" w:hAnsi="Times New Roman" w:cs="Times New Roman"/>
                <w:noProof/>
                <w:webHidden/>
                <w:sz w:val="24"/>
                <w:szCs w:val="24"/>
              </w:rPr>
              <w:fldChar w:fldCharType="end"/>
            </w:r>
          </w:hyperlink>
        </w:p>
        <w:p w14:paraId="613877C7" w14:textId="68608634"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84" w:history="1">
            <w:r w:rsidR="00B228F5" w:rsidRPr="00506990">
              <w:rPr>
                <w:rStyle w:val="Hipervnculo"/>
                <w:rFonts w:ascii="Times New Roman" w:hAnsi="Times New Roman"/>
                <w:noProof/>
                <w:sz w:val="24"/>
                <w:szCs w:val="24"/>
              </w:rPr>
              <w:t>V.- DECLARACIONES DEL FIDUCIARIO Y DE</w:t>
            </w:r>
            <w:r w:rsidR="003C5928" w:rsidRPr="00506990">
              <w:rPr>
                <w:rStyle w:val="Hipervnculo"/>
                <w:rFonts w:ascii="Times New Roman" w:hAnsi="Times New Roman"/>
                <w:noProof/>
                <w:sz w:val="24"/>
                <w:szCs w:val="24"/>
              </w:rPr>
              <w:t xml:space="preserve"> </w:t>
            </w:r>
            <w:r w:rsidR="00B228F5" w:rsidRPr="00506990">
              <w:rPr>
                <w:rStyle w:val="Hipervnculo"/>
                <w:rFonts w:ascii="Times New Roman" w:hAnsi="Times New Roman"/>
                <w:noProof/>
                <w:sz w:val="24"/>
                <w:szCs w:val="24"/>
              </w:rPr>
              <w:t>L</w:t>
            </w:r>
            <w:r w:rsidR="003C5928" w:rsidRPr="00506990">
              <w:rPr>
                <w:rStyle w:val="Hipervnculo"/>
                <w:rFonts w:ascii="Times New Roman" w:hAnsi="Times New Roman"/>
                <w:noProof/>
                <w:sz w:val="24"/>
                <w:szCs w:val="24"/>
              </w:rPr>
              <w:t>OS</w:t>
            </w:r>
            <w:r w:rsidR="00B228F5" w:rsidRPr="00506990">
              <w:rPr>
                <w:rStyle w:val="Hipervnculo"/>
                <w:rFonts w:ascii="Times New Roman" w:hAnsi="Times New Roman"/>
                <w:noProof/>
                <w:sz w:val="24"/>
                <w:szCs w:val="24"/>
              </w:rPr>
              <w:t xml:space="preserve"> FIDUCIANTE</w:t>
            </w:r>
            <w:r w:rsidR="003C5928" w:rsidRPr="00506990">
              <w:rPr>
                <w:rStyle w:val="Hipervnculo"/>
                <w:rFonts w:ascii="Times New Roman" w:hAnsi="Times New Roman"/>
                <w:noProof/>
                <w:sz w:val="24"/>
                <w:szCs w:val="24"/>
              </w:rPr>
              <w:t>S</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_Toc20409084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23</w:t>
            </w:r>
            <w:r w:rsidR="00B228F5" w:rsidRPr="0098446E">
              <w:rPr>
                <w:rFonts w:ascii="Times New Roman" w:hAnsi="Times New Roman" w:cs="Times New Roman"/>
                <w:noProof/>
                <w:webHidden/>
                <w:sz w:val="24"/>
                <w:szCs w:val="24"/>
              </w:rPr>
              <w:fldChar w:fldCharType="end"/>
            </w:r>
          </w:hyperlink>
        </w:p>
        <w:p w14:paraId="4E5805C7" w14:textId="5A095593"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85" w:history="1">
            <w:r w:rsidR="00B228F5" w:rsidRPr="00506990">
              <w:rPr>
                <w:rStyle w:val="Hipervnculo"/>
                <w:rFonts w:ascii="Times New Roman" w:hAnsi="Times New Roman"/>
                <w:noProof/>
                <w:sz w:val="24"/>
                <w:szCs w:val="24"/>
              </w:rPr>
              <w:t>VI.- DESCRIPCIÓN DE</w:t>
            </w:r>
            <w:r w:rsidR="003C5928" w:rsidRPr="00506990">
              <w:rPr>
                <w:rStyle w:val="Hipervnculo"/>
                <w:rFonts w:ascii="Times New Roman" w:hAnsi="Times New Roman"/>
                <w:noProof/>
                <w:sz w:val="24"/>
                <w:szCs w:val="24"/>
              </w:rPr>
              <w:t xml:space="preserve"> </w:t>
            </w:r>
            <w:r w:rsidR="00B228F5" w:rsidRPr="00506990">
              <w:rPr>
                <w:rStyle w:val="Hipervnculo"/>
                <w:rFonts w:ascii="Times New Roman" w:hAnsi="Times New Roman"/>
                <w:noProof/>
                <w:sz w:val="24"/>
                <w:szCs w:val="24"/>
              </w:rPr>
              <w:t>L</w:t>
            </w:r>
            <w:r w:rsidR="003C5928" w:rsidRPr="00506990">
              <w:rPr>
                <w:rStyle w:val="Hipervnculo"/>
                <w:rFonts w:ascii="Times New Roman" w:hAnsi="Times New Roman"/>
                <w:noProof/>
                <w:sz w:val="24"/>
                <w:szCs w:val="24"/>
              </w:rPr>
              <w:t>OS</w:t>
            </w:r>
            <w:r w:rsidR="00B228F5" w:rsidRPr="00506990">
              <w:rPr>
                <w:rStyle w:val="Hipervnculo"/>
                <w:rFonts w:ascii="Times New Roman" w:hAnsi="Times New Roman"/>
                <w:noProof/>
                <w:sz w:val="24"/>
                <w:szCs w:val="24"/>
              </w:rPr>
              <w:t xml:space="preserve"> FIDUCIANTE</w:t>
            </w:r>
            <w:r w:rsidR="003C5928" w:rsidRPr="00506990">
              <w:rPr>
                <w:rStyle w:val="Hipervnculo"/>
                <w:rFonts w:ascii="Times New Roman" w:hAnsi="Times New Roman"/>
                <w:noProof/>
                <w:sz w:val="24"/>
                <w:szCs w:val="24"/>
              </w:rPr>
              <w:t>S</w:t>
            </w:r>
            <w:r w:rsidR="00B228F5" w:rsidRPr="00506990">
              <w:rPr>
                <w:rStyle w:val="Hipervnculo"/>
                <w:rFonts w:ascii="Times New Roman" w:hAnsi="Times New Roman"/>
                <w:noProof/>
                <w:sz w:val="24"/>
                <w:szCs w:val="24"/>
              </w:rPr>
              <w:t>, ADMINISTRADOR</w:t>
            </w:r>
            <w:r w:rsidR="003C5928" w:rsidRPr="00506990">
              <w:rPr>
                <w:rStyle w:val="Hipervnculo"/>
                <w:rFonts w:ascii="Times New Roman" w:hAnsi="Times New Roman"/>
                <w:noProof/>
                <w:sz w:val="24"/>
                <w:szCs w:val="24"/>
              </w:rPr>
              <w:t>ES</w:t>
            </w:r>
            <w:r w:rsidR="00B228F5" w:rsidRPr="00506990">
              <w:rPr>
                <w:rStyle w:val="Hipervnculo"/>
                <w:rFonts w:ascii="Times New Roman" w:hAnsi="Times New Roman"/>
                <w:noProof/>
                <w:sz w:val="24"/>
                <w:szCs w:val="24"/>
              </w:rPr>
              <w:t xml:space="preserve"> Y AGENTE</w:t>
            </w:r>
            <w:r w:rsidR="003C5928" w:rsidRPr="00506990">
              <w:rPr>
                <w:rStyle w:val="Hipervnculo"/>
                <w:rFonts w:ascii="Times New Roman" w:hAnsi="Times New Roman"/>
                <w:noProof/>
                <w:sz w:val="24"/>
                <w:szCs w:val="24"/>
              </w:rPr>
              <w:t>S</w:t>
            </w:r>
            <w:r w:rsidR="00B228F5" w:rsidRPr="00506990">
              <w:rPr>
                <w:rStyle w:val="Hipervnculo"/>
                <w:rFonts w:ascii="Times New Roman" w:hAnsi="Times New Roman"/>
                <w:noProof/>
                <w:sz w:val="24"/>
                <w:szCs w:val="24"/>
              </w:rPr>
              <w:t xml:space="preserve"> DE COBRO</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_Toc20409085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24</w:t>
            </w:r>
            <w:r w:rsidR="00B228F5" w:rsidRPr="0098446E">
              <w:rPr>
                <w:rFonts w:ascii="Times New Roman" w:hAnsi="Times New Roman" w:cs="Times New Roman"/>
                <w:noProof/>
                <w:webHidden/>
                <w:sz w:val="24"/>
                <w:szCs w:val="24"/>
              </w:rPr>
              <w:fldChar w:fldCharType="end"/>
            </w:r>
          </w:hyperlink>
        </w:p>
        <w:p w14:paraId="21E28022" w14:textId="3324DCB1"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86" w:history="1">
            <w:r w:rsidR="00B228F5" w:rsidRPr="00506990">
              <w:rPr>
                <w:rStyle w:val="Hipervnculo"/>
                <w:rFonts w:ascii="Times New Roman" w:hAnsi="Times New Roman"/>
                <w:noProof/>
                <w:sz w:val="24"/>
                <w:szCs w:val="24"/>
              </w:rPr>
              <w:t>VII.- DESCRIPCIÓN DEL ORGANIZADOR Y ASESOR FINANCIERO</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_Toc20409086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47</w:t>
            </w:r>
            <w:r w:rsidR="00B228F5" w:rsidRPr="0098446E">
              <w:rPr>
                <w:rFonts w:ascii="Times New Roman" w:hAnsi="Times New Roman" w:cs="Times New Roman"/>
                <w:noProof/>
                <w:webHidden/>
                <w:sz w:val="24"/>
                <w:szCs w:val="24"/>
              </w:rPr>
              <w:fldChar w:fldCharType="end"/>
            </w:r>
          </w:hyperlink>
        </w:p>
        <w:p w14:paraId="095A4DDB" w14:textId="2833488C"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87" w:history="1">
            <w:r w:rsidR="00B228F5" w:rsidRPr="00506990">
              <w:rPr>
                <w:rStyle w:val="Hipervnculo"/>
                <w:rFonts w:ascii="Times New Roman" w:hAnsi="Times New Roman"/>
                <w:noProof/>
                <w:sz w:val="24"/>
                <w:szCs w:val="24"/>
              </w:rPr>
              <w:t>VIII.- DESCRIPCIÓN DEL AGENTE RECAUDADOR</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_Toc20409087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48</w:t>
            </w:r>
            <w:r w:rsidR="00B228F5" w:rsidRPr="0098446E">
              <w:rPr>
                <w:rFonts w:ascii="Times New Roman" w:hAnsi="Times New Roman" w:cs="Times New Roman"/>
                <w:noProof/>
                <w:webHidden/>
                <w:sz w:val="24"/>
                <w:szCs w:val="24"/>
              </w:rPr>
              <w:fldChar w:fldCharType="end"/>
            </w:r>
          </w:hyperlink>
        </w:p>
        <w:p w14:paraId="68697232" w14:textId="5272D8F5"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88" w:history="1">
            <w:r w:rsidR="00B228F5" w:rsidRPr="00506990">
              <w:rPr>
                <w:rStyle w:val="Hipervnculo"/>
                <w:rFonts w:ascii="Times New Roman" w:hAnsi="Times New Roman"/>
                <w:noProof/>
                <w:sz w:val="24"/>
                <w:szCs w:val="24"/>
              </w:rPr>
              <w:t>IX. DESCRIPCIÓN DEL AGENTE DE CUSTODIA</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_Toc20409088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49</w:t>
            </w:r>
            <w:r w:rsidR="00B228F5" w:rsidRPr="0098446E">
              <w:rPr>
                <w:rFonts w:ascii="Times New Roman" w:hAnsi="Times New Roman" w:cs="Times New Roman"/>
                <w:noProof/>
                <w:webHidden/>
                <w:sz w:val="24"/>
                <w:szCs w:val="24"/>
              </w:rPr>
              <w:fldChar w:fldCharType="end"/>
            </w:r>
          </w:hyperlink>
        </w:p>
        <w:p w14:paraId="304EC560" w14:textId="1AFA0E64"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89" w:history="1">
            <w:r w:rsidR="00B228F5" w:rsidRPr="00506990">
              <w:rPr>
                <w:rStyle w:val="Hipervnculo"/>
                <w:rFonts w:ascii="Times New Roman" w:hAnsi="Times New Roman"/>
                <w:noProof/>
                <w:sz w:val="24"/>
                <w:szCs w:val="24"/>
              </w:rPr>
              <w:t>X.- DESCRIPCIÓN DEL AGENTE DE CONTROL Y REVISIÓN</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_Toc20409089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50</w:t>
            </w:r>
            <w:r w:rsidR="00B228F5" w:rsidRPr="0098446E">
              <w:rPr>
                <w:rFonts w:ascii="Times New Roman" w:hAnsi="Times New Roman" w:cs="Times New Roman"/>
                <w:noProof/>
                <w:webHidden/>
                <w:sz w:val="24"/>
                <w:szCs w:val="24"/>
              </w:rPr>
              <w:fldChar w:fldCharType="end"/>
            </w:r>
          </w:hyperlink>
        </w:p>
        <w:p w14:paraId="58F6CC37" w14:textId="0606CE93"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90" w:history="1">
            <w:r w:rsidR="00B228F5" w:rsidRPr="00506990">
              <w:rPr>
                <w:rStyle w:val="Hipervnculo"/>
                <w:rFonts w:ascii="Times New Roman" w:hAnsi="Times New Roman"/>
                <w:noProof/>
                <w:sz w:val="24"/>
                <w:szCs w:val="24"/>
              </w:rPr>
              <w:t>XI.- DESCRIPCIÓN DE LOS BIENES FIDEICOMITIDOS</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_Toc20409090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50</w:t>
            </w:r>
            <w:r w:rsidR="00B228F5" w:rsidRPr="0098446E">
              <w:rPr>
                <w:rFonts w:ascii="Times New Roman" w:hAnsi="Times New Roman" w:cs="Times New Roman"/>
                <w:noProof/>
                <w:webHidden/>
                <w:sz w:val="24"/>
                <w:szCs w:val="24"/>
              </w:rPr>
              <w:fldChar w:fldCharType="end"/>
            </w:r>
          </w:hyperlink>
        </w:p>
        <w:p w14:paraId="0F0539BE" w14:textId="4E2F9260"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91" w:history="1">
            <w:r w:rsidR="00B228F5" w:rsidRPr="00506990">
              <w:rPr>
                <w:rStyle w:val="Hipervnculo"/>
                <w:rFonts w:ascii="Times New Roman" w:hAnsi="Times New Roman"/>
                <w:noProof/>
                <w:sz w:val="24"/>
                <w:szCs w:val="24"/>
              </w:rPr>
              <w:t>XII.- FLUJO DE FONDOS TEÓRICO</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_Toc20409091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65</w:t>
            </w:r>
            <w:r w:rsidR="00B228F5" w:rsidRPr="0098446E">
              <w:rPr>
                <w:rFonts w:ascii="Times New Roman" w:hAnsi="Times New Roman" w:cs="Times New Roman"/>
                <w:noProof/>
                <w:webHidden/>
                <w:sz w:val="24"/>
                <w:szCs w:val="24"/>
              </w:rPr>
              <w:fldChar w:fldCharType="end"/>
            </w:r>
          </w:hyperlink>
        </w:p>
        <w:p w14:paraId="5684E6BE" w14:textId="120F56D4"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92" w:history="1">
            <w:r w:rsidR="00B228F5" w:rsidRPr="00506990">
              <w:rPr>
                <w:rStyle w:val="Hipervnculo"/>
                <w:rFonts w:ascii="Times New Roman" w:hAnsi="Times New Roman"/>
                <w:noProof/>
                <w:sz w:val="24"/>
                <w:szCs w:val="24"/>
                <w:lang w:val="es-AR"/>
              </w:rPr>
              <w:t>XIII.- CRONOGRAMA DE PAGOS DE SERVICIOS</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_Toc20409092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67</w:t>
            </w:r>
            <w:r w:rsidR="00B228F5" w:rsidRPr="0098446E">
              <w:rPr>
                <w:rFonts w:ascii="Times New Roman" w:hAnsi="Times New Roman" w:cs="Times New Roman"/>
                <w:noProof/>
                <w:webHidden/>
                <w:sz w:val="24"/>
                <w:szCs w:val="24"/>
              </w:rPr>
              <w:fldChar w:fldCharType="end"/>
            </w:r>
          </w:hyperlink>
        </w:p>
        <w:p w14:paraId="4394F41E" w14:textId="7182B058"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93" w:history="1">
            <w:r w:rsidR="00B228F5" w:rsidRPr="00506990">
              <w:rPr>
                <w:rStyle w:val="Hipervnculo"/>
                <w:rFonts w:ascii="Times New Roman" w:hAnsi="Times New Roman"/>
                <w:noProof/>
                <w:sz w:val="24"/>
                <w:szCs w:val="24"/>
              </w:rPr>
              <w:t>XIV.- ESQUEMA GRÁFICO DEL FIDEICOMISO</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_Toc20409093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70</w:t>
            </w:r>
            <w:r w:rsidR="00B228F5" w:rsidRPr="0098446E">
              <w:rPr>
                <w:rFonts w:ascii="Times New Roman" w:hAnsi="Times New Roman" w:cs="Times New Roman"/>
                <w:noProof/>
                <w:webHidden/>
                <w:sz w:val="24"/>
                <w:szCs w:val="24"/>
              </w:rPr>
              <w:fldChar w:fldCharType="end"/>
            </w:r>
          </w:hyperlink>
        </w:p>
        <w:p w14:paraId="44660EB8" w14:textId="3DB41C0D"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94" w:history="1">
            <w:r w:rsidR="00B228F5" w:rsidRPr="00506990">
              <w:rPr>
                <w:rStyle w:val="Hipervnculo"/>
                <w:rFonts w:ascii="Times New Roman" w:hAnsi="Times New Roman"/>
                <w:noProof/>
                <w:sz w:val="24"/>
                <w:szCs w:val="24"/>
              </w:rPr>
              <w:t>XV.- PROCEDIMIENTO DE COLOCACIÓN Y NEGOCIACIÓN DE LOS VALORES DE DEUDA FIDUCIARIA.</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_Toc20409094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71</w:t>
            </w:r>
            <w:r w:rsidR="00B228F5" w:rsidRPr="0098446E">
              <w:rPr>
                <w:rFonts w:ascii="Times New Roman" w:hAnsi="Times New Roman" w:cs="Times New Roman"/>
                <w:noProof/>
                <w:webHidden/>
                <w:sz w:val="24"/>
                <w:szCs w:val="24"/>
              </w:rPr>
              <w:fldChar w:fldCharType="end"/>
            </w:r>
          </w:hyperlink>
        </w:p>
        <w:p w14:paraId="1A4F914C" w14:textId="41A4F0C5"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95" w:history="1">
            <w:r w:rsidR="00B228F5" w:rsidRPr="00506990">
              <w:rPr>
                <w:rStyle w:val="Hipervnculo"/>
                <w:rFonts w:ascii="Times New Roman" w:hAnsi="Times New Roman"/>
                <w:noProof/>
                <w:sz w:val="24"/>
                <w:szCs w:val="24"/>
              </w:rPr>
              <w:t>XVI.- DESCRIPCIÓN DEL TRATAMIENTO IMPOSITIVO</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_Toc20409095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74</w:t>
            </w:r>
            <w:r w:rsidR="00B228F5" w:rsidRPr="0098446E">
              <w:rPr>
                <w:rFonts w:ascii="Times New Roman" w:hAnsi="Times New Roman" w:cs="Times New Roman"/>
                <w:noProof/>
                <w:webHidden/>
                <w:sz w:val="24"/>
                <w:szCs w:val="24"/>
              </w:rPr>
              <w:fldChar w:fldCharType="end"/>
            </w:r>
          </w:hyperlink>
        </w:p>
        <w:p w14:paraId="1CF103F5" w14:textId="6FB58B6F" w:rsidR="00B228F5" w:rsidRPr="00506990" w:rsidRDefault="00132FBE">
          <w:pPr>
            <w:pStyle w:val="TDC1"/>
            <w:tabs>
              <w:tab w:val="right" w:leader="dot" w:pos="8830"/>
            </w:tabs>
            <w:rPr>
              <w:rFonts w:ascii="Times New Roman" w:eastAsiaTheme="minorEastAsia" w:hAnsi="Times New Roman" w:cs="Times New Roman"/>
              <w:noProof/>
              <w:sz w:val="24"/>
              <w:szCs w:val="24"/>
              <w:lang w:val="es-AR" w:eastAsia="es-AR"/>
            </w:rPr>
          </w:pPr>
          <w:hyperlink w:anchor="_Toc20409097" w:history="1">
            <w:r w:rsidR="00B228F5" w:rsidRPr="00506990">
              <w:rPr>
                <w:rStyle w:val="Hipervnculo"/>
                <w:rFonts w:ascii="Times New Roman" w:hAnsi="Times New Roman"/>
                <w:noProof/>
                <w:sz w:val="24"/>
                <w:szCs w:val="24"/>
              </w:rPr>
              <w:t>XVII.- TRANSCRIPCIÓN DEL CONTRATO SUPLEMENTARIO DEL FIDEICOMISO FINANCIERO CONFIBONO LII</w:t>
            </w:r>
            <w:r w:rsidR="00727F69" w:rsidRPr="00506990">
              <w:rPr>
                <w:rStyle w:val="Hipervnculo"/>
                <w:rFonts w:ascii="Times New Roman" w:hAnsi="Times New Roman"/>
                <w:noProof/>
                <w:sz w:val="24"/>
                <w:szCs w:val="24"/>
              </w:rPr>
              <w:t>I</w:t>
            </w:r>
            <w:r w:rsidR="00B228F5" w:rsidRPr="00506990">
              <w:rPr>
                <w:rFonts w:ascii="Times New Roman" w:hAnsi="Times New Roman" w:cs="Times New Roman"/>
                <w:noProof/>
                <w:webHidden/>
                <w:sz w:val="24"/>
                <w:szCs w:val="24"/>
              </w:rPr>
              <w:tab/>
            </w:r>
            <w:r w:rsidR="00B228F5" w:rsidRPr="0098446E">
              <w:rPr>
                <w:rFonts w:ascii="Times New Roman" w:hAnsi="Times New Roman" w:cs="Times New Roman"/>
                <w:noProof/>
                <w:webHidden/>
                <w:sz w:val="24"/>
                <w:szCs w:val="24"/>
              </w:rPr>
              <w:fldChar w:fldCharType="begin"/>
            </w:r>
            <w:r w:rsidR="00B228F5" w:rsidRPr="00506990">
              <w:rPr>
                <w:rFonts w:ascii="Times New Roman" w:hAnsi="Times New Roman" w:cs="Times New Roman"/>
                <w:noProof/>
                <w:webHidden/>
                <w:sz w:val="24"/>
                <w:szCs w:val="24"/>
              </w:rPr>
              <w:instrText xml:space="preserve"> PAGEREF _Toc20409097 \h </w:instrText>
            </w:r>
            <w:r w:rsidR="00B228F5" w:rsidRPr="0098446E">
              <w:rPr>
                <w:rFonts w:ascii="Times New Roman" w:hAnsi="Times New Roman" w:cs="Times New Roman"/>
                <w:noProof/>
                <w:webHidden/>
                <w:sz w:val="24"/>
                <w:szCs w:val="24"/>
              </w:rPr>
            </w:r>
            <w:r w:rsidR="00B228F5" w:rsidRPr="0098446E">
              <w:rPr>
                <w:rFonts w:ascii="Times New Roman" w:hAnsi="Times New Roman" w:cs="Times New Roman"/>
                <w:noProof/>
                <w:webHidden/>
                <w:sz w:val="24"/>
                <w:szCs w:val="24"/>
              </w:rPr>
              <w:fldChar w:fldCharType="separate"/>
            </w:r>
            <w:r w:rsidR="00D31E68">
              <w:rPr>
                <w:rFonts w:ascii="Times New Roman" w:hAnsi="Times New Roman" w:cs="Times New Roman"/>
                <w:noProof/>
                <w:webHidden/>
                <w:sz w:val="24"/>
                <w:szCs w:val="24"/>
              </w:rPr>
              <w:t>89</w:t>
            </w:r>
            <w:r w:rsidR="00B228F5" w:rsidRPr="0098446E">
              <w:rPr>
                <w:rFonts w:ascii="Times New Roman" w:hAnsi="Times New Roman" w:cs="Times New Roman"/>
                <w:noProof/>
                <w:webHidden/>
                <w:sz w:val="24"/>
                <w:szCs w:val="24"/>
              </w:rPr>
              <w:fldChar w:fldCharType="end"/>
            </w:r>
          </w:hyperlink>
        </w:p>
        <w:p w14:paraId="4389D67A" w14:textId="5980151F" w:rsidR="00B228F5" w:rsidRPr="00506990" w:rsidRDefault="00B228F5">
          <w:pPr>
            <w:rPr>
              <w:rFonts w:ascii="Times New Roman" w:hAnsi="Times New Roman" w:cs="Times New Roman"/>
              <w:sz w:val="24"/>
              <w:szCs w:val="24"/>
            </w:rPr>
          </w:pPr>
          <w:r w:rsidRPr="00463985">
            <w:rPr>
              <w:rFonts w:ascii="Times New Roman" w:hAnsi="Times New Roman" w:cs="Times New Roman"/>
              <w:b/>
              <w:bCs/>
              <w:sz w:val="24"/>
              <w:szCs w:val="24"/>
              <w:lang w:val="es-ES"/>
            </w:rPr>
            <w:fldChar w:fldCharType="end"/>
          </w:r>
        </w:p>
      </w:sdtContent>
    </w:sdt>
    <w:p w14:paraId="31907D7A" w14:textId="77777777" w:rsidR="006B6B5E" w:rsidRPr="00506990" w:rsidRDefault="006B6B5E">
      <w:pPr>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br w:type="page"/>
      </w:r>
    </w:p>
    <w:p w14:paraId="0EF1D695" w14:textId="159390F6" w:rsidR="000D2637" w:rsidRPr="00506990" w:rsidRDefault="007C062B" w:rsidP="00B228F5">
      <w:pPr>
        <w:pStyle w:val="Ttulo1"/>
        <w:jc w:val="center"/>
        <w:rPr>
          <w:rFonts w:ascii="Times New Roman" w:hAnsi="Times New Roman"/>
          <w:sz w:val="22"/>
          <w:szCs w:val="22"/>
        </w:rPr>
      </w:pPr>
      <w:bookmarkStart w:id="37" w:name="_Toc521424857"/>
      <w:bookmarkStart w:id="38" w:name="_Toc20409069"/>
      <w:r w:rsidRPr="00506990">
        <w:rPr>
          <w:rFonts w:ascii="Times New Roman" w:hAnsi="Times New Roman"/>
          <w:sz w:val="22"/>
          <w:szCs w:val="22"/>
        </w:rPr>
        <w:t xml:space="preserve">I.- </w:t>
      </w:r>
      <w:r w:rsidR="000D2637" w:rsidRPr="00506990">
        <w:rPr>
          <w:rFonts w:ascii="Times New Roman" w:hAnsi="Times New Roman"/>
          <w:sz w:val="22"/>
          <w:szCs w:val="22"/>
        </w:rPr>
        <w:t>ADVERTENCIAS</w:t>
      </w:r>
      <w:bookmarkEnd w:id="37"/>
      <w:bookmarkEnd w:id="38"/>
    </w:p>
    <w:p w14:paraId="530FE77D" w14:textId="77777777"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14:paraId="7895BCEB" w14:textId="3A37214E"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QUE SE EMITIRÁN BAJO EL FIDEICOMISO -DE CONFORMIDAD CON LO PREVISTO EN EL SUPLEMENTO DE PROSPECTO- SERÁN OFRECIDOS POR OFERTA PÚBLICA A POTENCIALES INVERSORES SOLO EN LA REPÚBLICA ARGENTINA MEDIANTE LA ENTREGA Y/O PUESTA A DISPOSICIÓN DEL PRESENTE SUPLEMENTO DE PROSPECTO Y DEL PROSPECTO DEL PROGRAMA.</w:t>
      </w:r>
    </w:p>
    <w:p w14:paraId="237D6F92" w14:textId="77777777"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p>
    <w:p w14:paraId="1E2DF29B" w14:textId="7A875710" w:rsidR="0050339C" w:rsidRPr="00506990" w:rsidRDefault="0050339C"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VALORES </w:t>
      </w:r>
      <w:r w:rsidR="00D80121"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FIDUCIARI</w:t>
      </w:r>
      <w:r w:rsidR="00D80121"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p>
    <w:p w14:paraId="63C0F17C"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7BFCFF54" w14:textId="5C5AFB48"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INFORMACIÓN RELATIVA A</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Y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DEL AGENTE RECAUDADOR CONTENIDA EN EL PRESENTE SUPLEMENTO DE PROSPECTO HA SIDO PROPORCIONADA POR EL</w:t>
      </w:r>
      <w:r w:rsidR="006E388D" w:rsidRPr="00506990">
        <w:rPr>
          <w:rFonts w:ascii="Times New Roman" w:hAnsi="Times New Roman" w:cs="Times New Roman"/>
          <w:b/>
          <w:bCs/>
          <w:iCs/>
          <w:color w:val="0D0D0D" w:themeColor="text1" w:themeTint="F2"/>
          <w:sz w:val="22"/>
          <w:szCs w:val="22"/>
        </w:rPr>
        <w:t>LOS</w:t>
      </w:r>
      <w:r w:rsidRPr="00506990">
        <w:rPr>
          <w:rFonts w:ascii="Times New Roman" w:hAnsi="Times New Roman" w:cs="Times New Roman"/>
          <w:b/>
          <w:bCs/>
          <w:iCs/>
          <w:color w:val="0D0D0D" w:themeColor="text1" w:themeTint="F2"/>
          <w:sz w:val="22"/>
          <w:szCs w:val="22"/>
        </w:rPr>
        <w:t xml:space="preserve"> U OBTENIDA DE FUENTES DE CONOCIMIENTO PÚBLICO, SEGÚN CORRESPONDA. ES PUESTA A DISPOSICIÓN DE LOS EVENTUALES INVERSORES SOLAMENTE PARA SU USO EN RELACIÓN CON EL ANÁLISIS DE LA COMPRA DE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33DC3F30"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2370F014"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14:paraId="3EB6E85D"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9FCFB00" w14:textId="63010E93"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TODO EVENTUAL INVERSOR QUE CONTEMPLE LA ADQUISICIÓN DE LOS VALORES </w:t>
      </w:r>
      <w:r w:rsidR="00F12E1B" w:rsidRPr="00506990">
        <w:rPr>
          <w:rFonts w:ascii="Times New Roman" w:hAnsi="Times New Roman" w:cs="Times New Roman"/>
          <w:b/>
          <w:bCs/>
          <w:iCs/>
          <w:color w:val="0D0D0D" w:themeColor="text1" w:themeTint="F2"/>
          <w:sz w:val="22"/>
          <w:szCs w:val="22"/>
        </w:rPr>
        <w:t>FIDUCIARI</w:t>
      </w:r>
      <w:r w:rsidR="007F446E"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DEBERÁ REALIZAR </w:t>
      </w:r>
      <w:r w:rsidR="007F446E" w:rsidRPr="00506990">
        <w:rPr>
          <w:rFonts w:ascii="Times New Roman" w:hAnsi="Times New Roman" w:cs="Times New Roman"/>
          <w:b/>
          <w:bCs/>
          <w:iCs/>
          <w:color w:val="0D0D0D" w:themeColor="text1" w:themeTint="F2"/>
          <w:sz w:val="22"/>
          <w:szCs w:val="22"/>
        </w:rPr>
        <w:t>UNA</w:t>
      </w:r>
      <w:r w:rsidRPr="00506990">
        <w:rPr>
          <w:rFonts w:ascii="Times New Roman" w:hAnsi="Times New Roman" w:cs="Times New Roman"/>
          <w:b/>
          <w:bCs/>
          <w:iCs/>
          <w:color w:val="0D0D0D" w:themeColor="text1" w:themeTint="F2"/>
          <w:sz w:val="22"/>
          <w:szCs w:val="22"/>
        </w:rPr>
        <w:t xml:space="preserve"> EVALUACIÓN SOBRE </w:t>
      </w:r>
      <w:r w:rsidR="007F446E" w:rsidRPr="00506990">
        <w:rPr>
          <w:rFonts w:ascii="Times New Roman" w:hAnsi="Times New Roman" w:cs="Times New Roman"/>
          <w:b/>
          <w:bCs/>
          <w:iCs/>
          <w:color w:val="0D0D0D" w:themeColor="text1" w:themeTint="F2"/>
          <w:sz w:val="22"/>
          <w:szCs w:val="22"/>
        </w:rPr>
        <w:t>LA ESTRUCTURA FIDUCIARIA,  SUS TÉRMINOS Y CONDICIONES Y LOS RIESGOS INHERENTES A LA DECISIÓN DE INVERSIÓN.</w:t>
      </w:r>
    </w:p>
    <w:p w14:paraId="4935DFDA"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2D99885" w14:textId="7789C4BF"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LA ENTREGA DEL PROSPECTO Y DEL SUPLEMENTO DE PROSPECTO NO DEBERÁ INTERPRETARSE COMO UNA RECOMENDACIÓN DEL FIDUCIARIO, NI DE</w:t>
      </w:r>
      <w:r w:rsidR="003C5928"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PARA COMPRAR LOS VALORES </w:t>
      </w:r>
      <w:r w:rsidR="006E388D" w:rsidRPr="00506990">
        <w:rPr>
          <w:rFonts w:ascii="Times New Roman" w:hAnsi="Times New Roman" w:cs="Times New Roman"/>
          <w:b/>
          <w:bCs/>
          <w:iCs/>
          <w:color w:val="0D0D0D" w:themeColor="text1" w:themeTint="F2"/>
          <w:sz w:val="22"/>
          <w:szCs w:val="22"/>
        </w:rPr>
        <w:t xml:space="preserve">DE DEUDA </w:t>
      </w:r>
      <w:r w:rsidR="00F12E1B" w:rsidRPr="00506990">
        <w:rPr>
          <w:rFonts w:ascii="Times New Roman" w:hAnsi="Times New Roman" w:cs="Times New Roman"/>
          <w:b/>
          <w:bCs/>
          <w:iCs/>
          <w:color w:val="0D0D0D" w:themeColor="text1" w:themeTint="F2"/>
          <w:sz w:val="22"/>
          <w:szCs w:val="22"/>
        </w:rPr>
        <w:t>FIDUCIARI</w:t>
      </w:r>
      <w:r w:rsidR="006E388D"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w:t>
      </w:r>
    </w:p>
    <w:p w14:paraId="60BCF67D"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4C4900E3" w14:textId="3E81C812"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 CONSIDERARÁ QUE CADA INVERSOR ADQUIRENTE DE VALORES </w:t>
      </w:r>
      <w:r w:rsidR="006E388D" w:rsidRPr="00506990">
        <w:rPr>
          <w:rFonts w:ascii="Times New Roman" w:hAnsi="Times New Roman" w:cs="Times New Roman"/>
          <w:b/>
          <w:bCs/>
          <w:iCs/>
          <w:color w:val="0D0D0D" w:themeColor="text1" w:themeTint="F2"/>
          <w:sz w:val="22"/>
          <w:szCs w:val="22"/>
        </w:rPr>
        <w:t xml:space="preserve">DE DEUDA </w:t>
      </w:r>
      <w:r w:rsidRPr="00506990">
        <w:rPr>
          <w:rFonts w:ascii="Times New Roman" w:hAnsi="Times New Roman" w:cs="Times New Roman"/>
          <w:b/>
          <w:bCs/>
          <w:iCs/>
          <w:color w:val="0D0D0D" w:themeColor="text1" w:themeTint="F2"/>
          <w:sz w:val="22"/>
          <w:szCs w:val="22"/>
        </w:rPr>
        <w:t>FIDUCIAR</w:t>
      </w:r>
      <w:r w:rsidR="006E388D" w:rsidRPr="00506990">
        <w:rPr>
          <w:rFonts w:ascii="Times New Roman" w:hAnsi="Times New Roman" w:cs="Times New Roman"/>
          <w:b/>
          <w:bCs/>
          <w:iCs/>
          <w:color w:val="0D0D0D" w:themeColor="text1" w:themeTint="F2"/>
          <w:sz w:val="22"/>
          <w:szCs w:val="22"/>
        </w:rPr>
        <w:t>IA</w:t>
      </w:r>
      <w:r w:rsidRPr="00506990">
        <w:rPr>
          <w:rFonts w:ascii="Times New Roman" w:hAnsi="Times New Roman" w:cs="Times New Roman"/>
          <w:b/>
          <w:bCs/>
          <w:iCs/>
          <w:color w:val="0D0D0D" w:themeColor="text1" w:themeTint="F2"/>
          <w:sz w:val="22"/>
          <w:szCs w:val="22"/>
        </w:rPr>
        <w:t>, POR EL SOLO HECHO DE HABER REALIZADO TAL ADQUISICIÓN, HA RECONOCIDO QUE NI EL FIDUCIARIO, NI L</w:t>
      </w:r>
      <w:r w:rsidR="003C5928"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FIDEICOMITIDOS.</w:t>
      </w:r>
    </w:p>
    <w:p w14:paraId="27B3D863"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3981123A" w14:textId="5856FE98"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Fideicomitido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El pago de los Valores se realizará exclusivamente con el Patrimonio Fideicomitido. En caso de incumplimiento total o parcial de los deudores de los Activos que constituyan el Patrimonio Fideicomitido, los BENEFICIARIOS no tendrán derecho o acción alguna contra el Fiduciario Financiero 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SALVO LA GARANTÍA DE EVICCIÓN QUE ÉSTE ÚLTIMO PRESTA EN RELACIÓN A LOS ACTIVOS FIDEICOMITIDOS.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14:paraId="27A500C1"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14:paraId="001AC31C"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14:paraId="1DBBB83B" w14:textId="77777777"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14:paraId="4597659C"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LOS INVERSORES DEBERÁN TENER EN CUENTA LAS CONSIDERACIONES DE RIESGO PARA LA INVERSIÓN QUE SE ENCUENTRAN DETALLADAS EN EL SUPLEMENTO DE PROSPECTO. </w:t>
      </w:r>
    </w:p>
    <w:p w14:paraId="5C21E00C" w14:textId="77777777" w:rsidR="0050339C" w:rsidRPr="00506990" w:rsidRDefault="0050339C" w:rsidP="0050339C">
      <w:pPr>
        <w:pStyle w:val="prrafodeartculo"/>
        <w:rPr>
          <w:rFonts w:ascii="Times New Roman" w:hAnsi="Times New Roman"/>
          <w:i w:val="0"/>
          <w:color w:val="0D0D0D" w:themeColor="text1" w:themeTint="F2"/>
          <w:sz w:val="22"/>
          <w:szCs w:val="22"/>
        </w:rPr>
      </w:pPr>
    </w:p>
    <w:p w14:paraId="1A9D060D" w14:textId="77777777"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 xml:space="preserve">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14FDE476"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22A334C0" w14:textId="5A7D47D1"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 SIN PERJUICIO DE LO EXPUESTO TINSA SE OBLIGA A DEPOSITAR A CADA FIDEICOMISO LOS FONDOS QUE LE CORRESPONDEN DENTRO DE LOS TRES DÍAS HÁBILES DE SU PERCEPCIÓN, AUN CUANDO LOS AGENTE EXTERNOS DE RECAUDACIÓN TENGA TRANSFERENCIAS PENDIENTES. A TAL EFECTO LAS LIQUIDACIONES QUE SE ENVÍAN MENSUALMENTE A LOS DEUDORES CONTIENEN UN CÓDIGO DE BARRAS QUE PERMITE IDENTIFICAR QUE EL CRÉDITO PERTENECE AL FIDEICOMISO Y QUE SÓLO PUEDE PERCIBIRSE A TRAVÉS DE TINSA,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CREDITOS EN MORA OBLIGÁNDOSE A TRANSFERIR LOS FONDOS A LA CUENTA FIDUCIARIA DENTRO DEL DÍA HÁBIL POSTERIOR A SU PERCEPCIÓN. LAS COBRANZAS DE BIENES FIDEICOMITIDOS COMENZARAN A SER CANALIZADAS A TRAVÉS DE TINSA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14:paraId="6A2B6026"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1D147234" w14:textId="77777777" w:rsidR="0050339C" w:rsidRPr="00506990" w:rsidRDefault="0050339C" w:rsidP="0050339C">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ADMINISTRACION FEDERAL DE INGRESOS PUBLICOS (AFIP), DE ACUERDO CON EL RÉGIMEN QUE ESA ADMINISTRACIÓN ESTABLEZCA.</w:t>
      </w:r>
    </w:p>
    <w:p w14:paraId="346DEF56"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788383CA" w14:textId="0C14A6BB"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 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“EXPTE. N°2067- AÑO: 2.009- BAZAR AVENIDA S.A S/ CONCURSO PREVENTIVO”. EL ACUERDO CONCURSAL HA SIDO HOMOLOGADO MEDIANTE RESOLUCIÓN N° 549 DEL 26/08/2013, ENCONTRÁNDOSE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2024.</w:t>
      </w:r>
      <w:r w:rsidR="00813740" w:rsidRPr="00506990">
        <w:rPr>
          <w:rFonts w:ascii="Times New Roman" w:hAnsi="Times New Roman"/>
          <w:color w:val="0D0D0D" w:themeColor="text1" w:themeTint="F2"/>
          <w:sz w:val="22"/>
          <w:szCs w:val="22"/>
        </w:rPr>
        <w:t xml:space="preserve"> ASIMISMO, CON FECHA 29 DE DICIEMBRE DE 2009 CONSUMO </w:t>
      </w:r>
      <w:r w:rsidR="003E57D5" w:rsidRPr="00506990">
        <w:rPr>
          <w:rFonts w:ascii="Times New Roman" w:hAnsi="Times New Roman"/>
          <w:color w:val="0D0D0D" w:themeColor="text1" w:themeTint="F2"/>
          <w:sz w:val="22"/>
          <w:szCs w:val="22"/>
        </w:rPr>
        <w:t xml:space="preserve">S.A. </w:t>
      </w:r>
      <w:r w:rsidR="00813740" w:rsidRPr="00506990">
        <w:rPr>
          <w:rFonts w:ascii="Times New Roman" w:hAnsi="Times New Roman"/>
          <w:color w:val="0D0D0D" w:themeColor="text1" w:themeTint="F2"/>
          <w:sz w:val="22"/>
          <w:szCs w:val="22"/>
        </w:rPr>
        <w:t xml:space="preserve">SOLICITÓ SU CONCURSO PREVENTIVO ANTE EL </w:t>
      </w:r>
      <w:r w:rsidR="00813740" w:rsidRPr="00506990">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“EXPTE. N°2068- AÑO: 2.009- CONS</w:t>
      </w:r>
      <w:r w:rsidR="003E57D5" w:rsidRPr="00506990">
        <w:rPr>
          <w:rFonts w:ascii="Times New Roman" w:hAnsi="Times New Roman"/>
          <w:color w:val="0D0D0D" w:themeColor="text1" w:themeTint="F2"/>
          <w:sz w:val="22"/>
          <w:szCs w:val="22"/>
          <w:lang w:val="es-AR"/>
        </w:rPr>
        <w:t>U</w:t>
      </w:r>
      <w:r w:rsidR="00813740" w:rsidRPr="00506990">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506990">
        <w:rPr>
          <w:rFonts w:ascii="Times New Roman" w:hAnsi="Times New Roman"/>
          <w:color w:val="0D0D0D" w:themeColor="text1" w:themeTint="F2"/>
          <w:sz w:val="22"/>
          <w:szCs w:val="22"/>
        </w:rPr>
        <w:t xml:space="preserve"> ENCONTRÁNDOSE CONSUMO</w:t>
      </w:r>
      <w:r w:rsidR="003E57D5" w:rsidRPr="00506990">
        <w:rPr>
          <w:rFonts w:ascii="Times New Roman" w:hAnsi="Times New Roman"/>
          <w:color w:val="0D0D0D" w:themeColor="text1" w:themeTint="F2"/>
          <w:sz w:val="22"/>
          <w:szCs w:val="22"/>
        </w:rPr>
        <w:t xml:space="preserve"> S.A.</w:t>
      </w:r>
      <w:r w:rsidR="00813740" w:rsidRPr="00506990">
        <w:rPr>
          <w:rFonts w:ascii="Times New Roman" w:hAnsi="Times New Roman"/>
          <w:color w:val="0D0D0D" w:themeColor="text1" w:themeTint="F2"/>
          <w:sz w:val="22"/>
          <w:szCs w:val="22"/>
        </w:rPr>
        <w:t xml:space="preserve"> CUMPLIENDO PERFECTAMENTE LOS COMPROMISOS ASUMIDOS. EL VENCIMIENTO FINAL DEL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14:paraId="6863DC82"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5A0F587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TENER PRESENTE LO DISPUESTO EN EL INFORME DE CALIFICACIÓN DE RIESGO EL CUAL DEBE SER LEIDO EN FORMA CONJUNTA CON EL SUPLEMENTO DE PROSPECTO. EN PARTICULAR LO REFERIDO AL APARTADO FACTORES RELEVANTES DE LA CALIFICACION.</w:t>
      </w:r>
    </w:p>
    <w:p w14:paraId="00162459" w14:textId="77777777"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14:paraId="762FC8F2" w14:textId="50FD6B6D" w:rsidR="00991A47" w:rsidRPr="00506990" w:rsidRDefault="00E65461" w:rsidP="000579E7">
      <w:pPr>
        <w:pStyle w:val="Textoindependiente"/>
        <w:keepNext w:val="0"/>
        <w:widowControl w:val="0"/>
        <w:suppressAutoHyphens/>
        <w:jc w:val="both"/>
        <w:rPr>
          <w:rFonts w:ascii="Times New Roman" w:hAnsi="Times New Roman"/>
          <w:b w:val="0"/>
          <w:bCs w:val="0"/>
          <w:u w:val="single"/>
          <w:lang w:val="es-AR"/>
        </w:rPr>
      </w:pPr>
      <w:r w:rsidRPr="00506990">
        <w:rPr>
          <w:rFonts w:ascii="Times New Roman" w:hAnsi="Times New Roman"/>
          <w:color w:val="0D0D0D" w:themeColor="text1" w:themeTint="F2"/>
          <w:sz w:val="22"/>
          <w:szCs w:val="22"/>
        </w:rPr>
        <w:t xml:space="preserve">LOS COMPRADORES POTENCIALES DE LOS VALORES </w:t>
      </w:r>
      <w:r w:rsidRPr="00506990">
        <w:rPr>
          <w:rFonts w:ascii="Times New Roman" w:hAnsi="Times New Roman"/>
          <w:iCs/>
          <w:color w:val="0D0D0D" w:themeColor="text1" w:themeTint="F2"/>
          <w:sz w:val="22"/>
          <w:szCs w:val="22"/>
          <w:lang w:val="es-AR"/>
        </w:rPr>
        <w:t>DE DEUDA FIDUCIARIA</w:t>
      </w:r>
      <w:r w:rsidRPr="00506990">
        <w:rPr>
          <w:rFonts w:ascii="Times New Roman" w:hAnsi="Times New Roman"/>
          <w:color w:val="0D0D0D" w:themeColor="text1" w:themeTint="F2"/>
          <w:sz w:val="22"/>
          <w:szCs w:val="22"/>
        </w:rPr>
        <w:t xml:space="preserve"> OFRECIDOS POR LA PRESENTE DEBERÁN CONSIDERAR CUIDADOSAMENTE TODA LA INFORMACIÓN DE ESTE SUPLEMENTO DE PROSPECTO, PRESTANDO ESPECIAL ATENCIÓN A LA CONSIDERACIÓN ESPECIAL DE RIESGO PARA LA INVERSIÓN CONTENIDA EN EL PUNTO Ñ DE LAS CONSIDERACIONES DE RIESGO</w:t>
      </w:r>
      <w:r w:rsidR="00991A47" w:rsidRPr="00506990">
        <w:rPr>
          <w:rFonts w:ascii="Times New Roman" w:hAnsi="Times New Roman"/>
          <w:lang w:val="es-AR"/>
        </w:rPr>
        <w:br w:type="page"/>
      </w:r>
    </w:p>
    <w:p w14:paraId="790FA601" w14:textId="29E88E13" w:rsidR="00337DE5" w:rsidRPr="00506990" w:rsidRDefault="007C062B" w:rsidP="00B228F5">
      <w:pPr>
        <w:pStyle w:val="Ttulo1"/>
        <w:jc w:val="center"/>
        <w:rPr>
          <w:rFonts w:ascii="Times New Roman" w:hAnsi="Times New Roman"/>
          <w:sz w:val="22"/>
          <w:szCs w:val="22"/>
        </w:rPr>
      </w:pPr>
      <w:bookmarkStart w:id="39" w:name="_Toc521424858"/>
      <w:bookmarkStart w:id="40" w:name="_Toc20409070"/>
      <w:r w:rsidRPr="00506990">
        <w:rPr>
          <w:rFonts w:ascii="Times New Roman" w:hAnsi="Times New Roman"/>
          <w:sz w:val="22"/>
          <w:szCs w:val="22"/>
        </w:rPr>
        <w:t>I</w:t>
      </w:r>
      <w:r w:rsidR="00337DE5" w:rsidRPr="00506990">
        <w:rPr>
          <w:rFonts w:ascii="Times New Roman" w:hAnsi="Times New Roman"/>
          <w:sz w:val="22"/>
          <w:szCs w:val="22"/>
        </w:rPr>
        <w:t>I.- CONSIDERACIONES DE RIESGO PARA LA INVERSIÓN</w:t>
      </w:r>
      <w:bookmarkEnd w:id="39"/>
      <w:bookmarkEnd w:id="40"/>
    </w:p>
    <w:p w14:paraId="16FAF002" w14:textId="77777777" w:rsidR="00991A47" w:rsidRPr="00506990" w:rsidRDefault="00991A47" w:rsidP="00485551">
      <w:pPr>
        <w:rPr>
          <w:rFonts w:ascii="Times New Roman" w:hAnsi="Times New Roman" w:cs="Times New Roman"/>
          <w:lang w:val="es-AR"/>
        </w:rPr>
      </w:pPr>
    </w:p>
    <w:p w14:paraId="68607BD5" w14:textId="6154D8E5"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w:t>
      </w:r>
    </w:p>
    <w:p w14:paraId="587B83CD"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157C3F1E" w14:textId="0F4D0FE1"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506990">
        <w:rPr>
          <w:rFonts w:ascii="Times New Roman" w:hAnsi="Times New Roman" w:cs="Times New Roman"/>
          <w:b/>
          <w:bCs/>
          <w:iCs/>
          <w:color w:val="0D0D0D" w:themeColor="text1" w:themeTint="F2"/>
          <w:sz w:val="22"/>
          <w:szCs w:val="22"/>
          <w:lang w:val="es-AR"/>
        </w:rPr>
        <w:t>Fiduciari</w:t>
      </w:r>
      <w:r w:rsidR="006C10F6" w:rsidRPr="00506990">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14:paraId="1951AFF8" w14:textId="7933A0F5"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fideicomitidos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14:paraId="1B8B6ADF" w14:textId="77777777"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14:paraId="4E8FB52B" w14:textId="77777777"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14:paraId="7A260963" w14:textId="5CA86498"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Valores </w:t>
      </w:r>
      <w:r w:rsidR="006C10F6" w:rsidRPr="00506990">
        <w:rPr>
          <w:rFonts w:ascii="Times New Roman" w:hAnsi="Times New Roman"/>
          <w:b w:val="0"/>
          <w:bCs w:val="0"/>
          <w:iCs/>
          <w:color w:val="0D0D0D" w:themeColor="text1" w:themeTint="F2"/>
          <w:sz w:val="22"/>
          <w:szCs w:val="22"/>
          <w:lang w:val="es-AR"/>
        </w:rPr>
        <w:t xml:space="preserve">de Deuda </w:t>
      </w:r>
      <w:r w:rsidR="00F12E1B" w:rsidRPr="00506990">
        <w:rPr>
          <w:rFonts w:ascii="Times New Roman" w:hAnsi="Times New Roman"/>
          <w:b w:val="0"/>
          <w:bCs w:val="0"/>
          <w:iCs/>
          <w:color w:val="0D0D0D" w:themeColor="text1" w:themeTint="F2"/>
          <w:sz w:val="22"/>
          <w:szCs w:val="22"/>
          <w:lang w:val="es-AR"/>
        </w:rPr>
        <w:t>Fiduciari</w:t>
      </w:r>
      <w:r w:rsidR="006C10F6"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14:paraId="204301D8" w14:textId="4327F2F6"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Cobranza de los Créditos, y consecuentemente el pago a los inversores de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463985">
        <w:rPr>
          <w:rFonts w:ascii="Times New Roman" w:hAnsi="Times New Roman" w:cs="Times New Roman"/>
          <w:bCs/>
          <w:iCs/>
          <w:color w:val="0D0D0D" w:themeColor="text1" w:themeTint="F2"/>
          <w:sz w:val="22"/>
          <w:szCs w:val="22"/>
          <w:lang w:val="es-AR"/>
        </w:rPr>
        <w:t>Fiduciari</w:t>
      </w:r>
      <w:r w:rsidR="006C10F6"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podría verse perjudicada.</w:t>
      </w:r>
    </w:p>
    <w:p w14:paraId="38B3B176" w14:textId="40A15583"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14:paraId="554630C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0CB2E26"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14:paraId="0DB61D15" w14:textId="6EA095BD"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precancelarlos. La cancelación o precancelación que exceda los niveles esperables puede afectar el rendimiento esperado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14:paraId="1E8667BA"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14:paraId="25461949"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D44C506"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Mejoramiento del Crédito de los Valores de Deuda Fiduciaria</w:t>
      </w:r>
    </w:p>
    <w:p w14:paraId="21C4738B" w14:textId="306CF74B" w:rsidR="00337DE5" w:rsidRPr="00506990" w:rsidRDefault="006F15A1" w:rsidP="00337DE5">
      <w:pPr>
        <w:tabs>
          <w:tab w:val="left" w:pos="6495"/>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 bien </w:t>
      </w:r>
      <w:r w:rsidR="007122CF" w:rsidRPr="00506990">
        <w:rPr>
          <w:rFonts w:ascii="Times New Roman" w:hAnsi="Times New Roman" w:cs="Times New Roman"/>
          <w:iCs/>
          <w:color w:val="0D0D0D" w:themeColor="text1" w:themeTint="F2"/>
          <w:sz w:val="22"/>
          <w:szCs w:val="22"/>
          <w:lang w:val="es-AR"/>
        </w:rPr>
        <w:t>existe un mejoramiento del nivel de crédito de los Valores de Deuda Fiduciaria Clase A mediante la subordinación resultante de la emisión de los Valores de Deuda Fiduciaria Clase B</w:t>
      </w:r>
      <w:r w:rsidRPr="00506990">
        <w:rPr>
          <w:rFonts w:ascii="Times New Roman" w:hAnsi="Times New Roman" w:cs="Times New Roman"/>
          <w:iCs/>
          <w:color w:val="0D0D0D" w:themeColor="text1" w:themeTint="F2"/>
          <w:sz w:val="22"/>
          <w:szCs w:val="22"/>
          <w:lang w:val="es-AR"/>
        </w:rPr>
        <w:t>, no puede asegurarse que las pérdidas que ocurran bajo los Créditos no excedan el nivel de mejoramiento del crédito alcanzado mediante la subordinación. En el caso de que las pérdidas netas excedan el nivel de subordinación, los pagos a los Valores de Deuda Fiduciaria se verían perjudicados</w:t>
      </w:r>
    </w:p>
    <w:p w14:paraId="39D6FD85" w14:textId="77777777"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14:paraId="08915921" w14:textId="1C8F8817"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14:paraId="6FE69285" w14:textId="085A4CDA"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ha delegado la percepción de la Cobranza en TINSA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suplementario de Fideicomiso</w:t>
      </w:r>
      <w:r w:rsidR="00337DE5" w:rsidRPr="00506990">
        <w:rPr>
          <w:rFonts w:ascii="Times New Roman" w:hAnsi="Times New Roman"/>
          <w:b w:val="0"/>
          <w:iCs/>
          <w:color w:val="0D0D0D" w:themeColor="text1" w:themeTint="F2"/>
          <w:sz w:val="22"/>
          <w:szCs w:val="22"/>
          <w:lang w:val="es-AR"/>
        </w:rPr>
        <w:t xml:space="preserve">. </w:t>
      </w:r>
    </w:p>
    <w:p w14:paraId="4B14F69B" w14:textId="3F34DD25"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14:paraId="603E064B" w14:textId="77777777" w:rsidR="008C03B1" w:rsidRPr="00506990" w:rsidRDefault="008C03B1" w:rsidP="0068122C">
      <w:pPr>
        <w:pStyle w:val="Textoindependiente"/>
        <w:jc w:val="both"/>
        <w:rPr>
          <w:rFonts w:ascii="Times New Roman" w:hAnsi="Times New Roman"/>
          <w:b w:val="0"/>
          <w:iCs/>
          <w:color w:val="0D0D0D" w:themeColor="text1" w:themeTint="F2"/>
          <w:sz w:val="22"/>
          <w:szCs w:val="22"/>
        </w:rPr>
      </w:pPr>
    </w:p>
    <w:p w14:paraId="48D5C1FA" w14:textId="3B0E80E5"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14:paraId="1A460496" w14:textId="557438BB"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Bazar Avenida S.A. y Consumo S.A. han celebrado con TINSA S.A. (Cobro Express) un convenio de recaudación de fecha 27 de Abril de 2016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fideicomitidos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TINSA lo realizará a través de sus propios agentes distribuidos en todo el país y también por medio de Agentes Externos de Recaudación que contrate. TINSA asume la responsabilidad por los Agentes Externos de Recaudación de manera tal que si dichos Agentes no le rindieran lo recaudado en tiempo y forma, TINSA se obliga a transferir los fondos correspondientes a los Créditos Fideicomitidos. </w:t>
      </w:r>
    </w:p>
    <w:p w14:paraId="0B2AAAE3" w14:textId="3A95577F"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TINSA tal circunstancia, informando además los datos del Fiduciario, datos de la Cuenta Fiduciaria y demás datos necesarios para que TINSA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TINSA S.A. se compromete a transferir a la Cuenta Fiduciaria la cobranza correspondiente a los Créditos fideicomitidos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TINSA S.A. </w:t>
      </w:r>
    </w:p>
    <w:p w14:paraId="7EEA895F" w14:textId="0E4A6959"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14:paraId="4939BF60" w14:textId="57B83660"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Fiduciantes y el Agente Recaudador son empresas vinculadas, siendo los accionistas de Tinsa S.A. a su vez accionistas de Bazar Avenida S.A. y Consumo S.A. y ambas compañías comparten tres directores titulares y un director suplente.</w:t>
      </w:r>
    </w:p>
    <w:p w14:paraId="3DE9ADEC" w14:textId="77777777"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14:paraId="476F9214" w14:textId="7DD79248"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14:paraId="78375E59" w14:textId="79C560A9"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14:paraId="537A3DDD" w14:textId="1175F31A" w:rsidR="00CF0DDF"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Con fecha 29 de diciembre de 2009 fue iniciado ante el Juzgado de Primera Instancia en lo Civil, Comercial y del Trabajo del Distrito Judicial Nro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Con fecha 13 de mayo de 2013 se ha dictado resolución homologatoria Nro. 277 de la propuesta al acuerdo preventivo y la misma ha sido consentida por las mayorías legales. Con fecha 26 de agosto de 2013 se ha dictado la Resolución Nro 549 que según su propio texto es una medida judicial integradora de la resolución previa en lo relativo al cumplimiento la cual dispuso que el plazo para el cumplimiento de las obligaciones asumidas en el acuerdo comenzaran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Se informa que con fecha </w:t>
      </w:r>
      <w:r w:rsidR="006F37BD" w:rsidRPr="00506990">
        <w:rPr>
          <w:rFonts w:ascii="Times New Roman" w:hAnsi="Times New Roman" w:cs="Times New Roman"/>
          <w:iCs/>
          <w:color w:val="0D0D0D" w:themeColor="text1" w:themeTint="F2"/>
          <w:sz w:val="22"/>
          <w:szCs w:val="22"/>
        </w:rPr>
        <w:t>2 de agosto</w:t>
      </w:r>
      <w:r w:rsidR="00FE79E1"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de </w:t>
      </w:r>
      <w:r w:rsidR="00CD5708" w:rsidRPr="00506990">
        <w:rPr>
          <w:rFonts w:ascii="Times New Roman" w:hAnsi="Times New Roman" w:cs="Times New Roman"/>
          <w:iCs/>
          <w:color w:val="0D0D0D" w:themeColor="text1" w:themeTint="F2"/>
          <w:sz w:val="22"/>
          <w:szCs w:val="22"/>
        </w:rPr>
        <w:t>201</w:t>
      </w:r>
      <w:r w:rsidR="00B62265" w:rsidRPr="00506990">
        <w:rPr>
          <w:rFonts w:ascii="Times New Roman" w:hAnsi="Times New Roman" w:cs="Times New Roman"/>
          <w:iCs/>
          <w:color w:val="0D0D0D" w:themeColor="text1" w:themeTint="F2"/>
          <w:sz w:val="22"/>
          <w:szCs w:val="22"/>
        </w:rPr>
        <w:t>9</w:t>
      </w:r>
      <w:r w:rsidR="00CD5708"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fue notificado 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y hasta la fecha no se ha recibido notificación 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la fecha no existen en las actuaciones judiciales presentación alguna por parte de los acreedores concursales</w:t>
      </w:r>
      <w:r w:rsidR="003C58C9" w:rsidRPr="00506990">
        <w:rPr>
          <w:rFonts w:ascii="Times New Roman" w:hAnsi="Times New Roman" w:cs="Times New Roman"/>
          <w:iCs/>
          <w:color w:val="0D0D0D" w:themeColor="text1" w:themeTint="F2"/>
          <w:sz w:val="22"/>
          <w:szCs w:val="22"/>
        </w:rPr>
        <w:t xml:space="preserve"> verificados</w:t>
      </w:r>
      <w:r w:rsidRPr="00506990">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506990">
        <w:rPr>
          <w:rFonts w:ascii="Times New Roman" w:hAnsi="Times New Roman" w:cs="Times New Roman"/>
          <w:iCs/>
          <w:color w:val="0D0D0D" w:themeColor="text1" w:themeTint="F2"/>
          <w:sz w:val="22"/>
          <w:szCs w:val="22"/>
        </w:rPr>
        <w:t xml:space="preserve"> </w:t>
      </w:r>
      <w:r w:rsidR="00CF0DDF" w:rsidRPr="00506990">
        <w:rPr>
          <w:rFonts w:ascii="Times New Roman" w:hAnsi="Times New Roman" w:cs="Times New Roman"/>
          <w:iCs/>
          <w:color w:val="0D0D0D" w:themeColor="text1" w:themeTint="F2"/>
          <w:sz w:val="22"/>
          <w:szCs w:val="22"/>
        </w:rPr>
        <w:t xml:space="preserve">Bazar Avenida S.A </w:t>
      </w:r>
      <w:r w:rsidR="00CF0DDF" w:rsidRPr="000579E7">
        <w:rPr>
          <w:rFonts w:ascii="Times New Roman" w:hAnsi="Times New Roman" w:cs="Times New Roman"/>
          <w:iCs/>
          <w:color w:val="0D0D0D" w:themeColor="text1" w:themeTint="F2"/>
          <w:sz w:val="22"/>
          <w:szCs w:val="22"/>
        </w:rPr>
        <w:t xml:space="preserve">demuestra una ajustada capacidad financiera debido al ingreso en concurso preventivo desde el año 2013. Al </w:t>
      </w:r>
      <w:r w:rsidR="006F37BD" w:rsidRPr="000579E7">
        <w:rPr>
          <w:rFonts w:ascii="Times New Roman" w:hAnsi="Times New Roman" w:cs="Times New Roman"/>
          <w:iCs/>
          <w:color w:val="0D0D0D" w:themeColor="text1" w:themeTint="F2"/>
          <w:sz w:val="22"/>
          <w:szCs w:val="22"/>
        </w:rPr>
        <w:t>3</w:t>
      </w:r>
      <w:r w:rsidR="00B05E74">
        <w:rPr>
          <w:rFonts w:ascii="Times New Roman" w:hAnsi="Times New Roman" w:cs="Times New Roman"/>
          <w:iCs/>
          <w:color w:val="0D0D0D" w:themeColor="text1" w:themeTint="F2"/>
          <w:sz w:val="22"/>
          <w:szCs w:val="22"/>
        </w:rPr>
        <w:t>0</w:t>
      </w:r>
      <w:r w:rsidR="004241F8" w:rsidRPr="000579E7">
        <w:rPr>
          <w:rFonts w:ascii="Times New Roman" w:hAnsi="Times New Roman" w:cs="Times New Roman"/>
          <w:iCs/>
          <w:color w:val="0D0D0D" w:themeColor="text1" w:themeTint="F2"/>
          <w:sz w:val="22"/>
          <w:szCs w:val="22"/>
        </w:rPr>
        <w:t>/</w:t>
      </w:r>
      <w:r w:rsidR="00F15FEA">
        <w:rPr>
          <w:rFonts w:ascii="Times New Roman" w:hAnsi="Times New Roman" w:cs="Times New Roman"/>
          <w:iCs/>
          <w:color w:val="0D0D0D" w:themeColor="text1" w:themeTint="F2"/>
          <w:sz w:val="22"/>
          <w:szCs w:val="22"/>
        </w:rPr>
        <w:t>1</w:t>
      </w:r>
      <w:r w:rsidR="00B05E74">
        <w:rPr>
          <w:rFonts w:ascii="Times New Roman" w:hAnsi="Times New Roman" w:cs="Times New Roman"/>
          <w:iCs/>
          <w:color w:val="0D0D0D" w:themeColor="text1" w:themeTint="F2"/>
          <w:sz w:val="22"/>
          <w:szCs w:val="22"/>
        </w:rPr>
        <w:t>1</w:t>
      </w:r>
      <w:r w:rsidR="004241F8" w:rsidRPr="000579E7">
        <w:rPr>
          <w:rFonts w:ascii="Times New Roman" w:hAnsi="Times New Roman" w:cs="Times New Roman"/>
          <w:iCs/>
          <w:color w:val="0D0D0D" w:themeColor="text1" w:themeTint="F2"/>
          <w:sz w:val="22"/>
          <w:szCs w:val="22"/>
        </w:rPr>
        <w:t>/20</w:t>
      </w:r>
      <w:r w:rsidR="00B62265" w:rsidRPr="000579E7">
        <w:rPr>
          <w:rFonts w:ascii="Times New Roman" w:hAnsi="Times New Roman" w:cs="Times New Roman"/>
          <w:iCs/>
          <w:color w:val="0D0D0D" w:themeColor="text1" w:themeTint="F2"/>
          <w:sz w:val="22"/>
          <w:szCs w:val="22"/>
        </w:rPr>
        <w:t>19</w:t>
      </w:r>
      <w:r w:rsidR="00CF0DDF" w:rsidRPr="000579E7">
        <w:rPr>
          <w:rFonts w:ascii="Times New Roman" w:hAnsi="Times New Roman" w:cs="Times New Roman"/>
          <w:iCs/>
          <w:color w:val="0D0D0D" w:themeColor="text1" w:themeTint="F2"/>
          <w:sz w:val="22"/>
          <w:szCs w:val="22"/>
        </w:rPr>
        <w:t xml:space="preserve">, cumplió con todos los pagos en tiempo y forma restando el </w:t>
      </w:r>
      <w:r w:rsidR="00F15FEA">
        <w:rPr>
          <w:rFonts w:ascii="Times New Roman" w:hAnsi="Times New Roman" w:cs="Times New Roman"/>
          <w:iCs/>
          <w:color w:val="0D0D0D" w:themeColor="text1" w:themeTint="F2"/>
          <w:sz w:val="22"/>
          <w:szCs w:val="22"/>
        </w:rPr>
        <w:t>3</w:t>
      </w:r>
      <w:r w:rsidR="00B05E74">
        <w:rPr>
          <w:rFonts w:ascii="Times New Roman" w:hAnsi="Times New Roman" w:cs="Times New Roman"/>
          <w:iCs/>
          <w:color w:val="0D0D0D" w:themeColor="text1" w:themeTint="F2"/>
          <w:sz w:val="22"/>
          <w:szCs w:val="22"/>
        </w:rPr>
        <w:t>8</w:t>
      </w:r>
      <w:r w:rsidR="00F15FEA">
        <w:rPr>
          <w:rFonts w:ascii="Times New Roman" w:hAnsi="Times New Roman" w:cs="Times New Roman"/>
          <w:iCs/>
          <w:color w:val="0D0D0D" w:themeColor="text1" w:themeTint="F2"/>
          <w:sz w:val="22"/>
          <w:szCs w:val="22"/>
        </w:rPr>
        <w:t>,</w:t>
      </w:r>
      <w:r w:rsidR="00B05E74">
        <w:rPr>
          <w:rFonts w:ascii="Times New Roman" w:hAnsi="Times New Roman" w:cs="Times New Roman"/>
          <w:iCs/>
          <w:color w:val="0D0D0D" w:themeColor="text1" w:themeTint="F2"/>
          <w:sz w:val="22"/>
          <w:szCs w:val="22"/>
        </w:rPr>
        <w:t>6</w:t>
      </w:r>
      <w:r w:rsidR="00CF0DDF" w:rsidRPr="000579E7">
        <w:rPr>
          <w:rFonts w:ascii="Times New Roman" w:hAnsi="Times New Roman" w:cs="Times New Roman"/>
          <w:iCs/>
          <w:color w:val="0D0D0D" w:themeColor="text1" w:themeTint="F2"/>
          <w:sz w:val="22"/>
          <w:szCs w:val="22"/>
        </w:rPr>
        <w:t xml:space="preserve">% del saldo en pesos y el </w:t>
      </w:r>
      <w:r w:rsidR="006F37BD" w:rsidRPr="000579E7">
        <w:rPr>
          <w:rFonts w:ascii="Times New Roman" w:hAnsi="Times New Roman" w:cs="Times New Roman"/>
          <w:iCs/>
          <w:color w:val="0D0D0D" w:themeColor="text1" w:themeTint="F2"/>
          <w:sz w:val="22"/>
          <w:szCs w:val="22"/>
        </w:rPr>
        <w:t>5</w:t>
      </w:r>
      <w:r w:rsidR="00B05E74">
        <w:rPr>
          <w:rFonts w:ascii="Times New Roman" w:hAnsi="Times New Roman" w:cs="Times New Roman"/>
          <w:iCs/>
          <w:color w:val="0D0D0D" w:themeColor="text1" w:themeTint="F2"/>
          <w:sz w:val="22"/>
          <w:szCs w:val="22"/>
        </w:rPr>
        <w:t>2</w:t>
      </w:r>
      <w:r w:rsidR="00F15FEA">
        <w:rPr>
          <w:rFonts w:ascii="Times New Roman" w:hAnsi="Times New Roman" w:cs="Times New Roman"/>
          <w:iCs/>
          <w:color w:val="0D0D0D" w:themeColor="text1" w:themeTint="F2"/>
          <w:sz w:val="22"/>
          <w:szCs w:val="22"/>
        </w:rPr>
        <w:t>,</w:t>
      </w:r>
      <w:r w:rsidR="00B05E74">
        <w:rPr>
          <w:rFonts w:ascii="Times New Roman" w:hAnsi="Times New Roman" w:cs="Times New Roman"/>
          <w:iCs/>
          <w:color w:val="0D0D0D" w:themeColor="text1" w:themeTint="F2"/>
          <w:sz w:val="22"/>
          <w:szCs w:val="22"/>
        </w:rPr>
        <w:t>6</w:t>
      </w:r>
      <w:r w:rsidR="00CF0DDF" w:rsidRPr="000579E7">
        <w:rPr>
          <w:rFonts w:ascii="Times New Roman" w:hAnsi="Times New Roman" w:cs="Times New Roman"/>
          <w:iCs/>
          <w:color w:val="0D0D0D" w:themeColor="text1" w:themeTint="F2"/>
          <w:sz w:val="22"/>
          <w:szCs w:val="22"/>
        </w:rPr>
        <w:t>% en dólares. El vencimiento final del saldo está previsto para 2024. La  sociedad calificadora de riesgos monitoreará su cumplimiento</w:t>
      </w:r>
      <w:r w:rsidR="00CF0DDF" w:rsidRPr="00506990">
        <w:rPr>
          <w:rFonts w:ascii="Times New Roman" w:hAnsi="Times New Roman" w:cs="Times New Roman"/>
          <w:iCs/>
          <w:color w:val="0D0D0D" w:themeColor="text1" w:themeTint="F2"/>
          <w:sz w:val="22"/>
          <w:szCs w:val="22"/>
        </w:rPr>
        <w:t xml:space="preserve"> y evolución.</w:t>
      </w:r>
      <w:r w:rsidR="00CF0DDF" w:rsidRPr="00506990" w:rsidDel="00CF0DDF">
        <w:rPr>
          <w:rFonts w:ascii="Times New Roman" w:hAnsi="Times New Roman" w:cs="Times New Roman"/>
          <w:iCs/>
          <w:color w:val="0D0D0D" w:themeColor="text1" w:themeTint="F2"/>
          <w:sz w:val="22"/>
          <w:szCs w:val="22"/>
        </w:rPr>
        <w:t xml:space="preserve"> </w:t>
      </w:r>
    </w:p>
    <w:p w14:paraId="4FB64D45" w14:textId="71E59516"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454AF8C0"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Concurso de Consumo</w:t>
      </w:r>
    </w:p>
    <w:p w14:paraId="4A4A66F7" w14:textId="0C43DD38"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r w:rsidR="00F52E66" w:rsidRPr="0098446E">
        <w:rPr>
          <w:rFonts w:ascii="Times New Roman" w:hAnsi="Times New Roman" w:cs="Times New Roman"/>
          <w:iCs/>
          <w:color w:val="0D0D0D" w:themeColor="text1" w:themeTint="F2"/>
          <w:sz w:val="22"/>
          <w:szCs w:val="22"/>
        </w:rPr>
        <w:t>EXPTE. N°2068- AÑO: 2.009- CONSU</w:t>
      </w:r>
      <w:r w:rsidRPr="0098446E">
        <w:rPr>
          <w:rFonts w:ascii="Times New Roman" w:hAnsi="Times New Roman" w:cs="Times New Roman"/>
          <w:iCs/>
          <w:color w:val="0D0D0D" w:themeColor="text1" w:themeTint="F2"/>
          <w:sz w:val="22"/>
          <w:szCs w:val="22"/>
        </w:rPr>
        <w:t>MO S.A S/ CONCURSO PREVENTIVO”.</w:t>
      </w:r>
    </w:p>
    <w:p w14:paraId="20891E1E" w14:textId="77777777" w:rsidR="003640AF" w:rsidRPr="0098446E" w:rsidRDefault="003640AF" w:rsidP="0098446E">
      <w:pPr>
        <w:suppressAutoHyphens/>
        <w:rPr>
          <w:rFonts w:ascii="Times New Roman" w:hAnsi="Times New Roman" w:cs="Times New Roman"/>
          <w:iCs/>
          <w:color w:val="0D0D0D" w:themeColor="text1" w:themeTint="F2"/>
          <w:sz w:val="22"/>
          <w:szCs w:val="22"/>
        </w:rPr>
      </w:pPr>
    </w:p>
    <w:p w14:paraId="146D0B8B" w14:textId="35441A64"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El acuerdo concursal fue homologado mediante resolución N° 550 del 26/08/2013, resolución integradora de la anterior N°276 de fecha 13/05/2013. Consumo inició los pagos en octubre de 2013, con perfecto cumplimiento de los compromisos asumidos. Al 3</w:t>
      </w:r>
      <w:r w:rsidR="00B05E74">
        <w:rPr>
          <w:rFonts w:ascii="Times New Roman" w:hAnsi="Times New Roman" w:cs="Times New Roman"/>
          <w:iCs/>
          <w:color w:val="0D0D0D" w:themeColor="text1" w:themeTint="F2"/>
          <w:sz w:val="22"/>
          <w:szCs w:val="22"/>
        </w:rPr>
        <w:t>0</w:t>
      </w:r>
      <w:r w:rsidRPr="0098446E">
        <w:rPr>
          <w:rFonts w:ascii="Times New Roman" w:hAnsi="Times New Roman" w:cs="Times New Roman"/>
          <w:iCs/>
          <w:color w:val="0D0D0D" w:themeColor="text1" w:themeTint="F2"/>
          <w:sz w:val="22"/>
          <w:szCs w:val="22"/>
        </w:rPr>
        <w:t>/1</w:t>
      </w:r>
      <w:r w:rsidR="00B05E74">
        <w:rPr>
          <w:rFonts w:ascii="Times New Roman" w:hAnsi="Times New Roman" w:cs="Times New Roman"/>
          <w:iCs/>
          <w:color w:val="0D0D0D" w:themeColor="text1" w:themeTint="F2"/>
          <w:sz w:val="22"/>
          <w:szCs w:val="22"/>
        </w:rPr>
        <w:t>1</w:t>
      </w:r>
      <w:r w:rsidRPr="0098446E">
        <w:rPr>
          <w:rFonts w:ascii="Times New Roman" w:hAnsi="Times New Roman" w:cs="Times New Roman"/>
          <w:iCs/>
          <w:color w:val="0D0D0D" w:themeColor="text1" w:themeTint="F2"/>
          <w:sz w:val="22"/>
          <w:szCs w:val="22"/>
        </w:rPr>
        <w:t>/</w:t>
      </w:r>
      <w:r w:rsidR="005F533D">
        <w:rPr>
          <w:rFonts w:ascii="Times New Roman" w:hAnsi="Times New Roman" w:cs="Times New Roman"/>
          <w:iCs/>
          <w:color w:val="0D0D0D" w:themeColor="text1" w:themeTint="F2"/>
          <w:sz w:val="22"/>
          <w:szCs w:val="22"/>
        </w:rPr>
        <w:t>2019</w:t>
      </w:r>
      <w:r w:rsidR="005F533D" w:rsidRPr="000579E7">
        <w:rPr>
          <w:rFonts w:ascii="Times New Roman" w:hAnsi="Times New Roman" w:cs="Times New Roman"/>
          <w:iCs/>
          <w:color w:val="0D0D0D" w:themeColor="text1" w:themeTint="F2"/>
          <w:sz w:val="22"/>
          <w:szCs w:val="22"/>
        </w:rPr>
        <w:t xml:space="preserve">, cumplió con todos los pagos en tiempo y forma restando el </w:t>
      </w:r>
      <w:r w:rsidR="005F533D">
        <w:rPr>
          <w:rFonts w:ascii="Times New Roman" w:hAnsi="Times New Roman" w:cs="Times New Roman"/>
          <w:iCs/>
          <w:color w:val="0D0D0D" w:themeColor="text1" w:themeTint="F2"/>
          <w:sz w:val="22"/>
          <w:szCs w:val="22"/>
        </w:rPr>
        <w:t>30,</w:t>
      </w:r>
      <w:r w:rsidR="00B05E74">
        <w:rPr>
          <w:rFonts w:ascii="Times New Roman" w:hAnsi="Times New Roman" w:cs="Times New Roman"/>
          <w:iCs/>
          <w:color w:val="0D0D0D" w:themeColor="text1" w:themeTint="F2"/>
          <w:sz w:val="22"/>
          <w:szCs w:val="22"/>
        </w:rPr>
        <w:t>3</w:t>
      </w:r>
      <w:r w:rsidR="005F533D" w:rsidRPr="000579E7">
        <w:rPr>
          <w:rFonts w:ascii="Times New Roman" w:hAnsi="Times New Roman" w:cs="Times New Roman"/>
          <w:iCs/>
          <w:color w:val="0D0D0D" w:themeColor="text1" w:themeTint="F2"/>
          <w:sz w:val="22"/>
          <w:szCs w:val="22"/>
        </w:rPr>
        <w:t>% del saldo en pesos. El vencimiento final del sal</w:t>
      </w:r>
      <w:r w:rsidR="005F533D">
        <w:rPr>
          <w:rFonts w:ascii="Times New Roman" w:hAnsi="Times New Roman" w:cs="Times New Roman"/>
          <w:iCs/>
          <w:color w:val="0D0D0D" w:themeColor="text1" w:themeTint="F2"/>
          <w:sz w:val="22"/>
          <w:szCs w:val="22"/>
        </w:rPr>
        <w:t xml:space="preserve">do está previsto para 2024. La </w:t>
      </w:r>
      <w:r w:rsidR="005F533D" w:rsidRPr="000579E7">
        <w:rPr>
          <w:rFonts w:ascii="Times New Roman" w:hAnsi="Times New Roman" w:cs="Times New Roman"/>
          <w:iCs/>
          <w:color w:val="0D0D0D" w:themeColor="text1" w:themeTint="F2"/>
          <w:sz w:val="22"/>
          <w:szCs w:val="22"/>
        </w:rPr>
        <w:t>sociedad calificadora de riesgos monitoreará su cumplimiento</w:t>
      </w:r>
      <w:r w:rsidR="005F533D" w:rsidRPr="00506990">
        <w:rPr>
          <w:rFonts w:ascii="Times New Roman" w:hAnsi="Times New Roman" w:cs="Times New Roman"/>
          <w:iCs/>
          <w:color w:val="0D0D0D" w:themeColor="text1" w:themeTint="F2"/>
          <w:sz w:val="22"/>
          <w:szCs w:val="22"/>
        </w:rPr>
        <w:t xml:space="preserve"> y evolución.</w:t>
      </w:r>
    </w:p>
    <w:p w14:paraId="6835AD06"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p>
    <w:p w14:paraId="0F956C4C" w14:textId="77777777"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14:paraId="1FBF36F2" w14:textId="78FF1F0A"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14:paraId="05ABA474" w14:textId="7AAF8382"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 xml:space="preserve">(conf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el nivel de mora de los Créditos, lo que eventualmente dañaría la posibilidad de cobro de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w:t>
      </w:r>
    </w:p>
    <w:p w14:paraId="24D0B502"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75BCD069" w14:textId="6E56C8AD"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14:paraId="67943F4F" w14:textId="77777777"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 xml:space="preserve">La Ley de Defensa del Consumidor (Ley 24.240, modificada por Ley 26.361), y el Capítulo III, Título III, del Libro Tercero, Derechos Personales del Código Civil y Comercial de la Nación, establecen un conjunto de normas y principios de tutela del consumidor, que son aplicables a la actividad crediticia financiera y no financiera (esta distinción, teniendo en consideración si la actividad está 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“Credil S.R.L. c/ Orsetti Claudio s/cobro ejecutivo” Juzgado en lo Civil y Comercial – Olavarría, 29/05/2014). Asimismo, se ha sostenido que si la ejecutante del instrumento cambiario no ha podido aportar elementos adicionales que permitieran 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r w:rsidRPr="00506990">
        <w:rPr>
          <w:rFonts w:ascii="Times New Roman" w:hAnsi="Times New Roman" w:cs="Times New Roman"/>
          <w:iCs/>
          <w:color w:val="0D0D0D" w:themeColor="text1" w:themeTint="F2"/>
          <w:sz w:val="22"/>
          <w:szCs w:val="22"/>
          <w:lang w:val="pt-BR"/>
        </w:rPr>
        <w:t>Cám. Nac. Apel. Com., Sala E, “Medinas, Francisco Enrique c. Gamarra, Fernando Adrián s/ejecutivo” del 20/03/2013).</w:t>
      </w:r>
    </w:p>
    <w:p w14:paraId="3D4D9A95" w14:textId="77777777"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65301AA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17B27F4" w14:textId="125D9368"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14:paraId="6CB8605A" w14:textId="07108220"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14:paraId="78555D0C"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14:paraId="7DDF8094" w14:textId="1F5CC6F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14:paraId="0254AB46"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14:paraId="053B5980" w14:textId="3A550A1D"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 xml:space="preserve">Desarrollo de un mercado secundario para la negociación de los Valores </w:t>
      </w:r>
      <w:r w:rsidR="006C10F6" w:rsidRPr="00B43F7C">
        <w:rPr>
          <w:rFonts w:ascii="Times New Roman" w:hAnsi="Times New Roman" w:cs="Times New Roman"/>
          <w:b/>
          <w:bCs/>
          <w:iCs/>
          <w:color w:val="0D0D0D" w:themeColor="text1" w:themeTint="F2"/>
          <w:sz w:val="22"/>
          <w:szCs w:val="22"/>
          <w:lang w:val="es-AR"/>
        </w:rPr>
        <w:t xml:space="preserve">de Deuda </w:t>
      </w:r>
      <w:r w:rsidR="00F12E1B" w:rsidRPr="00463985">
        <w:rPr>
          <w:rFonts w:ascii="Times New Roman" w:hAnsi="Times New Roman" w:cs="Times New Roman"/>
          <w:b/>
          <w:bCs/>
          <w:iCs/>
          <w:color w:val="0D0D0D" w:themeColor="text1" w:themeTint="F2"/>
          <w:sz w:val="22"/>
          <w:szCs w:val="22"/>
          <w:lang w:val="es-AR"/>
        </w:rPr>
        <w:t>Fiduciari</w:t>
      </w:r>
      <w:r w:rsidR="006C10F6" w:rsidRPr="00780DEA">
        <w:rPr>
          <w:rFonts w:ascii="Times New Roman" w:hAnsi="Times New Roman" w:cs="Times New Roman"/>
          <w:b/>
          <w:bCs/>
          <w:iCs/>
          <w:color w:val="0D0D0D" w:themeColor="text1" w:themeTint="F2"/>
          <w:sz w:val="22"/>
          <w:szCs w:val="22"/>
          <w:lang w:val="es-AR"/>
        </w:rPr>
        <w:t>a</w:t>
      </w:r>
    </w:p>
    <w:p w14:paraId="50E53867" w14:textId="06C55162"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en caso de desarrollarse, que el mismo proveerá a los inversores un nivel de liquidez satisfactorio, o acorde al plazo de los Valores</w:t>
      </w:r>
      <w:r w:rsidR="00F10A46" w:rsidRPr="00506990">
        <w:rPr>
          <w:rFonts w:ascii="Times New Roman" w:hAnsi="Times New Roman" w:cs="Times New Roman"/>
          <w:iCs/>
          <w:color w:val="0D0D0D" w:themeColor="text1" w:themeTint="F2"/>
          <w:sz w:val="22"/>
          <w:szCs w:val="22"/>
          <w:lang w:val="es-AR"/>
        </w:rPr>
        <w:t xml:space="preserve"> </w:t>
      </w:r>
      <w:r w:rsidR="006C10F6" w:rsidRPr="00B43F7C">
        <w:rPr>
          <w:rFonts w:ascii="Times New Roman" w:hAnsi="Times New Roman" w:cs="Times New Roman"/>
          <w:bCs/>
          <w:iCs/>
          <w:color w:val="0D0D0D" w:themeColor="text1" w:themeTint="F2"/>
          <w:sz w:val="22"/>
          <w:szCs w:val="22"/>
          <w:lang w:val="es-AR"/>
        </w:rPr>
        <w:t xml:space="preserve">de Deuda </w:t>
      </w:r>
      <w:r w:rsidR="00F12E1B" w:rsidRPr="00B43F7C">
        <w:rPr>
          <w:rFonts w:ascii="Times New Roman" w:hAnsi="Times New Roman" w:cs="Times New Roman"/>
          <w:bCs/>
          <w:iCs/>
          <w:color w:val="0D0D0D" w:themeColor="text1" w:themeTint="F2"/>
          <w:sz w:val="22"/>
          <w:szCs w:val="22"/>
          <w:lang w:val="es-AR"/>
        </w:rPr>
        <w:t>Fiduciari</w:t>
      </w:r>
      <w:r w:rsidR="006C10F6" w:rsidRPr="00B43F7C">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w:t>
      </w:r>
    </w:p>
    <w:p w14:paraId="2C95415F"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176C94B6" w14:textId="3AC49BF1" w:rsidR="00B62265" w:rsidRPr="00506990" w:rsidRDefault="00631D81" w:rsidP="008F4E11">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l.</w:t>
      </w:r>
      <w:r w:rsidR="000851A8" w:rsidRPr="00506990">
        <w:rPr>
          <w:rFonts w:ascii="Times New Roman" w:hAnsi="Times New Roman" w:cs="Times New Roman"/>
          <w:b/>
          <w:bCs/>
          <w:iCs/>
          <w:color w:val="0D0D0D" w:themeColor="text1" w:themeTint="F2"/>
          <w:sz w:val="22"/>
          <w:szCs w:val="22"/>
          <w:lang w:val="es-AR"/>
        </w:rPr>
        <w:t xml:space="preserve">          </w:t>
      </w:r>
      <w:r w:rsidR="00B62265" w:rsidRPr="00506990">
        <w:rPr>
          <w:rFonts w:ascii="Times New Roman" w:hAnsi="Times New Roman" w:cs="Times New Roman"/>
          <w:b/>
          <w:bCs/>
          <w:iCs/>
          <w:color w:val="0D0D0D" w:themeColor="text1" w:themeTint="F2"/>
          <w:sz w:val="22"/>
          <w:szCs w:val="22"/>
          <w:lang w:val="es-AR"/>
        </w:rPr>
        <w:t>Posible afectación de condiciones de los Valores de Deuda Fiduciaria Clase B por decisión de una mayoría de Beneficiarios</w:t>
      </w:r>
    </w:p>
    <w:p w14:paraId="3B91CAC8" w14:textId="4549B431" w:rsidR="00B62265" w:rsidRPr="00506990" w:rsidRDefault="00B62265" w:rsidP="00B62265">
      <w:pPr>
        <w:pStyle w:val="Ttulo1"/>
        <w:spacing w:before="0"/>
        <w:rPr>
          <w:rFonts w:ascii="Times New Roman" w:hAnsi="Times New Roman"/>
          <w:b w:val="0"/>
          <w:bCs w:val="0"/>
          <w:iCs/>
          <w:color w:val="0D0D0D" w:themeColor="text1" w:themeTint="F2"/>
          <w:sz w:val="22"/>
          <w:szCs w:val="22"/>
          <w:u w:val="none"/>
        </w:rPr>
      </w:pPr>
      <w:bookmarkStart w:id="41" w:name="_Toc506982474"/>
      <w:bookmarkStart w:id="42" w:name="_Toc20409071"/>
      <w:r w:rsidRPr="00506990">
        <w:rPr>
          <w:rFonts w:ascii="Times New Roman" w:hAnsi="Times New Roman"/>
          <w:b w:val="0"/>
          <w:bCs w:val="0"/>
          <w:iCs/>
          <w:color w:val="0D0D0D" w:themeColor="text1" w:themeTint="F2"/>
          <w:sz w:val="22"/>
          <w:szCs w:val="22"/>
          <w:u w:val="none"/>
          <w:lang w:val="es-AR"/>
        </w:rPr>
        <w:t xml:space="preserve">Una vez extinguidos los Valores de Deuda Fiduciaria Clase A, los Beneficiarios que representen la Mayoría Ordinaria de los Beneficiarios titulares de los Valores de Deuda Fiduciaria Clase B </w:t>
      </w:r>
      <w:r w:rsidRPr="00506990">
        <w:rPr>
          <w:rFonts w:ascii="Times New Roman" w:hAnsi="Times New Roman"/>
          <w:b w:val="0"/>
          <w:bCs w:val="0"/>
          <w:iCs/>
          <w:color w:val="0D0D0D" w:themeColor="text1" w:themeTint="F2"/>
          <w:sz w:val="22"/>
          <w:szCs w:val="22"/>
          <w:u w:val="none"/>
        </w:rPr>
        <w:t>podrán resolver y así instruir al Fiduciario: (a) la liquidación anticipada del Fideicomiso, sea (i) por el procedimiento de enajenación a terceros establecido en el apartado V del artículo 2.13 del Contrato Suplementario, salvo que se establezca otro procedimiento de realización de los Créditos, que podrán ser readquiridos por l</w:t>
      </w:r>
      <w:r w:rsidR="003C5928" w:rsidRPr="00506990">
        <w:rPr>
          <w:rFonts w:ascii="Times New Roman" w:hAnsi="Times New Roman"/>
          <w:b w:val="0"/>
          <w:bCs w:val="0"/>
          <w:iCs/>
          <w:color w:val="0D0D0D" w:themeColor="text1" w:themeTint="F2"/>
          <w:sz w:val="22"/>
          <w:szCs w:val="22"/>
          <w:u w:val="none"/>
        </w:rPr>
        <w:t>os</w:t>
      </w:r>
      <w:r w:rsidRPr="00506990">
        <w:rPr>
          <w:rFonts w:ascii="Times New Roman" w:hAnsi="Times New Roman"/>
          <w:b w:val="0"/>
          <w:bCs w:val="0"/>
          <w:iCs/>
          <w:color w:val="0D0D0D" w:themeColor="text1" w:themeTint="F2"/>
          <w:sz w:val="22"/>
          <w:szCs w:val="22"/>
          <w:u w:val="none"/>
        </w:rPr>
        <w:t xml:space="preserve"> Fiduciante</w:t>
      </w:r>
      <w:r w:rsidR="003C5928" w:rsidRPr="00506990">
        <w:rPr>
          <w:rFonts w:ascii="Times New Roman" w:hAnsi="Times New Roman"/>
          <w:b w:val="0"/>
          <w:bCs w:val="0"/>
          <w:iCs/>
          <w:color w:val="0D0D0D" w:themeColor="text1" w:themeTint="F2"/>
          <w:sz w:val="22"/>
          <w:szCs w:val="22"/>
          <w:u w:val="none"/>
        </w:rPr>
        <w:t>s</w:t>
      </w:r>
      <w:r w:rsidRPr="00506990">
        <w:rPr>
          <w:rFonts w:ascii="Times New Roman" w:hAnsi="Times New Roman"/>
          <w:b w:val="0"/>
          <w:bCs w:val="0"/>
          <w:iCs/>
          <w:color w:val="0D0D0D" w:themeColor="text1" w:themeTint="F2"/>
          <w:sz w:val="22"/>
          <w:szCs w:val="22"/>
          <w:u w:val="none"/>
        </w:rPr>
        <w:t>, sea (ii) mediante adjudicación directa de los Créditos a los Beneficiarios en condiciones equitativas, pudiéndose dar opción a los Beneficiarios minoritarios reciban el valor contable de los Créditos neto de previsiones y gastos en cuanto hubiere recursos líquidos en el Fideicomiso; y/o (b) el retiro de los Valores de Deuda Fiduciaria Clase B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w:t>
      </w:r>
      <w:r w:rsidRPr="00506990">
        <w:rPr>
          <w:rFonts w:ascii="Times New Roman" w:hAnsi="Times New Roman"/>
          <w:b w:val="0"/>
          <w:color w:val="0D0D0D" w:themeColor="text1" w:themeTint="F2"/>
          <w:sz w:val="22"/>
          <w:szCs w:val="22"/>
          <w:u w:val="none"/>
        </w:rPr>
        <w:t xml:space="preserve"> y/o negocien</w:t>
      </w:r>
      <w:r w:rsidRPr="00506990">
        <w:rPr>
          <w:rFonts w:ascii="Times New Roman" w:hAnsi="Times New Roman"/>
          <w:b w:val="0"/>
          <w:bCs w:val="0"/>
          <w:iCs/>
          <w:color w:val="0D0D0D" w:themeColor="text1" w:themeTint="F2"/>
          <w:sz w:val="22"/>
          <w:szCs w:val="22"/>
          <w:u w:val="none"/>
        </w:rPr>
        <w:t xml:space="preserve"> los Valores de Deuda Fiduciaria. En caso de adoptarse las alternativas (b) o (c), los Beneficiarios disconformes podrán solicitar el reembolso del valor nominal residual de sus Valores de Deuda Fiduciaria Clase B con más una rentabilidad equivalente a una vez y media el último interés o renta pagado a los Valores de Deuda Fiduciaria Clase B, sin derecho a ninguna otra prestación, y en la medida que existan fondos suficientes en el Fideicomiso.</w:t>
      </w:r>
      <w:bookmarkEnd w:id="41"/>
      <w:bookmarkEnd w:id="42"/>
      <w:r w:rsidRPr="00506990">
        <w:rPr>
          <w:rFonts w:ascii="Times New Roman" w:hAnsi="Times New Roman"/>
          <w:b w:val="0"/>
          <w:bCs w:val="0"/>
          <w:iCs/>
          <w:color w:val="0D0D0D" w:themeColor="text1" w:themeTint="F2"/>
          <w:sz w:val="22"/>
          <w:szCs w:val="22"/>
          <w:u w:val="none"/>
        </w:rPr>
        <w:t xml:space="preserve"> </w:t>
      </w:r>
    </w:p>
    <w:p w14:paraId="631D2B21" w14:textId="66C7186F" w:rsidR="00B62265" w:rsidRPr="00506990" w:rsidRDefault="00B62265" w:rsidP="00B6226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caso que l</w:t>
      </w:r>
      <w:r w:rsidR="003C5928"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3C59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resulten ser Beneficiarios de VDF, podrán asistir a las asambleas no pudiendo votar cuando la decisión a adoptarse pueda generar conflicto con el interés del resto de los Beneficiarios.</w:t>
      </w:r>
    </w:p>
    <w:p w14:paraId="4068CC9E" w14:textId="77777777" w:rsidR="00337DE5" w:rsidRPr="00506990" w:rsidRDefault="00337DE5" w:rsidP="00631D81">
      <w:pPr>
        <w:suppressAutoHyphens/>
        <w:ind w:left="703" w:hanging="703"/>
        <w:rPr>
          <w:rFonts w:ascii="Times New Roman" w:hAnsi="Times New Roman" w:cs="Times New Roman"/>
          <w:color w:val="0D0D0D" w:themeColor="text1" w:themeTint="F2"/>
          <w:sz w:val="22"/>
          <w:szCs w:val="22"/>
        </w:rPr>
      </w:pPr>
    </w:p>
    <w:p w14:paraId="0F7E93A8" w14:textId="69E1D248" w:rsidR="00337DE5" w:rsidRPr="00506990" w:rsidRDefault="00337DE5" w:rsidP="00337DE5">
      <w:pPr>
        <w:suppressAutoHyphens/>
        <w:ind w:left="703" w:hanging="703"/>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m.</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ES"/>
        </w:rPr>
        <w:t>Reclamo impositivo de la Provincia de Misiones y otras provincias</w:t>
      </w:r>
    </w:p>
    <w:p w14:paraId="05F347BC" w14:textId="33FCC122" w:rsidR="00337DE5" w:rsidRPr="00506990" w:rsidRDefault="00337DE5" w:rsidP="00337DE5">
      <w:pPr>
        <w:pStyle w:val="Style4"/>
        <w:kinsoku w:val="0"/>
        <w:autoSpaceDE/>
        <w:autoSpaceDN/>
        <w:spacing w:line="240" w:lineRule="auto"/>
        <w:ind w:left="0" w:firstLine="0"/>
        <w:outlineLvl w:val="0"/>
        <w:rPr>
          <w:rStyle w:val="CharacterStyle1"/>
          <w:rFonts w:ascii="Times New Roman" w:hAnsi="Times New Roman"/>
          <w:iCs/>
          <w:color w:val="0D0D0D" w:themeColor="text1" w:themeTint="F2"/>
          <w:spacing w:val="-5"/>
          <w:sz w:val="22"/>
          <w:szCs w:val="22"/>
          <w:lang w:val="es-AR"/>
        </w:rPr>
      </w:pPr>
      <w:bookmarkStart w:id="43" w:name="_Toc506982475"/>
      <w:bookmarkStart w:id="44" w:name="_Toc521424860"/>
      <w:bookmarkStart w:id="45" w:name="_Toc20409072"/>
      <w:r w:rsidRPr="00506990">
        <w:rPr>
          <w:rStyle w:val="CharacterStyle1"/>
          <w:rFonts w:ascii="Times New Roman" w:hAnsi="Times New Roman"/>
          <w:iCs/>
          <w:color w:val="0D0D0D" w:themeColor="text1" w:themeTint="F2"/>
          <w:spacing w:val="-5"/>
          <w:sz w:val="22"/>
          <w:szCs w:val="22"/>
          <w:lang w:val="es-AR"/>
        </w:rPr>
        <w:t xml:space="preserve">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w:t>
      </w:r>
      <w:r w:rsidR="009064A0" w:rsidRPr="00506990">
        <w:rPr>
          <w:rStyle w:val="CharacterStyle1"/>
          <w:rFonts w:ascii="Times New Roman" w:hAnsi="Times New Roman"/>
          <w:iCs/>
          <w:color w:val="0D0D0D" w:themeColor="text1" w:themeTint="F2"/>
          <w:spacing w:val="-5"/>
          <w:sz w:val="22"/>
          <w:szCs w:val="22"/>
          <w:lang w:val="es-AR"/>
        </w:rPr>
        <w:t xml:space="preserve">de deuda </w:t>
      </w:r>
      <w:r w:rsidRPr="00506990">
        <w:rPr>
          <w:rStyle w:val="CharacterStyle1"/>
          <w:rFonts w:ascii="Times New Roman" w:hAnsi="Times New Roman"/>
          <w:iCs/>
          <w:color w:val="0D0D0D" w:themeColor="text1" w:themeTint="F2"/>
          <w:spacing w:val="-5"/>
          <w:sz w:val="22"/>
          <w:szCs w:val="22"/>
          <w:lang w:val="es-AR"/>
        </w:rPr>
        <w:t>fiduciari</w:t>
      </w:r>
      <w:r w:rsidR="009064A0" w:rsidRPr="00506990">
        <w:rPr>
          <w:rStyle w:val="CharacterStyle1"/>
          <w:rFonts w:ascii="Times New Roman" w:hAnsi="Times New Roman"/>
          <w:iCs/>
          <w:color w:val="0D0D0D" w:themeColor="text1" w:themeTint="F2"/>
          <w:spacing w:val="-5"/>
          <w:sz w:val="22"/>
          <w:szCs w:val="22"/>
          <w:lang w:val="es-AR"/>
        </w:rPr>
        <w:t>a</w:t>
      </w:r>
      <w:r w:rsidRPr="00506990">
        <w:rPr>
          <w:rStyle w:val="CharacterStyle1"/>
          <w:rFonts w:ascii="Times New Roman" w:hAnsi="Times New Roman"/>
          <w:iCs/>
          <w:color w:val="0D0D0D" w:themeColor="text1" w:themeTint="F2"/>
          <w:spacing w:val="-5"/>
          <w:sz w:val="22"/>
          <w:szCs w:val="22"/>
          <w:lang w:val="es-AR"/>
        </w:rPr>
        <w:t>,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w:t>
      </w:r>
      <w:bookmarkEnd w:id="43"/>
      <w:bookmarkEnd w:id="44"/>
      <w:bookmarkEnd w:id="45"/>
      <w:r w:rsidRPr="00506990">
        <w:rPr>
          <w:rStyle w:val="CharacterStyle1"/>
          <w:rFonts w:ascii="Times New Roman" w:hAnsi="Times New Roman"/>
          <w:iCs/>
          <w:color w:val="0D0D0D" w:themeColor="text1" w:themeTint="F2"/>
          <w:spacing w:val="-5"/>
          <w:sz w:val="22"/>
          <w:szCs w:val="22"/>
          <w:lang w:val="es-AR"/>
        </w:rPr>
        <w:t xml:space="preserve"> </w:t>
      </w:r>
    </w:p>
    <w:p w14:paraId="6113B782" w14:textId="77777777" w:rsidR="00337DE5" w:rsidRPr="00506990" w:rsidRDefault="00337DE5" w:rsidP="00337DE5">
      <w:pPr>
        <w:pStyle w:val="Style2"/>
        <w:kinsoku w:val="0"/>
        <w:autoSpaceDE/>
        <w:autoSpaceDN/>
        <w:spacing w:line="240" w:lineRule="auto"/>
        <w:outlineLvl w:val="0"/>
        <w:rPr>
          <w:rFonts w:ascii="Times New Roman" w:hAnsi="Times New Roman"/>
          <w:iCs/>
          <w:color w:val="0D0D0D" w:themeColor="text1" w:themeTint="F2"/>
          <w:sz w:val="22"/>
          <w:szCs w:val="22"/>
          <w:lang w:val="es-ES"/>
        </w:rPr>
      </w:pPr>
      <w:bookmarkStart w:id="46" w:name="_Toc506982476"/>
      <w:bookmarkStart w:id="47" w:name="_Toc521424861"/>
      <w:bookmarkStart w:id="48" w:name="_Toc20409073"/>
      <w:r w:rsidRPr="00506990">
        <w:rPr>
          <w:rFonts w:ascii="Times New Roman" w:hAnsi="Times New Roman"/>
          <w:iCs/>
          <w:color w:val="0D0D0D" w:themeColor="text1" w:themeTint="F2"/>
          <w:sz w:val="22"/>
          <w:szCs w:val="22"/>
          <w:lang w:val="es-ES"/>
        </w:rPr>
        <w:t>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w:t>
      </w:r>
      <w:bookmarkEnd w:id="46"/>
      <w:bookmarkEnd w:id="47"/>
      <w:bookmarkEnd w:id="48"/>
    </w:p>
    <w:p w14:paraId="4C73E99E" w14:textId="77777777" w:rsidR="00337DE5" w:rsidRPr="00506990" w:rsidRDefault="00337DE5" w:rsidP="00337DE5">
      <w:pPr>
        <w:pStyle w:val="Sangradetextonormal"/>
        <w:ind w:left="0" w:firstLine="0"/>
        <w:jc w:val="both"/>
        <w:outlineLvl w:val="0"/>
        <w:rPr>
          <w:rFonts w:ascii="Times New Roman" w:hAnsi="Times New Roman"/>
          <w:iCs/>
          <w:color w:val="0D0D0D" w:themeColor="text1" w:themeTint="F2"/>
          <w:sz w:val="22"/>
          <w:szCs w:val="22"/>
          <w:lang w:val="es-ES"/>
        </w:rPr>
      </w:pPr>
      <w:bookmarkStart w:id="49" w:name="_Toc506982477"/>
      <w:bookmarkStart w:id="50" w:name="_Toc521424862"/>
      <w:bookmarkStart w:id="51" w:name="_Toc20409074"/>
      <w:r w:rsidRPr="00506990">
        <w:rPr>
          <w:rFonts w:ascii="Times New Roman" w:hAnsi="Times New Roman"/>
          <w:iCs/>
          <w:color w:val="0D0D0D" w:themeColor="text1" w:themeTint="F2"/>
          <w:sz w:val="22"/>
          <w:szCs w:val="22"/>
          <w:lang w:val="es-ES"/>
        </w:rPr>
        <w:t>Los fiduciarios de los fideicomisos financieros afectados – entre los que se encuentra Rosario Administradora Sociedad Fiduciaria S.A. –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w:t>
      </w:r>
      <w:bookmarkEnd w:id="49"/>
      <w:bookmarkEnd w:id="50"/>
      <w:bookmarkEnd w:id="51"/>
    </w:p>
    <w:p w14:paraId="15D621C0" w14:textId="71FDEDB0"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506990">
        <w:rPr>
          <w:rFonts w:ascii="Times New Roman" w:hAnsi="Times New Roman"/>
          <w:iCs/>
          <w:color w:val="0D0D0D" w:themeColor="text1" w:themeTint="F2"/>
          <w:sz w:val="22"/>
          <w:szCs w:val="22"/>
          <w:lang w:val="es-AR"/>
        </w:rPr>
        <w:t>respecto de los fideicomisos no directamente involucrados en la contienda</w:t>
      </w:r>
      <w:r w:rsidRPr="00506990">
        <w:rPr>
          <w:rFonts w:ascii="Times New Roman" w:hAnsi="Times New Roman"/>
          <w:iCs/>
          <w:color w:val="0D0D0D" w:themeColor="text1" w:themeTint="F2"/>
          <w:sz w:val="22"/>
          <w:szCs w:val="22"/>
        </w:rPr>
        <w:t>, y obtener la traba de embargo sobre los fondos en la Cuenta Fiduciaria en el</w:t>
      </w:r>
      <w:r w:rsidRPr="00506990">
        <w:rPr>
          <w:rFonts w:ascii="Times New Roman" w:hAnsi="Times New Roman"/>
          <w:iCs/>
          <w:color w:val="0D0D0D" w:themeColor="text1" w:themeTint="F2"/>
          <w:sz w:val="22"/>
          <w:szCs w:val="22"/>
          <w:lang w:val="es-AR"/>
        </w:rPr>
        <w:t xml:space="preserve"> presente Fideicomiso, situación que no fue considerada en el Flujo de Fondos de los Valores </w:t>
      </w:r>
      <w:r w:rsidR="00F12E1B" w:rsidRPr="00506990">
        <w:rPr>
          <w:rFonts w:ascii="Times New Roman" w:hAnsi="Times New Roman"/>
          <w:bCs/>
          <w:iCs/>
          <w:color w:val="0D0D0D" w:themeColor="text1" w:themeTint="F2"/>
          <w:sz w:val="22"/>
          <w:szCs w:val="22"/>
          <w:lang w:val="es-AR"/>
        </w:rPr>
        <w:t>Fiduciarios</w:t>
      </w:r>
      <w:r w:rsidRPr="00506990">
        <w:rPr>
          <w:rFonts w:ascii="Times New Roman" w:hAnsi="Times New Roman"/>
          <w:iCs/>
          <w:color w:val="0D0D0D" w:themeColor="text1" w:themeTint="F2"/>
          <w:sz w:val="22"/>
          <w:szCs w:val="22"/>
          <w:lang w:val="es-AR"/>
        </w:rPr>
        <w:t>.</w:t>
      </w:r>
    </w:p>
    <w:p w14:paraId="52D983F0"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En el mes de marzo de 2015 la Procuradora General de la Nación presentó dictamen ante la Corte opinando que corresponde hacer lugar a la demanda. La causa quedó para recibir sentencia definitiva.</w:t>
      </w:r>
    </w:p>
    <w:p w14:paraId="7DA76912" w14:textId="77777777" w:rsidR="00337DE5" w:rsidRPr="00506990" w:rsidRDefault="00337DE5" w:rsidP="00337DE5">
      <w:pPr>
        <w:pStyle w:val="style20"/>
        <w:autoSpaceDE w:val="0"/>
        <w:spacing w:before="0" w:beforeAutospacing="0" w:after="0" w:afterAutospacing="0"/>
        <w:jc w:val="both"/>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Aunque la sentencia definitiva de la Corte sea favorable a la demanda, si bien</w:t>
      </w:r>
      <w:r w:rsidRPr="00506990">
        <w:rPr>
          <w:rFonts w:ascii="Times New Roman" w:hAnsi="Times New Roman"/>
          <w:iCs/>
          <w:color w:val="0D0D0D" w:themeColor="text1" w:themeTint="F2"/>
          <w:sz w:val="22"/>
          <w:szCs w:val="22"/>
          <w:lang w:val="es-AR"/>
        </w:rPr>
        <w:t xml:space="preserve"> con menor probabilidad, la Provincia podría continuar con su pretensión recaudatoria, toda vez que el fallo no tiene efectos erga omnes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p>
    <w:p w14:paraId="1A76E468" w14:textId="77777777" w:rsidR="00337DE5" w:rsidRPr="00506990" w:rsidRDefault="00337DE5" w:rsidP="00337DE5">
      <w:pPr>
        <w:outlineLvl w:val="0"/>
        <w:rPr>
          <w:rFonts w:ascii="Times New Roman" w:hAnsi="Times New Roman" w:cs="Times New Roman"/>
          <w:iCs/>
          <w:color w:val="0D0D0D" w:themeColor="text1" w:themeTint="F2"/>
          <w:sz w:val="22"/>
          <w:szCs w:val="22"/>
          <w:lang w:val="es-AR"/>
        </w:rPr>
      </w:pPr>
      <w:bookmarkStart w:id="52" w:name="_Toc506982478"/>
      <w:bookmarkStart w:id="53" w:name="_Toc521424863"/>
      <w:bookmarkStart w:id="54" w:name="_Toc20409075"/>
      <w:r w:rsidRPr="00506990">
        <w:rPr>
          <w:rFonts w:ascii="Times New Roman" w:hAnsi="Times New Roman" w:cs="Times New Roman"/>
          <w:iCs/>
          <w:color w:val="0D0D0D" w:themeColor="text1" w:themeTint="F2"/>
          <w:sz w:val="22"/>
          <w:szCs w:val="22"/>
          <w:lang w:val="es-AR"/>
        </w:rPr>
        <w:t>Existen otras jurisdicciones provinciales que han efectuado determinaciones de supuestas deudas por impuesto de sellos respecto de fideicomisos financieros, que aunque no han determinado hasta el momento la traba de medidas cautelares sobre los Bienes Fideicomitidos, no puede asegurarse que efectivicen esas medidas en el futuro.</w:t>
      </w:r>
      <w:bookmarkEnd w:id="52"/>
      <w:bookmarkEnd w:id="53"/>
      <w:bookmarkEnd w:id="54"/>
    </w:p>
    <w:p w14:paraId="6216FBED" w14:textId="77777777" w:rsidR="00011896" w:rsidRPr="00506990" w:rsidRDefault="00011896" w:rsidP="00337DE5">
      <w:pPr>
        <w:outlineLvl w:val="0"/>
        <w:rPr>
          <w:rFonts w:ascii="Times New Roman" w:hAnsi="Times New Roman" w:cs="Times New Roman"/>
          <w:iCs/>
          <w:color w:val="0D0D0D" w:themeColor="text1" w:themeTint="F2"/>
          <w:sz w:val="22"/>
          <w:szCs w:val="22"/>
          <w:lang w:val="es-AR"/>
        </w:rPr>
      </w:pPr>
    </w:p>
    <w:p w14:paraId="72B8AE71" w14:textId="1BEA40AD" w:rsidR="00011896" w:rsidRPr="00506990" w:rsidRDefault="00011896" w:rsidP="00011896">
      <w:pPr>
        <w:pStyle w:val="Estndar"/>
        <w:jc w:val="both"/>
        <w:rPr>
          <w:rFonts w:ascii="Times New Roman" w:hAnsi="Times New Roman"/>
          <w:b/>
          <w:sz w:val="22"/>
          <w:szCs w:val="22"/>
          <w:lang w:val="es-AR"/>
        </w:rPr>
      </w:pPr>
      <w:r w:rsidRPr="00506990">
        <w:rPr>
          <w:rFonts w:ascii="Times New Roman" w:hAnsi="Times New Roman"/>
          <w:b/>
          <w:sz w:val="22"/>
          <w:szCs w:val="22"/>
          <w:lang w:val="es-AR"/>
        </w:rPr>
        <w:t xml:space="preserve">n.  </w:t>
      </w:r>
      <w:r w:rsidRPr="00506990">
        <w:rPr>
          <w:rFonts w:ascii="Times New Roman" w:hAnsi="Times New Roman"/>
          <w:sz w:val="22"/>
          <w:szCs w:val="22"/>
          <w:lang w:val="es-AR"/>
        </w:rPr>
        <w:t xml:space="preserve"> </w:t>
      </w:r>
      <w:r w:rsidRPr="00506990">
        <w:rPr>
          <w:rFonts w:ascii="Times New Roman" w:hAnsi="Times New Roman"/>
          <w:b/>
          <w:sz w:val="22"/>
          <w:szCs w:val="22"/>
          <w:lang w:val="es-AR"/>
        </w:rPr>
        <w:t xml:space="preserve">Riesgos derivados del contexto económico </w:t>
      </w:r>
    </w:p>
    <w:p w14:paraId="51447FFF" w14:textId="4A0F6266" w:rsidR="00A9439C" w:rsidRPr="00506990" w:rsidRDefault="00A9439C" w:rsidP="008F4E11">
      <w:pPr>
        <w:outlineLvl w:val="0"/>
        <w:rPr>
          <w:rFonts w:ascii="Times New Roman" w:hAnsi="Times New Roman" w:cs="Times New Roman"/>
          <w:iCs/>
          <w:color w:val="0D0D0D" w:themeColor="text1" w:themeTint="F2"/>
          <w:sz w:val="22"/>
          <w:szCs w:val="22"/>
          <w:lang w:val="es-AR"/>
        </w:rPr>
      </w:pPr>
      <w:bookmarkStart w:id="55" w:name="_Toc20409076"/>
      <w:r w:rsidRPr="00506990">
        <w:rPr>
          <w:rFonts w:ascii="Times New Roman" w:hAnsi="Times New Roman" w:cs="Times New Roman"/>
          <w:iCs/>
          <w:color w:val="0D0D0D" w:themeColor="text1" w:themeTint="F2"/>
          <w:sz w:val="22"/>
          <w:szCs w:val="22"/>
          <w:lang w:val="es-AR"/>
        </w:rPr>
        <w:t>La depreciación del peso frente al dólar estadounidense y el incremento de las tasas de interés de mercado, implicaron un aumento en el Índice de Precios al Consumidor (“IPC”). De acuerdo a los datos proporcionados por el Instituto Nacional de Estadísticas y Censos (“INDEC”), la inflación del año 2018 fue del 47,6%. Para el año 2019, el Relevamiento de Expectativas de Mercado (“REM”) estima la inflación nivel general en 4</w:t>
      </w:r>
      <w:r w:rsidR="00972595" w:rsidRPr="00506990">
        <w:rPr>
          <w:rFonts w:ascii="Times New Roman" w:hAnsi="Times New Roman" w:cs="Times New Roman"/>
          <w:iCs/>
          <w:color w:val="0D0D0D" w:themeColor="text1" w:themeTint="F2"/>
          <w:sz w:val="22"/>
          <w:szCs w:val="22"/>
          <w:lang w:val="es-AR"/>
        </w:rPr>
        <w:t>8</w:t>
      </w:r>
      <w:r w:rsidRPr="00506990">
        <w:rPr>
          <w:rFonts w:ascii="Times New Roman" w:hAnsi="Times New Roman" w:cs="Times New Roman"/>
          <w:iCs/>
          <w:color w:val="0D0D0D" w:themeColor="text1" w:themeTint="F2"/>
          <w:sz w:val="22"/>
          <w:szCs w:val="22"/>
          <w:lang w:val="es-AR"/>
        </w:rPr>
        <w:t>,</w:t>
      </w:r>
      <w:r w:rsidR="00972595" w:rsidRPr="00506990">
        <w:rPr>
          <w:rFonts w:ascii="Times New Roman" w:hAnsi="Times New Roman" w:cs="Times New Roman"/>
          <w:iCs/>
          <w:color w:val="0D0D0D" w:themeColor="text1" w:themeTint="F2"/>
          <w:sz w:val="22"/>
          <w:szCs w:val="22"/>
          <w:lang w:val="es-AR"/>
        </w:rPr>
        <w:t>3</w:t>
      </w:r>
      <w:r w:rsidRPr="00506990">
        <w:rPr>
          <w:rFonts w:ascii="Times New Roman" w:hAnsi="Times New Roman" w:cs="Times New Roman"/>
          <w:iCs/>
          <w:color w:val="0D0D0D" w:themeColor="text1" w:themeTint="F2"/>
          <w:sz w:val="22"/>
          <w:szCs w:val="22"/>
          <w:lang w:val="es-AR"/>
        </w:rPr>
        <w:t>% . En julio de 2019, la tasa de inflación fue de 2,2% con respecto al mes anterior acumulando en el período enero/julio 25,1%.</w:t>
      </w:r>
      <w:bookmarkEnd w:id="55"/>
    </w:p>
    <w:p w14:paraId="4BEF4BD4" w14:textId="77777777" w:rsidR="00A9439C" w:rsidRPr="00506990" w:rsidRDefault="00A9439C" w:rsidP="008F4E11">
      <w:pPr>
        <w:outlineLvl w:val="0"/>
        <w:rPr>
          <w:rFonts w:ascii="Times New Roman" w:hAnsi="Times New Roman" w:cs="Times New Roman"/>
          <w:iCs/>
          <w:color w:val="0D0D0D" w:themeColor="text1" w:themeTint="F2"/>
          <w:sz w:val="22"/>
          <w:szCs w:val="22"/>
          <w:lang w:val="es-AR"/>
        </w:rPr>
      </w:pPr>
    </w:p>
    <w:p w14:paraId="363CD6F6" w14:textId="77777777" w:rsidR="00A9439C" w:rsidRPr="00506990" w:rsidRDefault="00A9439C" w:rsidP="008F4E11">
      <w:pPr>
        <w:outlineLvl w:val="0"/>
        <w:rPr>
          <w:rFonts w:ascii="Times New Roman" w:hAnsi="Times New Roman" w:cs="Times New Roman"/>
          <w:iCs/>
          <w:color w:val="0D0D0D" w:themeColor="text1" w:themeTint="F2"/>
          <w:sz w:val="22"/>
          <w:szCs w:val="22"/>
          <w:lang w:val="es-AR"/>
        </w:rPr>
      </w:pPr>
      <w:bookmarkStart w:id="56" w:name="_Toc20409077"/>
      <w:r w:rsidRPr="00506990">
        <w:rPr>
          <w:rFonts w:ascii="Times New Roman" w:hAnsi="Times New Roman" w:cs="Times New Roman"/>
          <w:iCs/>
          <w:color w:val="0D0D0D" w:themeColor="text1" w:themeTint="F2"/>
          <w:sz w:val="22"/>
          <w:szCs w:val="22"/>
          <w:lang w:val="es-AR"/>
        </w:rPr>
        <w:t>El 11 de agosto de 2019 se llevaron a cabo las elecciones primarias, abiertas, simultáneas y obligatorias (“PASO”) que tiene por finalidad, entre otras, definir la lista de cada partido, en caso de que se presente más de una. El resultado de dicha elección dio ganadora la fórmula de la oposición con el 47,65% de los votos quedando segunda con el 32,08% la fórmula liderada por el oficialismo.</w:t>
      </w:r>
      <w:bookmarkEnd w:id="56"/>
      <w:r w:rsidRPr="00506990">
        <w:rPr>
          <w:rFonts w:ascii="Times New Roman" w:hAnsi="Times New Roman" w:cs="Times New Roman"/>
          <w:iCs/>
          <w:color w:val="0D0D0D" w:themeColor="text1" w:themeTint="F2"/>
          <w:sz w:val="22"/>
          <w:szCs w:val="22"/>
          <w:lang w:val="es-AR"/>
        </w:rPr>
        <w:t xml:space="preserve"> </w:t>
      </w:r>
    </w:p>
    <w:p w14:paraId="570F7821" w14:textId="77777777" w:rsidR="00A9439C" w:rsidRPr="00506990" w:rsidRDefault="00A9439C" w:rsidP="008F4E11">
      <w:pPr>
        <w:outlineLvl w:val="0"/>
        <w:rPr>
          <w:rFonts w:ascii="Times New Roman" w:hAnsi="Times New Roman" w:cs="Times New Roman"/>
          <w:iCs/>
          <w:color w:val="0D0D0D" w:themeColor="text1" w:themeTint="F2"/>
          <w:sz w:val="22"/>
          <w:szCs w:val="22"/>
          <w:lang w:val="es-AR"/>
        </w:rPr>
      </w:pPr>
      <w:bookmarkStart w:id="57" w:name="_Toc20409078"/>
      <w:r w:rsidRPr="00506990">
        <w:rPr>
          <w:rFonts w:ascii="Times New Roman" w:hAnsi="Times New Roman" w:cs="Times New Roman"/>
          <w:iCs/>
          <w:color w:val="0D0D0D" w:themeColor="text1" w:themeTint="F2"/>
          <w:sz w:val="22"/>
          <w:szCs w:val="22"/>
          <w:lang w:val="es-AR"/>
        </w:rPr>
        <w:t>Luego de efectuada las PASO hubo un nuevo incremento del dólar apreciándose alrededor del 25 %. Debido a ello, se estima que la inflación para los meses siguientes se ira elevando.</w:t>
      </w:r>
      <w:bookmarkEnd w:id="57"/>
    </w:p>
    <w:p w14:paraId="07805EE3" w14:textId="77777777" w:rsidR="00A9439C" w:rsidRPr="00506990" w:rsidRDefault="00A9439C" w:rsidP="008F4E11">
      <w:pPr>
        <w:outlineLvl w:val="0"/>
        <w:rPr>
          <w:rFonts w:ascii="Times New Roman" w:hAnsi="Times New Roman" w:cs="Times New Roman"/>
          <w:iCs/>
          <w:color w:val="0D0D0D" w:themeColor="text1" w:themeTint="F2"/>
          <w:sz w:val="22"/>
          <w:szCs w:val="22"/>
          <w:lang w:val="es-AR"/>
        </w:rPr>
      </w:pPr>
    </w:p>
    <w:p w14:paraId="62C4D639" w14:textId="77777777" w:rsidR="00A9439C" w:rsidRPr="00506990" w:rsidRDefault="00A9439C" w:rsidP="008F4E11">
      <w:pPr>
        <w:outlineLvl w:val="0"/>
        <w:rPr>
          <w:rFonts w:ascii="Times New Roman" w:hAnsi="Times New Roman" w:cs="Times New Roman"/>
          <w:iCs/>
          <w:color w:val="0D0D0D" w:themeColor="text1" w:themeTint="F2"/>
          <w:sz w:val="22"/>
          <w:szCs w:val="22"/>
          <w:lang w:val="es-AR"/>
        </w:rPr>
      </w:pPr>
      <w:bookmarkStart w:id="58" w:name="_Toc20409079"/>
      <w:r w:rsidRPr="00506990">
        <w:rPr>
          <w:rFonts w:ascii="Times New Roman" w:hAnsi="Times New Roman" w:cs="Times New Roman"/>
          <w:iCs/>
          <w:color w:val="0D0D0D" w:themeColor="text1" w:themeTint="F2"/>
          <w:sz w:val="22"/>
          <w:szCs w:val="22"/>
          <w:lang w:val="es-AR"/>
        </w:rPr>
        <w:t>De mantenerse este contexto y de no haber una reapertura de las paritarias, el salario real de los Deudores de los Créditos podría verse deteriorado, de manera que podría verse afectada la capacidad de pago de los Deudores de los Créditos y en consecuencia el pago de los Valores Fiduciarios.</w:t>
      </w:r>
      <w:bookmarkEnd w:id="58"/>
    </w:p>
    <w:p w14:paraId="24B8D6D9" w14:textId="4B3EC818" w:rsidR="00011896" w:rsidRPr="00506990" w:rsidRDefault="00011896" w:rsidP="008F4E11">
      <w:pPr>
        <w:outlineLvl w:val="0"/>
        <w:rPr>
          <w:rFonts w:ascii="Times New Roman" w:hAnsi="Times New Roman" w:cs="Times New Roman"/>
          <w:sz w:val="22"/>
          <w:szCs w:val="22"/>
        </w:rPr>
      </w:pPr>
    </w:p>
    <w:p w14:paraId="3F932ADF" w14:textId="77777777" w:rsidR="00157F81" w:rsidRPr="00506990" w:rsidRDefault="00157F81" w:rsidP="00011896">
      <w:pPr>
        <w:rPr>
          <w:rFonts w:ascii="Times New Roman" w:hAnsi="Times New Roman" w:cs="Times New Roman"/>
          <w:sz w:val="22"/>
          <w:szCs w:val="22"/>
        </w:rPr>
      </w:pPr>
    </w:p>
    <w:p w14:paraId="550907DE" w14:textId="6AF6A313" w:rsidR="00157F81" w:rsidRPr="00506990" w:rsidRDefault="000851A8" w:rsidP="00157F81">
      <w:pPr>
        <w:rPr>
          <w:rFonts w:ascii="Times New Roman" w:hAnsi="Times New Roman" w:cs="Times New Roman"/>
          <w:b/>
          <w:sz w:val="22"/>
          <w:szCs w:val="22"/>
        </w:rPr>
      </w:pPr>
      <w:r w:rsidRPr="00506990">
        <w:rPr>
          <w:rFonts w:ascii="Times New Roman" w:hAnsi="Times New Roman" w:cs="Times New Roman"/>
          <w:b/>
          <w:sz w:val="22"/>
          <w:szCs w:val="22"/>
        </w:rPr>
        <w:t>ñ</w:t>
      </w:r>
      <w:r w:rsidR="00157F81" w:rsidRPr="00506990">
        <w:rPr>
          <w:rFonts w:ascii="Times New Roman" w:hAnsi="Times New Roman" w:cs="Times New Roman"/>
          <w:b/>
          <w:sz w:val="22"/>
          <w:szCs w:val="22"/>
        </w:rPr>
        <w:t>. Consideración especial de riesgo para la inversión</w:t>
      </w:r>
    </w:p>
    <w:p w14:paraId="567F9FBF" w14:textId="4AE05D70" w:rsidR="00157F81" w:rsidRPr="00506990" w:rsidRDefault="00157F81" w:rsidP="00157F81">
      <w:pPr>
        <w:rPr>
          <w:rFonts w:ascii="Times New Roman" w:hAnsi="Times New Roman" w:cs="Times New Roman"/>
          <w:sz w:val="22"/>
          <w:szCs w:val="22"/>
        </w:rPr>
      </w:pPr>
      <w:r w:rsidRPr="00506990">
        <w:rPr>
          <w:rFonts w:ascii="Times New Roman" w:hAnsi="Times New Roman" w:cs="Times New Roman"/>
          <w:sz w:val="22"/>
          <w:szCs w:val="22"/>
        </w:rPr>
        <w:t>Los potenciales inversores deben considerar que las empresas con las características de</w:t>
      </w:r>
      <w:r w:rsidR="003C5928" w:rsidRPr="00506990">
        <w:rPr>
          <w:rFonts w:ascii="Times New Roman" w:hAnsi="Times New Roman" w:cs="Times New Roman"/>
          <w:sz w:val="22"/>
          <w:szCs w:val="22"/>
        </w:rPr>
        <w:t xml:space="preserve"> </w:t>
      </w:r>
      <w:r w:rsidRPr="00506990">
        <w:rPr>
          <w:rFonts w:ascii="Times New Roman" w:hAnsi="Times New Roman" w:cs="Times New Roman"/>
          <w:sz w:val="22"/>
          <w:szCs w:val="22"/>
        </w:rPr>
        <w:t>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w:t>
      </w:r>
    </w:p>
    <w:p w14:paraId="792042E4" w14:textId="15DD1B51" w:rsidR="00157F81" w:rsidRPr="00506990" w:rsidRDefault="00157F81" w:rsidP="00157F81">
      <w:pPr>
        <w:rPr>
          <w:rFonts w:ascii="Times New Roman" w:hAnsi="Times New Roman" w:cs="Times New Roman"/>
          <w:sz w:val="22"/>
          <w:szCs w:val="22"/>
        </w:rPr>
      </w:pPr>
      <w:r w:rsidRPr="00506990">
        <w:rPr>
          <w:rFonts w:ascii="Times New Roman" w:hAnsi="Times New Roman" w:cs="Times New Roman"/>
          <w:sz w:val="22"/>
          <w:szCs w:val="22"/>
        </w:rPr>
        <w:t>Por otra parte, producto de la situación económica y política de Argentina y de la afectación de la fuente de recursos de los deudores de los créditos, podría sucederse incumplimientos en los pagos de los créditos. Ello, sumado a una merma en la originación de créditos por parte de</w:t>
      </w:r>
      <w:r w:rsidR="003C5928" w:rsidRPr="00506990">
        <w:rPr>
          <w:rFonts w:ascii="Times New Roman" w:hAnsi="Times New Roman" w:cs="Times New Roman"/>
          <w:sz w:val="22"/>
          <w:szCs w:val="22"/>
        </w:rPr>
        <w:t xml:space="preserve"> </w:t>
      </w:r>
      <w:r w:rsidRPr="00506990">
        <w:rPr>
          <w:rFonts w:ascii="Times New Roman" w:hAnsi="Times New Roman" w:cs="Times New Roman"/>
          <w:sz w:val="22"/>
          <w:szCs w:val="22"/>
        </w:rPr>
        <w:t>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producto de una disminución significativa en el consumo, podría dificultar la situación económica de</w:t>
      </w:r>
      <w:r w:rsidR="003C5928" w:rsidRPr="00506990">
        <w:rPr>
          <w:rFonts w:ascii="Times New Roman" w:hAnsi="Times New Roman" w:cs="Times New Roman"/>
          <w:sz w:val="22"/>
          <w:szCs w:val="22"/>
        </w:rPr>
        <w:t xml:space="preserve"> </w:t>
      </w:r>
      <w:r w:rsidRPr="00506990">
        <w:rPr>
          <w:rFonts w:ascii="Times New Roman" w:hAnsi="Times New Roman" w:cs="Times New Roman"/>
          <w:sz w:val="22"/>
          <w:szCs w:val="22"/>
        </w:rPr>
        <w:t>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y la continuidad de sus operaciones.</w:t>
      </w:r>
    </w:p>
    <w:p w14:paraId="65B3233B" w14:textId="7F01392E" w:rsidR="00157F81" w:rsidRPr="00506990" w:rsidRDefault="00157F81" w:rsidP="00157F81">
      <w:pPr>
        <w:rPr>
          <w:rFonts w:ascii="Times New Roman" w:hAnsi="Times New Roman" w:cs="Times New Roman"/>
          <w:sz w:val="22"/>
          <w:szCs w:val="22"/>
        </w:rPr>
      </w:pPr>
      <w:r w:rsidRPr="00506990">
        <w:rPr>
          <w:rFonts w:ascii="Times New Roman" w:hAnsi="Times New Roman" w:cs="Times New Roman"/>
          <w:sz w:val="22"/>
          <w:szCs w:val="22"/>
        </w:rPr>
        <w:t>En caso de verse obligado 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14:paraId="0BE07AF1" w14:textId="6CFB9843" w:rsidR="00157F81" w:rsidRPr="00506990" w:rsidRDefault="00157F81" w:rsidP="00157F81">
      <w:pPr>
        <w:rPr>
          <w:rFonts w:ascii="Times New Roman" w:hAnsi="Times New Roman" w:cs="Times New Roman"/>
          <w:sz w:val="22"/>
          <w:szCs w:val="22"/>
        </w:rPr>
      </w:pPr>
      <w:r w:rsidRPr="00506990">
        <w:rPr>
          <w:rFonts w:ascii="Times New Roman" w:hAnsi="Times New Roman" w:cs="Times New Roman"/>
          <w:sz w:val="22"/>
          <w:szCs w:val="22"/>
        </w:rPr>
        <w:t>De verificarse cualquiera de las situaciones previamente descriptas, podría verse afectada la cobranza bajo los créditos configurando un efecto negativo sobre los Valores Fiduciarios. Atento a que los fondos generados por los créditos constituyen la única fuente de pago para los inversores, en caso que las cobranzas de los créditos cedidos no sean suficientes para pagar los Valores Fiduciarios, ni l</w:t>
      </w:r>
      <w:r w:rsidR="003C5928"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3C5928" w:rsidRPr="00506990">
        <w:rPr>
          <w:rFonts w:ascii="Times New Roman" w:hAnsi="Times New Roman" w:cs="Times New Roman"/>
          <w:sz w:val="22"/>
          <w:szCs w:val="22"/>
        </w:rPr>
        <w:t>s</w:t>
      </w:r>
      <w:r w:rsidRPr="00506990">
        <w:rPr>
          <w:rFonts w:ascii="Times New Roman" w:hAnsi="Times New Roman" w:cs="Times New Roman"/>
          <w:sz w:val="22"/>
          <w:szCs w:val="22"/>
        </w:rPr>
        <w:t xml:space="preserve"> ni el Fiduciario estarán obligados a utilizar recursos propios para cubrir tales deficiencias.</w:t>
      </w:r>
    </w:p>
    <w:p w14:paraId="5E252FD6" w14:textId="77777777" w:rsidR="00337DE5" w:rsidRPr="00506990" w:rsidRDefault="00337DE5" w:rsidP="00337DE5">
      <w:pPr>
        <w:pStyle w:val="Textoindependiente"/>
        <w:jc w:val="both"/>
        <w:rPr>
          <w:rFonts w:ascii="Times New Roman" w:hAnsi="Times New Roman"/>
          <w:iCs/>
          <w:color w:val="0D0D0D" w:themeColor="text1" w:themeTint="F2"/>
          <w:sz w:val="22"/>
          <w:szCs w:val="22"/>
          <w:u w:val="single"/>
        </w:rPr>
      </w:pPr>
    </w:p>
    <w:p w14:paraId="53A91E93" w14:textId="3C843328" w:rsidR="00337DE5" w:rsidRPr="00506990" w:rsidRDefault="00337DE5" w:rsidP="00337DE5">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Los compradores potenciales de los Valores </w:t>
      </w:r>
      <w:r w:rsidR="00DC2B37" w:rsidRPr="00B43F7C">
        <w:rPr>
          <w:rFonts w:ascii="Times New Roman" w:hAnsi="Times New Roman" w:cs="Times New Roman"/>
          <w:b/>
          <w:iCs/>
          <w:color w:val="0D0D0D" w:themeColor="text1" w:themeTint="F2"/>
          <w:sz w:val="22"/>
          <w:szCs w:val="22"/>
          <w:lang w:val="es-AR"/>
        </w:rPr>
        <w:t xml:space="preserve">de Deuda </w:t>
      </w:r>
      <w:r w:rsidR="00F12E1B" w:rsidRPr="00B43F7C">
        <w:rPr>
          <w:rFonts w:ascii="Times New Roman" w:hAnsi="Times New Roman" w:cs="Times New Roman"/>
          <w:b/>
          <w:bCs/>
          <w:iCs/>
          <w:color w:val="0D0D0D" w:themeColor="text1" w:themeTint="F2"/>
          <w:sz w:val="22"/>
          <w:szCs w:val="22"/>
          <w:lang w:val="es-AR"/>
        </w:rPr>
        <w:t>Fiduciari</w:t>
      </w:r>
      <w:r w:rsidR="00DC2B37" w:rsidRPr="00B43F7C">
        <w:rPr>
          <w:rFonts w:ascii="Times New Roman" w:hAnsi="Times New Roman" w:cs="Times New Roman"/>
          <w:b/>
          <w:bCs/>
          <w:iCs/>
          <w:color w:val="0D0D0D" w:themeColor="text1" w:themeTint="F2"/>
          <w:sz w:val="22"/>
          <w:szCs w:val="22"/>
          <w:lang w:val="es-AR"/>
        </w:rPr>
        <w:t>a</w:t>
      </w:r>
      <w:r w:rsidRPr="00506990">
        <w:rPr>
          <w:rFonts w:ascii="Times New Roman" w:hAnsi="Times New Roman" w:cs="Times New Roman"/>
          <w:b/>
          <w:color w:val="0D0D0D" w:themeColor="text1" w:themeTint="F2"/>
          <w:sz w:val="22"/>
          <w:szCs w:val="22"/>
        </w:rPr>
        <w:t xml:space="preserve"> ofrecidos por la presente deberán considerar cuidadosamente toda la información de este Suplemento de Prospecto.</w:t>
      </w:r>
    </w:p>
    <w:p w14:paraId="1F8D7976" w14:textId="77777777" w:rsidR="00337DE5" w:rsidRPr="00506990" w:rsidRDefault="00337DE5" w:rsidP="00992BB9">
      <w:pPr>
        <w:pStyle w:val="Textoindependiente"/>
        <w:suppressAutoHyphens/>
        <w:ind w:left="1080"/>
        <w:jc w:val="both"/>
        <w:rPr>
          <w:rFonts w:ascii="Times New Roman" w:hAnsi="Times New Roman"/>
          <w:iCs/>
          <w:color w:val="0D0D0D" w:themeColor="text1" w:themeTint="F2"/>
          <w:sz w:val="22"/>
          <w:szCs w:val="22"/>
          <w:u w:val="single"/>
        </w:rPr>
      </w:pPr>
    </w:p>
    <w:p w14:paraId="11796475" w14:textId="77777777" w:rsidR="00337DE5" w:rsidRPr="00506990" w:rsidRDefault="00337DE5" w:rsidP="00992BB9">
      <w:pPr>
        <w:pStyle w:val="Textoindependiente"/>
        <w:suppressAutoHyphens/>
        <w:ind w:left="1080"/>
        <w:jc w:val="both"/>
        <w:rPr>
          <w:rFonts w:ascii="Times New Roman" w:hAnsi="Times New Roman"/>
          <w:iCs/>
          <w:color w:val="0D0D0D" w:themeColor="text1" w:themeTint="F2"/>
          <w:sz w:val="22"/>
          <w:szCs w:val="22"/>
          <w:u w:val="single"/>
        </w:rPr>
      </w:pPr>
    </w:p>
    <w:p w14:paraId="57DCBA41" w14:textId="36AB4D3D" w:rsidR="000D2637" w:rsidRPr="00506990" w:rsidRDefault="007C062B" w:rsidP="00B228F5">
      <w:pPr>
        <w:pStyle w:val="Ttulo1"/>
        <w:jc w:val="center"/>
        <w:rPr>
          <w:rFonts w:ascii="Times New Roman" w:hAnsi="Times New Roman"/>
          <w:sz w:val="22"/>
          <w:szCs w:val="22"/>
        </w:rPr>
      </w:pPr>
      <w:bookmarkStart w:id="59" w:name="_Toc521424864"/>
      <w:bookmarkStart w:id="60" w:name="_Toc2040908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RESUMEN DE TÉRMINOS Y CONDICIONES DE LOS VALORES</w:t>
      </w:r>
      <w:r w:rsidR="00D71263" w:rsidRPr="00506990">
        <w:rPr>
          <w:rFonts w:ascii="Times New Roman" w:hAnsi="Times New Roman"/>
          <w:sz w:val="22"/>
          <w:szCs w:val="22"/>
        </w:rPr>
        <w:t xml:space="preserve"> </w:t>
      </w:r>
      <w:r w:rsidR="00DC2B37" w:rsidRPr="00506990">
        <w:rPr>
          <w:rFonts w:ascii="Times New Roman" w:hAnsi="Times New Roman"/>
          <w:sz w:val="22"/>
          <w:szCs w:val="22"/>
        </w:rPr>
        <w:t>DE DEUDA</w:t>
      </w:r>
      <w:r w:rsidR="00DC2B37" w:rsidRPr="00506990">
        <w:rPr>
          <w:rFonts w:ascii="Times New Roman" w:hAnsi="Times New Roman"/>
          <w:sz w:val="22"/>
        </w:rPr>
        <w:t xml:space="preserve"> </w:t>
      </w:r>
      <w:r w:rsidR="00B866EE" w:rsidRPr="00506990">
        <w:rPr>
          <w:rFonts w:ascii="Times New Roman" w:hAnsi="Times New Roman"/>
          <w:sz w:val="22"/>
          <w:szCs w:val="22"/>
        </w:rPr>
        <w:t>FIDUCIARI</w:t>
      </w:r>
      <w:r w:rsidR="00DC2B37" w:rsidRPr="00506990">
        <w:rPr>
          <w:rFonts w:ascii="Times New Roman" w:hAnsi="Times New Roman"/>
          <w:sz w:val="22"/>
          <w:szCs w:val="22"/>
        </w:rPr>
        <w:t>A</w:t>
      </w:r>
      <w:bookmarkEnd w:id="59"/>
      <w:bookmarkEnd w:id="60"/>
    </w:p>
    <w:p w14:paraId="49E23C8F" w14:textId="77777777" w:rsidR="000D2637" w:rsidRPr="00506990" w:rsidRDefault="000D2637">
      <w:pPr>
        <w:keepNext/>
        <w:jc w:val="center"/>
        <w:rPr>
          <w:rFonts w:ascii="Times New Roman" w:hAnsi="Times New Roman" w:cs="Times New Roman"/>
          <w:b/>
          <w:bCs/>
          <w:iCs/>
          <w:color w:val="0D0D0D" w:themeColor="text1" w:themeTint="F2"/>
          <w:sz w:val="22"/>
          <w:szCs w:val="22"/>
        </w:rPr>
      </w:pPr>
    </w:p>
    <w:p w14:paraId="073A17D7" w14:textId="77777777"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14:paraId="5AB13712" w14:textId="77777777"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14:paraId="721D9CD2" w14:textId="77777777">
        <w:trPr>
          <w:cantSplit/>
          <w:trHeight w:val="433"/>
        </w:trPr>
        <w:tc>
          <w:tcPr>
            <w:tcW w:w="2737" w:type="dxa"/>
          </w:tcPr>
          <w:p w14:paraId="3786BBF6"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14:paraId="46E59F50" w14:textId="043DC693" w:rsidR="000D2637" w:rsidRPr="00506990" w:rsidRDefault="00345035" w:rsidP="00B62265">
            <w:pPr>
              <w:suppressAutoHyphens/>
              <w:spacing w:line="240" w:lineRule="atLeast"/>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CONFIBONO </w:t>
            </w:r>
            <w:r w:rsidR="003F20DA" w:rsidRPr="00506990">
              <w:rPr>
                <w:rFonts w:ascii="Times New Roman" w:hAnsi="Times New Roman" w:cs="Times New Roman"/>
                <w:iCs/>
                <w:color w:val="0D0D0D" w:themeColor="text1" w:themeTint="F2"/>
                <w:sz w:val="22"/>
                <w:szCs w:val="22"/>
              </w:rPr>
              <w:t>L</w:t>
            </w:r>
            <w:r w:rsidR="00C55AB5" w:rsidRPr="00506990">
              <w:rPr>
                <w:rFonts w:ascii="Times New Roman" w:hAnsi="Times New Roman" w:cs="Times New Roman"/>
                <w:iCs/>
                <w:color w:val="0D0D0D" w:themeColor="text1" w:themeTint="F2"/>
                <w:sz w:val="22"/>
                <w:szCs w:val="22"/>
              </w:rPr>
              <w:t>I</w:t>
            </w:r>
            <w:r w:rsidR="0069754F" w:rsidRPr="00506990">
              <w:rPr>
                <w:rFonts w:ascii="Times New Roman" w:hAnsi="Times New Roman" w:cs="Times New Roman"/>
                <w:iCs/>
                <w:color w:val="0D0D0D" w:themeColor="text1" w:themeTint="F2"/>
                <w:sz w:val="22"/>
                <w:szCs w:val="22"/>
              </w:rPr>
              <w:t>I</w:t>
            </w:r>
            <w:r w:rsidR="00727F69" w:rsidRPr="00506990">
              <w:rPr>
                <w:rFonts w:ascii="Times New Roman" w:hAnsi="Times New Roman" w:cs="Times New Roman"/>
                <w:iCs/>
                <w:color w:val="0D0D0D" w:themeColor="text1" w:themeTint="F2"/>
                <w:sz w:val="22"/>
                <w:szCs w:val="22"/>
              </w:rPr>
              <w:t>I</w:t>
            </w:r>
            <w:r w:rsidR="007C062B" w:rsidRPr="00506990">
              <w:rPr>
                <w:rFonts w:ascii="Times New Roman" w:hAnsi="Times New Roman" w:cs="Times New Roman"/>
                <w:iCs/>
                <w:color w:val="0D0D0D" w:themeColor="text1" w:themeTint="F2"/>
                <w:sz w:val="22"/>
                <w:szCs w:val="22"/>
              </w:rPr>
              <w:t xml:space="preserve">, a emitirse bajo el </w:t>
            </w:r>
            <w:r w:rsidR="007C062B" w:rsidRPr="00506990">
              <w:rPr>
                <w:rFonts w:ascii="Times New Roman" w:hAnsi="Times New Roman" w:cs="Times New Roman"/>
                <w:b/>
                <w:bCs/>
                <w:color w:val="0D0D0D" w:themeColor="text1" w:themeTint="F2"/>
                <w:sz w:val="22"/>
                <w:szCs w:val="22"/>
              </w:rPr>
              <w:t>Programa Global de emisión de Valores Fiduciarios Confibono</w:t>
            </w:r>
            <w:r w:rsidR="003E181B" w:rsidRPr="00506990">
              <w:rPr>
                <w:rFonts w:ascii="Times New Roman" w:hAnsi="Times New Roman" w:cs="Times New Roman"/>
                <w:b/>
                <w:bCs/>
                <w:color w:val="0D0D0D" w:themeColor="text1" w:themeTint="F2"/>
                <w:sz w:val="22"/>
                <w:szCs w:val="22"/>
              </w:rPr>
              <w:t>.</w:t>
            </w:r>
          </w:p>
        </w:tc>
      </w:tr>
      <w:tr w:rsidR="00482F96" w:rsidRPr="00506990" w14:paraId="42473769" w14:textId="77777777" w:rsidTr="00F8107E">
        <w:trPr>
          <w:cantSplit/>
          <w:trHeight w:val="551"/>
        </w:trPr>
        <w:tc>
          <w:tcPr>
            <w:tcW w:w="2737" w:type="dxa"/>
          </w:tcPr>
          <w:p w14:paraId="500B2E6F" w14:textId="59C79EC0"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14:paraId="58013B27" w14:textId="0A355916" w:rsidR="00BD6597" w:rsidRPr="00506990" w:rsidRDefault="00BD6597">
            <w:pPr>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Cs/>
                <w:iCs/>
                <w:color w:val="0D0D0D" w:themeColor="text1" w:themeTint="F2"/>
                <w:sz w:val="22"/>
                <w:szCs w:val="22"/>
              </w:rPr>
              <w:t>Valor Nominal $</w:t>
            </w:r>
            <w:r w:rsidR="0069754F" w:rsidRPr="00506990">
              <w:rPr>
                <w:rFonts w:ascii="Times New Roman" w:hAnsi="Times New Roman" w:cs="Times New Roman"/>
                <w:bCs/>
                <w:iCs/>
                <w:color w:val="0D0D0D" w:themeColor="text1" w:themeTint="F2"/>
                <w:sz w:val="22"/>
                <w:szCs w:val="22"/>
              </w:rPr>
              <w:t xml:space="preserve"> </w:t>
            </w:r>
            <w:r w:rsidR="00196B3E" w:rsidRPr="000579E7">
              <w:rPr>
                <w:rFonts w:ascii="Times New Roman" w:hAnsi="Times New Roman" w:cs="Times New Roman"/>
                <w:b/>
                <w:bCs/>
                <w:iCs/>
                <w:color w:val="0D0D0D" w:themeColor="text1" w:themeTint="F2"/>
                <w:sz w:val="22"/>
                <w:szCs w:val="22"/>
              </w:rPr>
              <w:t>12</w:t>
            </w:r>
            <w:r w:rsidR="00074CF9">
              <w:rPr>
                <w:rFonts w:ascii="Times New Roman" w:hAnsi="Times New Roman" w:cs="Times New Roman"/>
                <w:b/>
                <w:bCs/>
                <w:iCs/>
                <w:color w:val="0D0D0D" w:themeColor="text1" w:themeTint="F2"/>
                <w:sz w:val="22"/>
                <w:szCs w:val="22"/>
              </w:rPr>
              <w:t>0</w:t>
            </w:r>
            <w:r w:rsidR="00196B3E" w:rsidRPr="000579E7">
              <w:rPr>
                <w:rFonts w:ascii="Times New Roman" w:hAnsi="Times New Roman" w:cs="Times New Roman"/>
                <w:b/>
                <w:bCs/>
                <w:iCs/>
                <w:color w:val="0D0D0D" w:themeColor="text1" w:themeTint="F2"/>
                <w:sz w:val="22"/>
                <w:szCs w:val="22"/>
              </w:rPr>
              <w:t>.</w:t>
            </w:r>
            <w:r w:rsidR="00074CF9">
              <w:rPr>
                <w:rFonts w:ascii="Times New Roman" w:hAnsi="Times New Roman" w:cs="Times New Roman"/>
                <w:b/>
                <w:bCs/>
                <w:iCs/>
                <w:color w:val="0D0D0D" w:themeColor="text1" w:themeTint="F2"/>
                <w:sz w:val="22"/>
                <w:szCs w:val="22"/>
              </w:rPr>
              <w:t>39</w:t>
            </w:r>
            <w:r w:rsidR="00196B3E" w:rsidRPr="000579E7">
              <w:rPr>
                <w:rFonts w:ascii="Times New Roman" w:hAnsi="Times New Roman" w:cs="Times New Roman"/>
                <w:b/>
                <w:bCs/>
                <w:iCs/>
                <w:color w:val="0D0D0D" w:themeColor="text1" w:themeTint="F2"/>
                <w:sz w:val="22"/>
                <w:szCs w:val="22"/>
              </w:rPr>
              <w:t>1.</w:t>
            </w:r>
            <w:r w:rsidR="00074CF9">
              <w:rPr>
                <w:rFonts w:ascii="Times New Roman" w:hAnsi="Times New Roman" w:cs="Times New Roman"/>
                <w:b/>
                <w:bCs/>
                <w:iCs/>
                <w:color w:val="0D0D0D" w:themeColor="text1" w:themeTint="F2"/>
                <w:sz w:val="22"/>
                <w:szCs w:val="22"/>
              </w:rPr>
              <w:t>496</w:t>
            </w:r>
            <w:r w:rsidR="007C062B" w:rsidRPr="000579E7">
              <w:rPr>
                <w:rFonts w:ascii="Times New Roman" w:hAnsi="Times New Roman" w:cs="Times New Roman"/>
                <w:bCs/>
                <w:iCs/>
                <w:color w:val="0D0D0D" w:themeColor="text1" w:themeTint="F2"/>
                <w:sz w:val="22"/>
                <w:szCs w:val="22"/>
              </w:rPr>
              <w:t>- (pesos</w:t>
            </w:r>
            <w:r w:rsidR="00A51A05" w:rsidRPr="000579E7">
              <w:rPr>
                <w:rFonts w:ascii="Times New Roman" w:hAnsi="Times New Roman" w:cs="Times New Roman"/>
                <w:bCs/>
                <w:iCs/>
                <w:color w:val="0D0D0D" w:themeColor="text1" w:themeTint="F2"/>
                <w:sz w:val="22"/>
                <w:szCs w:val="22"/>
              </w:rPr>
              <w:t xml:space="preserve"> </w:t>
            </w:r>
            <w:r w:rsidR="00196B3E" w:rsidRPr="000579E7">
              <w:rPr>
                <w:rFonts w:ascii="Times New Roman" w:hAnsi="Times New Roman" w:cs="Times New Roman"/>
                <w:b/>
                <w:bCs/>
                <w:iCs/>
                <w:color w:val="0D0D0D" w:themeColor="text1" w:themeTint="F2"/>
                <w:sz w:val="22"/>
                <w:szCs w:val="22"/>
              </w:rPr>
              <w:t>ciento vein</w:t>
            </w:r>
            <w:r w:rsidR="00012497">
              <w:rPr>
                <w:rFonts w:ascii="Times New Roman" w:hAnsi="Times New Roman" w:cs="Times New Roman"/>
                <w:b/>
                <w:bCs/>
                <w:iCs/>
                <w:color w:val="0D0D0D" w:themeColor="text1" w:themeTint="F2"/>
                <w:sz w:val="22"/>
                <w:szCs w:val="22"/>
              </w:rPr>
              <w:t>te</w:t>
            </w:r>
            <w:r w:rsidR="00196B3E" w:rsidRPr="000579E7">
              <w:rPr>
                <w:rFonts w:ascii="Times New Roman" w:hAnsi="Times New Roman" w:cs="Times New Roman"/>
                <w:b/>
                <w:bCs/>
                <w:iCs/>
                <w:color w:val="0D0D0D" w:themeColor="text1" w:themeTint="F2"/>
                <w:sz w:val="22"/>
                <w:szCs w:val="22"/>
              </w:rPr>
              <w:t xml:space="preserve"> millones </w:t>
            </w:r>
            <w:r w:rsidR="00012497">
              <w:rPr>
                <w:rFonts w:ascii="Times New Roman" w:hAnsi="Times New Roman" w:cs="Times New Roman"/>
                <w:b/>
                <w:bCs/>
                <w:iCs/>
                <w:color w:val="0D0D0D" w:themeColor="text1" w:themeTint="F2"/>
                <w:sz w:val="22"/>
                <w:szCs w:val="22"/>
              </w:rPr>
              <w:t>trescientos noventa y un mil cuatrocientos noventa y seis</w:t>
            </w:r>
            <w:r w:rsidRPr="00506990">
              <w:rPr>
                <w:rFonts w:ascii="Times New Roman" w:hAnsi="Times New Roman" w:cs="Times New Roman"/>
                <w:bCs/>
                <w:iCs/>
                <w:color w:val="0D0D0D" w:themeColor="text1" w:themeTint="F2"/>
                <w:sz w:val="22"/>
                <w:szCs w:val="22"/>
              </w:rPr>
              <w:t>)</w:t>
            </w:r>
          </w:p>
        </w:tc>
      </w:tr>
      <w:tr w:rsidR="007C062B" w:rsidRPr="00506990" w14:paraId="435219FB" w14:textId="77777777" w:rsidTr="004E4AC6">
        <w:trPr>
          <w:cantSplit/>
          <w:trHeight w:val="398"/>
        </w:trPr>
        <w:tc>
          <w:tcPr>
            <w:tcW w:w="2737" w:type="dxa"/>
          </w:tcPr>
          <w:p w14:paraId="5361296F" w14:textId="7B00089F"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14:paraId="20464858" w14:textId="1B2EBDED"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14:paraId="47DE5B8B" w14:textId="77777777" w:rsidTr="004E4AC6">
        <w:trPr>
          <w:cantSplit/>
          <w:trHeight w:val="418"/>
        </w:trPr>
        <w:tc>
          <w:tcPr>
            <w:tcW w:w="2737" w:type="dxa"/>
          </w:tcPr>
          <w:p w14:paraId="1A3239AB" w14:textId="160FB69F"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14:paraId="579D47F5" w14:textId="35433B27"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14:paraId="1BB4261B" w14:textId="77777777" w:rsidTr="004E4AC6">
        <w:trPr>
          <w:cantSplit/>
          <w:trHeight w:val="410"/>
        </w:trPr>
        <w:tc>
          <w:tcPr>
            <w:tcW w:w="2737" w:type="dxa"/>
          </w:tcPr>
          <w:p w14:paraId="0F0C2EE6" w14:textId="6926A9FB"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14:paraId="616FDE68" w14:textId="07E8C24F"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C50ECA" w:rsidRPr="00506990" w:rsidDel="00BA3476" w14:paraId="20DE329E" w14:textId="77777777" w:rsidTr="004E4AC6">
        <w:trPr>
          <w:cantSplit/>
          <w:trHeight w:val="410"/>
        </w:trPr>
        <w:tc>
          <w:tcPr>
            <w:tcW w:w="2737" w:type="dxa"/>
          </w:tcPr>
          <w:p w14:paraId="63514967" w14:textId="289932D2" w:rsidR="00C50ECA" w:rsidRPr="00506990" w:rsidRDefault="00C50EC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w:t>
            </w:r>
            <w:r w:rsidR="00813740" w:rsidRPr="00506990">
              <w:rPr>
                <w:rFonts w:ascii="Times New Roman" w:hAnsi="Times New Roman" w:cs="Times New Roman"/>
                <w:b/>
                <w:bCs/>
                <w:iCs/>
                <w:color w:val="0D0D0D" w:themeColor="text1" w:themeTint="F2"/>
                <w:sz w:val="22"/>
                <w:szCs w:val="22"/>
              </w:rPr>
              <w:t>s</w:t>
            </w:r>
          </w:p>
        </w:tc>
        <w:tc>
          <w:tcPr>
            <w:tcW w:w="6184" w:type="dxa"/>
          </w:tcPr>
          <w:p w14:paraId="4079EF4D" w14:textId="2F1B6670" w:rsidR="00C50ECA" w:rsidRPr="00506990" w:rsidRDefault="00C50EC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Bazar Avenida S.A.</w:t>
            </w:r>
            <w:r w:rsidR="00813740" w:rsidRPr="00506990">
              <w:rPr>
                <w:rFonts w:ascii="Times New Roman" w:hAnsi="Times New Roman"/>
                <w:color w:val="0D0D0D" w:themeColor="text1" w:themeTint="F2"/>
                <w:sz w:val="22"/>
                <w:szCs w:val="22"/>
              </w:rPr>
              <w:t xml:space="preserve"> </w:t>
            </w:r>
            <w:r w:rsidR="00813740" w:rsidRPr="00506990">
              <w:rPr>
                <w:rFonts w:ascii="Times New Roman" w:hAnsi="Times New Roman"/>
                <w:iCs/>
                <w:color w:val="0D0D0D" w:themeColor="text1" w:themeTint="F2"/>
                <w:sz w:val="22"/>
                <w:szCs w:val="22"/>
              </w:rPr>
              <w:t>y Consumo S.A.</w:t>
            </w:r>
          </w:p>
        </w:tc>
      </w:tr>
      <w:tr w:rsidR="00482F96" w:rsidRPr="006B4159" w14:paraId="666DE2E2" w14:textId="77777777">
        <w:trPr>
          <w:cantSplit/>
          <w:trHeight w:val="279"/>
        </w:trPr>
        <w:tc>
          <w:tcPr>
            <w:tcW w:w="2737" w:type="dxa"/>
          </w:tcPr>
          <w:p w14:paraId="0D12D8EA" w14:textId="37659F74"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Organizador</w:t>
            </w:r>
          </w:p>
        </w:tc>
        <w:tc>
          <w:tcPr>
            <w:tcW w:w="6184" w:type="dxa"/>
          </w:tcPr>
          <w:p w14:paraId="2718331F" w14:textId="77777777"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S.A.</w:t>
            </w:r>
          </w:p>
        </w:tc>
      </w:tr>
      <w:tr w:rsidR="000F3020" w:rsidRPr="00506990" w:rsidDel="00BA3476" w14:paraId="21A4CCC2" w14:textId="77777777">
        <w:trPr>
          <w:cantSplit/>
          <w:trHeight w:val="279"/>
        </w:trPr>
        <w:tc>
          <w:tcPr>
            <w:tcW w:w="2737" w:type="dxa"/>
          </w:tcPr>
          <w:p w14:paraId="3E0DC01E" w14:textId="16AF4896"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14:paraId="30900F39" w14:textId="6D6B6E90"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14:paraId="2FD08713" w14:textId="77777777">
        <w:trPr>
          <w:cantSplit/>
          <w:trHeight w:val="279"/>
        </w:trPr>
        <w:tc>
          <w:tcPr>
            <w:tcW w:w="2737" w:type="dxa"/>
          </w:tcPr>
          <w:p w14:paraId="021A36F8" w14:textId="0AC57660"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14:paraId="42BB8B01" w14:textId="11C78CAB"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506990" w14:paraId="2BE7A689" w14:textId="77777777" w:rsidTr="00F8107E">
        <w:trPr>
          <w:cantSplit/>
          <w:trHeight w:val="419"/>
        </w:trPr>
        <w:tc>
          <w:tcPr>
            <w:tcW w:w="2737" w:type="dxa"/>
          </w:tcPr>
          <w:p w14:paraId="27131FB6" w14:textId="77777777"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14:paraId="23B44104" w14:textId="77777777" w:rsidR="00BA3476" w:rsidRPr="00506990" w:rsidRDefault="00BA3476" w:rsidP="006F15A1">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lang w:val="pt-BR"/>
              </w:rPr>
              <w:t>Tinsa S.A (Cobro Express)</w:t>
            </w:r>
          </w:p>
          <w:p w14:paraId="06B6BFC5" w14:textId="77777777"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14:paraId="10B0F266" w14:textId="77777777" w:rsidTr="00C666C1">
        <w:trPr>
          <w:cantSplit/>
          <w:trHeight w:val="279"/>
        </w:trPr>
        <w:tc>
          <w:tcPr>
            <w:tcW w:w="2737" w:type="dxa"/>
          </w:tcPr>
          <w:p w14:paraId="104FBA39" w14:textId="77777777" w:rsidR="000F3020" w:rsidRPr="00506990" w:rsidRDefault="000F3020" w:rsidP="00C666C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Agente de Custodia</w:t>
            </w:r>
          </w:p>
        </w:tc>
        <w:tc>
          <w:tcPr>
            <w:tcW w:w="6184" w:type="dxa"/>
          </w:tcPr>
          <w:p w14:paraId="5DA7E0E4"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Centibox S.A.</w:t>
            </w:r>
          </w:p>
          <w:p w14:paraId="0C6B6FE9"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14:paraId="3C2AF613" w14:textId="77777777">
        <w:trPr>
          <w:cantSplit/>
          <w:trHeight w:val="279"/>
        </w:trPr>
        <w:tc>
          <w:tcPr>
            <w:tcW w:w="2737" w:type="dxa"/>
          </w:tcPr>
          <w:p w14:paraId="519FDD1F"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14:paraId="7CF2D80F" w14:textId="73644A2D"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Zubillaga,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nscripto en el 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 y</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Víctor Lamberti</w:t>
            </w:r>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suplente</w:t>
            </w:r>
            <w:r w:rsidR="003A22B7" w:rsidRPr="00506990">
              <w:rPr>
                <w:rFonts w:ascii="Times New Roman" w:hAnsi="Times New Roman" w:cs="Times New Roman"/>
                <w:color w:val="0D0D0D" w:themeColor="text1" w:themeTint="F2"/>
                <w:sz w:val="22"/>
                <w:szCs w:val="22"/>
              </w:rPr>
              <w:t xml:space="preserve">, ambos </w:t>
            </w:r>
            <w:r w:rsidRPr="00506990">
              <w:rPr>
                <w:rFonts w:ascii="Times New Roman" w:hAnsi="Times New Roman" w:cs="Times New Roman"/>
                <w:color w:val="0D0D0D" w:themeColor="text1" w:themeTint="F2"/>
                <w:sz w:val="22"/>
                <w:szCs w:val="22"/>
              </w:rPr>
              <w:t>miembros de Zubillaga &amp; Asociados S.A (en adelante el “Agente de Control y Revisión”).</w:t>
            </w:r>
          </w:p>
          <w:p w14:paraId="0B57A393" w14:textId="77777777"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14:paraId="5E100D01" w14:textId="77777777">
        <w:trPr>
          <w:cantSplit/>
          <w:trHeight w:val="279"/>
        </w:trPr>
        <w:tc>
          <w:tcPr>
            <w:tcW w:w="2737" w:type="dxa"/>
          </w:tcPr>
          <w:p w14:paraId="2BB0DF7B" w14:textId="77777777"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14:paraId="3B7A2C0E" w14:textId="77777777"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Nicholson y Cano Abogados</w:t>
            </w:r>
          </w:p>
          <w:p w14:paraId="58F8DBAB" w14:textId="77777777"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6B4159" w14:paraId="4BDAD728" w14:textId="77777777" w:rsidTr="006F15A1">
        <w:trPr>
          <w:cantSplit/>
          <w:trHeight w:val="279"/>
        </w:trPr>
        <w:tc>
          <w:tcPr>
            <w:tcW w:w="2737" w:type="dxa"/>
          </w:tcPr>
          <w:p w14:paraId="10DE0BED" w14:textId="77D07081"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14:paraId="068588B9" w14:textId="71C693B8"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14:paraId="6DA800C6" w14:textId="77777777" w:rsidTr="006F15A1">
        <w:trPr>
          <w:cantSplit/>
          <w:trHeight w:val="279"/>
        </w:trPr>
        <w:tc>
          <w:tcPr>
            <w:tcW w:w="2737" w:type="dxa"/>
          </w:tcPr>
          <w:p w14:paraId="35E87C69" w14:textId="77777777"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Depositaria</w:t>
            </w:r>
          </w:p>
        </w:tc>
        <w:tc>
          <w:tcPr>
            <w:tcW w:w="6184" w:type="dxa"/>
          </w:tcPr>
          <w:p w14:paraId="32F99A6B"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14:paraId="2CA5BF48"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14:paraId="233A1DC1" w14:textId="77777777" w:rsidTr="00F8107E">
        <w:trPr>
          <w:cantSplit/>
          <w:trHeight w:val="555"/>
        </w:trPr>
        <w:tc>
          <w:tcPr>
            <w:tcW w:w="2737" w:type="dxa"/>
          </w:tcPr>
          <w:p w14:paraId="2DC1046B" w14:textId="07942F90"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14:paraId="60D33F8E" w14:textId="3BA74C9A" w:rsidR="00E65461" w:rsidRPr="00506990" w:rsidRDefault="00E6546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 ,</w:t>
            </w:r>
            <w:r w:rsidR="00543E6E" w:rsidRPr="0098446E">
              <w:rPr>
                <w:rFonts w:ascii="Times New Roman" w:hAnsi="Times New Roman"/>
                <w:color w:val="0D0D0D" w:themeColor="text1" w:themeTint="F2"/>
                <w:sz w:val="22"/>
                <w:szCs w:val="22"/>
                <w:lang w:val="es-AR"/>
              </w:rPr>
              <w:t xml:space="preserve"> INTL Cibsa S.A.</w:t>
            </w:r>
            <w:r w:rsidR="002B53EF" w:rsidRPr="0098446E">
              <w:rPr>
                <w:rFonts w:ascii="Times New Roman" w:hAnsi="Times New Roman"/>
                <w:color w:val="0D0D0D" w:themeColor="text1" w:themeTint="F2"/>
                <w:sz w:val="22"/>
                <w:szCs w:val="22"/>
                <w:lang w:val="es-AR"/>
              </w:rPr>
              <w:t xml:space="preserve"> y</w:t>
            </w:r>
            <w:r w:rsidR="00543E6E" w:rsidRPr="0098446E">
              <w:rPr>
                <w:rFonts w:ascii="Times New Roman" w:hAnsi="Times New Roman"/>
                <w:color w:val="0D0D0D" w:themeColor="text1" w:themeTint="F2"/>
                <w:sz w:val="22"/>
                <w:szCs w:val="22"/>
                <w:lang w:val="es-AR"/>
              </w:rPr>
              <w:t xml:space="preserve"> </w:t>
            </w:r>
            <w:r w:rsidR="00005F07">
              <w:rPr>
                <w:rFonts w:ascii="Times New Roman" w:hAnsi="Times New Roman"/>
                <w:color w:val="0D0D0D" w:themeColor="text1" w:themeTint="F2"/>
                <w:sz w:val="22"/>
                <w:szCs w:val="22"/>
                <w:lang w:val="es-AR"/>
              </w:rPr>
              <w:t>Option Securities</w:t>
            </w:r>
            <w:r w:rsidR="00E23F41" w:rsidRPr="0098446E">
              <w:rPr>
                <w:rFonts w:ascii="Times New Roman" w:hAnsi="Times New Roman"/>
                <w:color w:val="0D0D0D" w:themeColor="text1" w:themeTint="F2"/>
                <w:sz w:val="22"/>
                <w:szCs w:val="22"/>
                <w:lang w:val="es-AR"/>
              </w:rPr>
              <w:t xml:space="preserve"> S.A.</w:t>
            </w:r>
          </w:p>
        </w:tc>
      </w:tr>
      <w:tr w:rsidR="00BA3476" w:rsidRPr="00506990" w14:paraId="555FB901" w14:textId="77777777" w:rsidTr="006F15A1">
        <w:trPr>
          <w:cantSplit/>
          <w:trHeight w:val="1023"/>
        </w:trPr>
        <w:tc>
          <w:tcPr>
            <w:tcW w:w="2737" w:type="dxa"/>
          </w:tcPr>
          <w:p w14:paraId="51B34559" w14:textId="17EF790A"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Relaciones entre las partes</w:t>
            </w:r>
          </w:p>
        </w:tc>
        <w:tc>
          <w:tcPr>
            <w:tcW w:w="6184" w:type="dxa"/>
          </w:tcPr>
          <w:p w14:paraId="0C841AEE" w14:textId="77777777"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“CONFIBONO”.</w:t>
            </w:r>
          </w:p>
          <w:p w14:paraId="4309CED0"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
          <w:p w14:paraId="05AFA969" w14:textId="4E2CB63C"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“CONFIBONO”.</w:t>
            </w:r>
          </w:p>
          <w:p w14:paraId="47A55529" w14:textId="77777777"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14:paraId="7F3A7CAD" w14:textId="5F5D0A07"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Tinsa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Bazar Avenida S.A.</w:t>
            </w:r>
            <w:r w:rsidRPr="00506990">
              <w:rPr>
                <w:rFonts w:ascii="Times New Roman" w:hAnsi="Times New Roman"/>
              </w:rPr>
              <w:t xml:space="preserve"> </w:t>
            </w:r>
          </w:p>
          <w:p w14:paraId="48097A33" w14:textId="3D4CBB05" w:rsidR="00813740" w:rsidRPr="00506990" w:rsidRDefault="00813740" w:rsidP="00B62265">
            <w:pPr>
              <w:pStyle w:val="Textonotapie"/>
              <w:suppressAutoHyphens/>
              <w:rPr>
                <w:rFonts w:ascii="Times New Roman" w:hAnsi="Times New Roman"/>
              </w:rPr>
            </w:pPr>
          </w:p>
          <w:p w14:paraId="7803C095" w14:textId="20F1942B"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Tinsa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Marsan y Wiseconsol son titulares de TINSA S.A., ambos con el 50% de participación y a su vez accionistas de Consumo S.A.</w:t>
            </w:r>
            <w:r w:rsidRPr="00506990">
              <w:rPr>
                <w:rFonts w:ascii="Times New Roman" w:hAnsi="Times New Roman"/>
              </w:rPr>
              <w:t xml:space="preserve"> </w:t>
            </w:r>
          </w:p>
          <w:p w14:paraId="65785B9E" w14:textId="7C14DE69"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14:paraId="3470DD11" w14:textId="77777777" w:rsidTr="004E4AC6">
        <w:trPr>
          <w:cantSplit/>
          <w:trHeight w:val="444"/>
        </w:trPr>
        <w:tc>
          <w:tcPr>
            <w:tcW w:w="2737" w:type="dxa"/>
          </w:tcPr>
          <w:p w14:paraId="459E0AF8"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14:paraId="5B17A063" w14:textId="12E5932D"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 de Créditos.</w:t>
            </w:r>
          </w:p>
        </w:tc>
      </w:tr>
      <w:tr w:rsidR="00482F96" w:rsidRPr="00506990" w14:paraId="5058835B" w14:textId="77777777" w:rsidTr="004E4AC6">
        <w:trPr>
          <w:cantSplit/>
          <w:trHeight w:val="1825"/>
        </w:trPr>
        <w:tc>
          <w:tcPr>
            <w:tcW w:w="2737" w:type="dxa"/>
          </w:tcPr>
          <w:p w14:paraId="28CFD00F" w14:textId="77777777"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Bienes Fideicomitidos</w:t>
            </w:r>
          </w:p>
        </w:tc>
        <w:tc>
          <w:tcPr>
            <w:tcW w:w="6184" w:type="dxa"/>
          </w:tcPr>
          <w:p w14:paraId="476D8A1E" w14:textId="0F56A861" w:rsidR="00275F22" w:rsidRPr="00506990"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También constituyen Bienes Fideicomitidos,</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tc>
      </w:tr>
      <w:tr w:rsidR="00482F96" w:rsidRPr="00506990" w14:paraId="76CE55A1" w14:textId="77777777" w:rsidTr="00576A80">
        <w:trPr>
          <w:cantSplit/>
          <w:trHeight w:val="279"/>
        </w:trPr>
        <w:tc>
          <w:tcPr>
            <w:tcW w:w="2737" w:type="dxa"/>
            <w:tcBorders>
              <w:bottom w:val="single" w:sz="6" w:space="0" w:color="auto"/>
            </w:tcBorders>
          </w:tcPr>
          <w:p w14:paraId="28CE7038"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Valores de Deuda Fiduciaria Clase A (“VDFA”)</w:t>
            </w:r>
          </w:p>
        </w:tc>
        <w:tc>
          <w:tcPr>
            <w:tcW w:w="6184" w:type="dxa"/>
            <w:tcBorders>
              <w:bottom w:val="single" w:sz="6" w:space="0" w:color="auto"/>
            </w:tcBorders>
          </w:tcPr>
          <w:p w14:paraId="56ACEC43" w14:textId="28EBD6ED"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Valor nominal equivalente al </w:t>
            </w:r>
            <w:r w:rsidR="00196B3E" w:rsidRPr="0098446E">
              <w:rPr>
                <w:rFonts w:ascii="Times New Roman" w:hAnsi="Times New Roman"/>
                <w:iCs/>
                <w:color w:val="0D0D0D" w:themeColor="text1" w:themeTint="F2"/>
                <w:sz w:val="22"/>
                <w:szCs w:val="22"/>
              </w:rPr>
              <w:t>9</w:t>
            </w:r>
            <w:r w:rsidR="00012497">
              <w:rPr>
                <w:rFonts w:ascii="Times New Roman" w:hAnsi="Times New Roman"/>
                <w:iCs/>
                <w:color w:val="0D0D0D" w:themeColor="text1" w:themeTint="F2"/>
                <w:sz w:val="22"/>
                <w:szCs w:val="22"/>
              </w:rPr>
              <w:t>2</w:t>
            </w:r>
            <w:r w:rsidR="00196B3E" w:rsidRPr="0098446E">
              <w:rPr>
                <w:rFonts w:ascii="Times New Roman" w:hAnsi="Times New Roman"/>
                <w:iCs/>
                <w:color w:val="0D0D0D" w:themeColor="text1" w:themeTint="F2"/>
                <w:sz w:val="22"/>
                <w:szCs w:val="22"/>
              </w:rPr>
              <w:t>,</w:t>
            </w:r>
            <w:r w:rsidR="00012497">
              <w:rPr>
                <w:rFonts w:ascii="Times New Roman" w:hAnsi="Times New Roman"/>
                <w:iCs/>
                <w:color w:val="0D0D0D" w:themeColor="text1" w:themeTint="F2"/>
                <w:sz w:val="22"/>
                <w:szCs w:val="22"/>
              </w:rPr>
              <w:t>20</w:t>
            </w:r>
            <w:r w:rsidRPr="00506990">
              <w:rPr>
                <w:rFonts w:ascii="Times New Roman" w:hAnsi="Times New Roman"/>
                <w:iCs/>
                <w:color w:val="0D0D0D" w:themeColor="text1" w:themeTint="F2"/>
                <w:sz w:val="22"/>
                <w:szCs w:val="22"/>
              </w:rPr>
              <w:t>% del valor fideicomitido de los Créditos transferidos al Fideicomiso, es decir, $</w:t>
            </w:r>
            <w:r w:rsidR="00196B3E" w:rsidRPr="0098446E">
              <w:rPr>
                <w:rFonts w:ascii="Times New Roman" w:hAnsi="Times New Roman"/>
                <w:iCs/>
                <w:color w:val="0D0D0D" w:themeColor="text1" w:themeTint="F2"/>
                <w:sz w:val="22"/>
                <w:szCs w:val="22"/>
              </w:rPr>
              <w:t>111.000</w:t>
            </w:r>
            <w:r w:rsidRPr="00506990">
              <w:rPr>
                <w:rFonts w:ascii="Times New Roman" w:hAnsi="Times New Roman"/>
                <w:iCs/>
                <w:color w:val="0D0D0D" w:themeColor="text1" w:themeTint="F2"/>
                <w:sz w:val="22"/>
                <w:szCs w:val="22"/>
              </w:rPr>
              <w:t xml:space="preserve">.000.- (pesos </w:t>
            </w:r>
            <w:r w:rsidR="00196B3E" w:rsidRPr="00506990">
              <w:rPr>
                <w:rFonts w:ascii="Times New Roman" w:hAnsi="Times New Roman"/>
                <w:iCs/>
                <w:color w:val="0D0D0D" w:themeColor="text1" w:themeTint="F2"/>
                <w:sz w:val="22"/>
                <w:szCs w:val="22"/>
              </w:rPr>
              <w:t>ciento once millones</w:t>
            </w:r>
            <w:r w:rsidRPr="00506990">
              <w:rPr>
                <w:rFonts w:ascii="Times New Roman" w:hAnsi="Times New Roman"/>
                <w:iCs/>
                <w:color w:val="0D0D0D" w:themeColor="text1" w:themeTint="F2"/>
                <w:sz w:val="22"/>
                <w:szCs w:val="22"/>
              </w:rPr>
              <w:t>) con derecho a pagos mensuales de los siguientes Servicios, una vez deducidas las contribuciones al Fondo de Gastos - de corresponder-: (i) en concepto de interés, una tasa</w:t>
            </w:r>
            <w:r w:rsidRPr="0098446E">
              <w:rPr>
                <w:rFonts w:ascii="Times New Roman" w:hAnsi="Times New Roman"/>
              </w:rPr>
              <w:t xml:space="preserve"> </w:t>
            </w:r>
            <w:r w:rsidRPr="00506990">
              <w:rPr>
                <w:rFonts w:ascii="Times New Roman" w:hAnsi="Times New Roman"/>
                <w:iCs/>
                <w:color w:val="0D0D0D" w:themeColor="text1" w:themeTint="F2"/>
                <w:sz w:val="22"/>
                <w:szCs w:val="22"/>
              </w:rPr>
              <w:t xml:space="preserve">variable equivalente a la Tasa BADLAR  más 100 puntos básicos anuales, con un mínimo de </w:t>
            </w:r>
            <w:r w:rsidR="00012497">
              <w:rPr>
                <w:rFonts w:ascii="Times New Roman" w:hAnsi="Times New Roman"/>
                <w:iCs/>
                <w:color w:val="0D0D0D" w:themeColor="text1" w:themeTint="F2"/>
                <w:sz w:val="22"/>
                <w:szCs w:val="22"/>
              </w:rPr>
              <w:t>37</w:t>
            </w:r>
            <w:r w:rsidRPr="00506990">
              <w:rPr>
                <w:rFonts w:ascii="Times New Roman" w:hAnsi="Times New Roman"/>
                <w:iCs/>
                <w:color w:val="0D0D0D" w:themeColor="text1" w:themeTint="F2"/>
                <w:sz w:val="22"/>
                <w:szCs w:val="22"/>
              </w:rPr>
              <w:t xml:space="preserve">,0% nominal anual y con un máximo de </w:t>
            </w:r>
            <w:r w:rsidR="00012497">
              <w:rPr>
                <w:rFonts w:ascii="Times New Roman" w:hAnsi="Times New Roman"/>
                <w:iCs/>
                <w:color w:val="0D0D0D" w:themeColor="text1" w:themeTint="F2"/>
                <w:sz w:val="22"/>
                <w:szCs w:val="22"/>
              </w:rPr>
              <w:t>47</w:t>
            </w:r>
            <w:r w:rsidRPr="00506990">
              <w:rPr>
                <w:rFonts w:ascii="Times New Roman" w:hAnsi="Times New Roman"/>
                <w:iCs/>
                <w:color w:val="0D0D0D" w:themeColor="text1" w:themeTint="F2"/>
                <w:sz w:val="22"/>
                <w:szCs w:val="22"/>
              </w:rPr>
              <w:t xml:space="preserve">,0% nominal anual, devengado durante el Período de Devengamiento, y (ii) en concepto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 </w:t>
            </w:r>
          </w:p>
          <w:p w14:paraId="1DAFA80A" w14:textId="42F09AA2" w:rsidR="007224C7" w:rsidRPr="00506990" w:rsidRDefault="00B37B6D" w:rsidP="0098446E">
            <w:pPr>
              <w:widowControl w:val="0"/>
              <w:suppressAutoHyphens/>
              <w:autoSpaceDE w:val="0"/>
              <w:autoSpaceDN w:val="0"/>
              <w:rPr>
                <w:rFonts w:ascii="Times New Roman" w:hAnsi="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 en alguna Fecha de Pago de Servicios en la cual corresponda pagar a los VDFA no existieren fondos suficientes para el pago total de los intereses devengados de dicha clase, los intereses devengados impagos se sumarán al saldo impago de capital de los VDFA conforme al art 770 del Código Civil y Comercial de la Nación</w:t>
            </w:r>
          </w:p>
        </w:tc>
      </w:tr>
      <w:tr w:rsidR="00482F96" w:rsidRPr="00506990" w14:paraId="5DFD2AED" w14:textId="77777777" w:rsidTr="00F8107E">
        <w:trPr>
          <w:cantSplit/>
          <w:trHeight w:val="3485"/>
        </w:trPr>
        <w:tc>
          <w:tcPr>
            <w:tcW w:w="2737" w:type="dxa"/>
            <w:tcBorders>
              <w:bottom w:val="single" w:sz="4" w:space="0" w:color="auto"/>
            </w:tcBorders>
          </w:tcPr>
          <w:p w14:paraId="64B8050F"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Clase B (“VDFB”) </w:t>
            </w:r>
          </w:p>
        </w:tc>
        <w:tc>
          <w:tcPr>
            <w:tcW w:w="6184" w:type="dxa"/>
            <w:tcBorders>
              <w:bottom w:val="single" w:sz="4" w:space="0" w:color="auto"/>
            </w:tcBorders>
          </w:tcPr>
          <w:p w14:paraId="21A8BFF5" w14:textId="1F278F74" w:rsidR="00275F22" w:rsidRPr="00506990" w:rsidRDefault="00275F22">
            <w:pPr>
              <w:pStyle w:val="Textonotapie"/>
              <w:suppressAutoHyphens/>
              <w:rPr>
                <w:rFonts w:ascii="Times New Roman" w:hAnsi="Times New Roman"/>
                <w:iCs/>
                <w:color w:val="0D0D0D" w:themeColor="text1" w:themeTint="F2"/>
                <w:sz w:val="22"/>
                <w:szCs w:val="22"/>
              </w:rPr>
            </w:pPr>
          </w:p>
          <w:p w14:paraId="74AC1627" w14:textId="5BA50187"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Valor nominal equivalente al </w:t>
            </w:r>
            <w:r w:rsidR="00012497">
              <w:rPr>
                <w:rFonts w:ascii="Times New Roman" w:hAnsi="Times New Roman"/>
                <w:iCs/>
                <w:color w:val="0D0D0D" w:themeColor="text1" w:themeTint="F2"/>
                <w:sz w:val="22"/>
                <w:szCs w:val="22"/>
              </w:rPr>
              <w:t>7</w:t>
            </w:r>
            <w:r w:rsidR="00196B3E" w:rsidRPr="0098446E">
              <w:rPr>
                <w:rFonts w:ascii="Times New Roman" w:hAnsi="Times New Roman"/>
                <w:iCs/>
                <w:color w:val="0D0D0D" w:themeColor="text1" w:themeTint="F2"/>
                <w:sz w:val="22"/>
                <w:szCs w:val="22"/>
              </w:rPr>
              <w:t>,</w:t>
            </w:r>
            <w:r w:rsidR="00012497">
              <w:rPr>
                <w:rFonts w:ascii="Times New Roman" w:hAnsi="Times New Roman"/>
                <w:iCs/>
                <w:color w:val="0D0D0D" w:themeColor="text1" w:themeTint="F2"/>
                <w:sz w:val="22"/>
                <w:szCs w:val="22"/>
              </w:rPr>
              <w:t>80</w:t>
            </w:r>
            <w:r w:rsidRPr="00506990">
              <w:rPr>
                <w:rFonts w:ascii="Times New Roman" w:hAnsi="Times New Roman"/>
                <w:iCs/>
                <w:color w:val="0D0D0D" w:themeColor="text1" w:themeTint="F2"/>
                <w:sz w:val="22"/>
                <w:szCs w:val="22"/>
              </w:rPr>
              <w:t>% del valor fideicomitido de los Créditos transferidos al Fideicomiso, es decir $</w:t>
            </w:r>
            <w:r w:rsidR="00012497">
              <w:rPr>
                <w:rFonts w:ascii="Times New Roman" w:hAnsi="Times New Roman"/>
                <w:iCs/>
                <w:color w:val="0D0D0D" w:themeColor="text1" w:themeTint="F2"/>
                <w:sz w:val="22"/>
                <w:szCs w:val="22"/>
              </w:rPr>
              <w:t>9</w:t>
            </w:r>
            <w:r w:rsidR="00196B3E" w:rsidRPr="0098446E">
              <w:rPr>
                <w:rFonts w:ascii="Times New Roman" w:hAnsi="Times New Roman"/>
                <w:iCs/>
                <w:color w:val="0D0D0D" w:themeColor="text1" w:themeTint="F2"/>
                <w:sz w:val="22"/>
                <w:szCs w:val="22"/>
              </w:rPr>
              <w:t>.</w:t>
            </w:r>
            <w:r w:rsidR="00012497">
              <w:rPr>
                <w:rFonts w:ascii="Times New Roman" w:hAnsi="Times New Roman"/>
                <w:iCs/>
                <w:color w:val="0D0D0D" w:themeColor="text1" w:themeTint="F2"/>
                <w:sz w:val="22"/>
                <w:szCs w:val="22"/>
              </w:rPr>
              <w:t>391</w:t>
            </w:r>
            <w:r w:rsidR="00196B3E" w:rsidRPr="0098446E">
              <w:rPr>
                <w:rFonts w:ascii="Times New Roman" w:hAnsi="Times New Roman"/>
                <w:iCs/>
                <w:color w:val="0D0D0D" w:themeColor="text1" w:themeTint="F2"/>
                <w:sz w:val="22"/>
                <w:szCs w:val="22"/>
              </w:rPr>
              <w:t>.</w:t>
            </w:r>
            <w:r w:rsidR="00012497">
              <w:rPr>
                <w:rFonts w:ascii="Times New Roman" w:hAnsi="Times New Roman"/>
                <w:iCs/>
                <w:color w:val="0D0D0D" w:themeColor="text1" w:themeTint="F2"/>
                <w:sz w:val="22"/>
                <w:szCs w:val="22"/>
              </w:rPr>
              <w:t>496</w:t>
            </w:r>
            <w:r w:rsidRPr="00506990">
              <w:rPr>
                <w:rFonts w:ascii="Times New Roman" w:hAnsi="Times New Roman"/>
                <w:bCs/>
                <w:iCs/>
                <w:color w:val="0D0D0D" w:themeColor="text1" w:themeTint="F2"/>
                <w:sz w:val="22"/>
                <w:szCs w:val="22"/>
              </w:rPr>
              <w:t>.</w:t>
            </w:r>
            <w:r w:rsidRPr="00506990">
              <w:rPr>
                <w:rFonts w:ascii="Times New Roman" w:hAnsi="Times New Roman"/>
                <w:iCs/>
                <w:color w:val="0D0D0D" w:themeColor="text1" w:themeTint="F2"/>
                <w:sz w:val="22"/>
                <w:szCs w:val="22"/>
              </w:rPr>
              <w:t xml:space="preserve">- (pesos </w:t>
            </w:r>
            <w:r w:rsidR="00012497">
              <w:rPr>
                <w:rFonts w:ascii="Times New Roman" w:hAnsi="Times New Roman"/>
                <w:iCs/>
                <w:color w:val="0D0D0D" w:themeColor="text1" w:themeTint="F2"/>
                <w:sz w:val="22"/>
                <w:szCs w:val="22"/>
              </w:rPr>
              <w:t>nueve</w:t>
            </w:r>
            <w:r w:rsidRPr="00506990">
              <w:rPr>
                <w:rFonts w:ascii="Times New Roman" w:hAnsi="Times New Roman"/>
                <w:iCs/>
                <w:color w:val="0D0D0D" w:themeColor="text1" w:themeTint="F2"/>
                <w:sz w:val="22"/>
                <w:szCs w:val="22"/>
              </w:rPr>
              <w:t xml:space="preserve"> millones </w:t>
            </w:r>
            <w:r w:rsidR="00012497">
              <w:rPr>
                <w:rFonts w:ascii="Times New Roman" w:hAnsi="Times New Roman"/>
                <w:iCs/>
                <w:color w:val="0D0D0D" w:themeColor="text1" w:themeTint="F2"/>
                <w:sz w:val="22"/>
                <w:szCs w:val="22"/>
              </w:rPr>
              <w:t>trescientos noventa y un mil cuatrocientos noventa y seis</w:t>
            </w:r>
            <w:r w:rsidRPr="00506990">
              <w:rPr>
                <w:rFonts w:ascii="Times New Roman" w:hAnsi="Times New Roman"/>
                <w:iCs/>
                <w:color w:val="0D0D0D" w:themeColor="text1" w:themeTint="F2"/>
                <w:sz w:val="22"/>
                <w:szCs w:val="22"/>
              </w:rPr>
              <w:t>) con derecho a pagos de Servicios mensuales una vez cancelados íntegramente los Servicios de los Valores de Deuda Fiduciaria Clase A y una vez deducidas las contribuciones la Fondo de Gastos - de corresponder-: (i) en concepto de interés, una tasa</w:t>
            </w:r>
            <w:r w:rsidRPr="0098446E">
              <w:rPr>
                <w:rFonts w:ascii="Times New Roman" w:hAnsi="Times New Roman"/>
              </w:rPr>
              <w:t xml:space="preserve"> </w:t>
            </w:r>
            <w:r w:rsidRPr="00506990">
              <w:rPr>
                <w:rFonts w:ascii="Times New Roman" w:hAnsi="Times New Roman"/>
                <w:iCs/>
                <w:color w:val="0D0D0D" w:themeColor="text1" w:themeTint="F2"/>
                <w:sz w:val="22"/>
                <w:szCs w:val="22"/>
              </w:rPr>
              <w:t xml:space="preserve">variable equivalente a la Tasa BADLAR  más 300 puntos básicos anuales, con un mínimo de </w:t>
            </w:r>
            <w:r w:rsidR="005F533D">
              <w:rPr>
                <w:rFonts w:ascii="Times New Roman" w:hAnsi="Times New Roman"/>
                <w:iCs/>
                <w:color w:val="0D0D0D" w:themeColor="text1" w:themeTint="F2"/>
                <w:sz w:val="22"/>
                <w:szCs w:val="22"/>
              </w:rPr>
              <w:t>38</w:t>
            </w:r>
            <w:r w:rsidRPr="00506990">
              <w:rPr>
                <w:rFonts w:ascii="Times New Roman" w:hAnsi="Times New Roman"/>
                <w:iCs/>
                <w:color w:val="0D0D0D" w:themeColor="text1" w:themeTint="F2"/>
                <w:sz w:val="22"/>
                <w:szCs w:val="22"/>
              </w:rPr>
              <w:t xml:space="preserve">,0% nominal anual y con un máximo de </w:t>
            </w:r>
            <w:r w:rsidR="00012497">
              <w:rPr>
                <w:rFonts w:ascii="Times New Roman" w:hAnsi="Times New Roman"/>
                <w:iCs/>
                <w:color w:val="0D0D0D" w:themeColor="text1" w:themeTint="F2"/>
                <w:sz w:val="22"/>
                <w:szCs w:val="22"/>
              </w:rPr>
              <w:t>48</w:t>
            </w:r>
            <w:r w:rsidRPr="00506990">
              <w:rPr>
                <w:rFonts w:ascii="Times New Roman" w:hAnsi="Times New Roman"/>
                <w:iCs/>
                <w:color w:val="0D0D0D" w:themeColor="text1" w:themeTint="F2"/>
                <w:sz w:val="22"/>
                <w:szCs w:val="22"/>
              </w:rPr>
              <w:t xml:space="preserve">,0% nominal anual, devengado durante el Período de Devengamiento, y (ii) en concepto de amortización, la Cobranza percibida durante el Período de Devengamiento correspondiente, luego de deducir el interés de la propia Clase. El rendimiento se calculará sobre el valor residual de los VDFB considerando para su cálculo como base un año de 360 días (12 meses de 30 días). </w:t>
            </w:r>
          </w:p>
          <w:p w14:paraId="02A70F28" w14:textId="08DACD75" w:rsidR="00B37B6D" w:rsidRPr="00506990" w:rsidRDefault="00B37B6D" w:rsidP="00B37B6D">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Si en alguna Fecha de Pago de Servicios en la cual corresponda pagar a los VDFB no existieren fondos suficientes para el pago total de los intereses devengados de dicha clase, los intereses devengados impagos se sumarán al saldo impago de capital de los VDFB conforme al art 770 del Código Civil y Comercial de la Nación.</w:t>
            </w:r>
            <w:r w:rsidRPr="00506990" w:rsidDel="0052112F">
              <w:rPr>
                <w:rFonts w:ascii="Times New Roman" w:hAnsi="Times New Roman"/>
                <w:iCs/>
                <w:color w:val="0D0D0D" w:themeColor="text1" w:themeTint="F2"/>
                <w:sz w:val="22"/>
                <w:szCs w:val="22"/>
              </w:rPr>
              <w:t xml:space="preserve">  </w:t>
            </w:r>
          </w:p>
        </w:tc>
      </w:tr>
      <w:tr w:rsidR="00482F96" w:rsidRPr="00506990" w14:paraId="7D986DC5" w14:textId="77777777" w:rsidTr="00F8107E">
        <w:trPr>
          <w:cantSplit/>
          <w:trHeight w:val="1919"/>
        </w:trPr>
        <w:tc>
          <w:tcPr>
            <w:tcW w:w="2737" w:type="dxa"/>
          </w:tcPr>
          <w:p w14:paraId="1278EAB2" w14:textId="77777777"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Periodo de </w:t>
            </w:r>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
          <w:p w14:paraId="2B775A95"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1CDABF74"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0EEF76E5"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13B0FA0C"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07756372"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3D74D20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45AA0034"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136C5EA" w14:textId="43D05C72"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p>
        </w:tc>
        <w:tc>
          <w:tcPr>
            <w:tcW w:w="6184" w:type="dxa"/>
          </w:tcPr>
          <w:p w14:paraId="1F5B839B" w14:textId="453B780A" w:rsidR="00BC12DC" w:rsidRPr="00506990" w:rsidRDefault="00BC12DC" w:rsidP="00AA7418">
            <w:pPr>
              <w:suppressAutoHyphens/>
              <w:rPr>
                <w:rFonts w:ascii="Times New Roman" w:hAnsi="Times New Roman" w:cs="Times New Roman"/>
                <w:iCs/>
                <w:color w:val="0D0D0D" w:themeColor="text1" w:themeTint="F2"/>
                <w:sz w:val="22"/>
                <w:szCs w:val="22"/>
              </w:rPr>
            </w:pPr>
          </w:p>
          <w:p w14:paraId="47F0D7ED" w14:textId="413C4D6C"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14:paraId="26E56F2D" w14:textId="77777777">
        <w:trPr>
          <w:cantSplit/>
          <w:trHeight w:val="287"/>
        </w:trPr>
        <w:tc>
          <w:tcPr>
            <w:tcW w:w="2737" w:type="dxa"/>
          </w:tcPr>
          <w:p w14:paraId="568CBE80" w14:textId="4C101C64"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14:paraId="70750DE3"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5A2B20D"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D958ED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1F9BAC0" w14:textId="13FE8E1D"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14:paraId="221B1EBF" w14:textId="77777777"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14:paraId="279E9DD1" w14:textId="77777777" w:rsidR="00BD6597" w:rsidRPr="00506990" w:rsidRDefault="00BD6597" w:rsidP="00E2114F">
            <w:pPr>
              <w:suppressAutoHyphens/>
              <w:rPr>
                <w:rFonts w:ascii="Times New Roman" w:hAnsi="Times New Roman" w:cs="Times New Roman"/>
                <w:iCs/>
                <w:color w:val="0D0D0D" w:themeColor="text1" w:themeTint="F2"/>
                <w:sz w:val="22"/>
                <w:szCs w:val="22"/>
              </w:rPr>
            </w:pPr>
          </w:p>
          <w:p w14:paraId="0B192602" w14:textId="77777777"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14:paraId="747E2885" w14:textId="05B594D3"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14:paraId="2A0CE0E4" w14:textId="77777777" w:rsidTr="006F15A1">
        <w:trPr>
          <w:cantSplit/>
          <w:trHeight w:val="694"/>
        </w:trPr>
        <w:tc>
          <w:tcPr>
            <w:tcW w:w="2737" w:type="dxa"/>
          </w:tcPr>
          <w:p w14:paraId="675EA813" w14:textId="5ED3CE5A" w:rsidR="000157B5" w:rsidRPr="00506990" w:rsidRDefault="000157B5"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Corte</w:t>
            </w:r>
          </w:p>
        </w:tc>
        <w:tc>
          <w:tcPr>
            <w:tcW w:w="6184" w:type="dxa"/>
          </w:tcPr>
          <w:p w14:paraId="3562CADA" w14:textId="186453ED" w:rsidR="000157B5" w:rsidRPr="0098446E" w:rsidRDefault="00656C52" w:rsidP="00656C52">
            <w:pPr>
              <w:suppressAutoHyphens/>
              <w:rPr>
                <w:rStyle w:val="Textoennegrita"/>
                <w:rFonts w:ascii="Times New Roman" w:hAnsi="Times New Roman"/>
                <w:iCs/>
                <w:color w:val="0D0D0D" w:themeColor="text1" w:themeTint="F2"/>
                <w:sz w:val="22"/>
                <w:szCs w:val="22"/>
              </w:rPr>
            </w:pPr>
            <w:r w:rsidRPr="0098446E">
              <w:rPr>
                <w:rFonts w:ascii="Times New Roman" w:hAnsi="Times New Roman" w:cs="Times New Roman"/>
                <w:bCs/>
                <w:iCs/>
                <w:color w:val="0D0D0D" w:themeColor="text1" w:themeTint="F2"/>
                <w:sz w:val="22"/>
                <w:szCs w:val="22"/>
              </w:rPr>
              <w:t>31</w:t>
            </w:r>
            <w:r w:rsidR="00AC693D">
              <w:rPr>
                <w:rFonts w:ascii="Times New Roman" w:hAnsi="Times New Roman" w:cs="Times New Roman"/>
                <w:bCs/>
                <w:iCs/>
                <w:color w:val="0D0D0D" w:themeColor="text1" w:themeTint="F2"/>
                <w:sz w:val="22"/>
                <w:szCs w:val="22"/>
              </w:rPr>
              <w:t xml:space="preserve"> </w:t>
            </w:r>
            <w:r w:rsidR="004D7449" w:rsidRPr="00AC693D">
              <w:rPr>
                <w:rFonts w:ascii="Times New Roman" w:hAnsi="Times New Roman" w:cs="Times New Roman"/>
                <w:bCs/>
                <w:iCs/>
                <w:color w:val="0D0D0D" w:themeColor="text1" w:themeTint="F2"/>
                <w:sz w:val="22"/>
                <w:szCs w:val="22"/>
              </w:rPr>
              <w:t xml:space="preserve">de </w:t>
            </w:r>
            <w:r w:rsidRPr="00AC693D">
              <w:rPr>
                <w:rFonts w:ascii="Times New Roman" w:hAnsi="Times New Roman" w:cs="Times New Roman"/>
                <w:bCs/>
                <w:iCs/>
                <w:color w:val="0D0D0D" w:themeColor="text1" w:themeTint="F2"/>
                <w:sz w:val="22"/>
                <w:szCs w:val="22"/>
              </w:rPr>
              <w:t>enero</w:t>
            </w:r>
            <w:r w:rsidR="00AC693D" w:rsidRPr="00AC693D">
              <w:rPr>
                <w:rFonts w:ascii="Times New Roman" w:hAnsi="Times New Roman" w:cs="Times New Roman"/>
                <w:bCs/>
                <w:iCs/>
                <w:color w:val="0D0D0D" w:themeColor="text1" w:themeTint="F2"/>
                <w:sz w:val="22"/>
                <w:szCs w:val="22"/>
              </w:rPr>
              <w:t xml:space="preserve"> </w:t>
            </w:r>
            <w:r w:rsidR="004D7449" w:rsidRPr="00AC693D">
              <w:rPr>
                <w:rFonts w:ascii="Times New Roman" w:hAnsi="Times New Roman" w:cs="Times New Roman"/>
                <w:bCs/>
                <w:iCs/>
                <w:color w:val="0D0D0D" w:themeColor="text1" w:themeTint="F2"/>
                <w:sz w:val="22"/>
                <w:szCs w:val="22"/>
              </w:rPr>
              <w:t>de 20</w:t>
            </w:r>
            <w:r w:rsidRPr="00AC693D">
              <w:rPr>
                <w:rFonts w:ascii="Times New Roman" w:hAnsi="Times New Roman" w:cs="Times New Roman"/>
                <w:bCs/>
                <w:iCs/>
                <w:color w:val="0D0D0D" w:themeColor="text1" w:themeTint="F2"/>
                <w:sz w:val="22"/>
                <w:szCs w:val="22"/>
              </w:rPr>
              <w:t>20</w:t>
            </w:r>
          </w:p>
        </w:tc>
      </w:tr>
      <w:tr w:rsidR="000157B5" w:rsidRPr="00506990" w14:paraId="0AA012AF" w14:textId="77777777" w:rsidTr="006F15A1">
        <w:trPr>
          <w:cantSplit/>
          <w:trHeight w:val="1818"/>
        </w:trPr>
        <w:tc>
          <w:tcPr>
            <w:tcW w:w="2737" w:type="dxa"/>
          </w:tcPr>
          <w:p w14:paraId="364FA2BB" w14:textId="4F112F5B" w:rsidR="000157B5" w:rsidRPr="00506990" w:rsidRDefault="000157B5">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Forma </w:t>
            </w:r>
            <w:r w:rsidR="000F3020" w:rsidRPr="00506990">
              <w:rPr>
                <w:rFonts w:ascii="Times New Roman" w:hAnsi="Times New Roman" w:cs="Times New Roman"/>
                <w:b/>
                <w:bCs/>
                <w:iCs/>
                <w:color w:val="0D0D0D" w:themeColor="text1" w:themeTint="F2"/>
                <w:sz w:val="22"/>
                <w:szCs w:val="22"/>
              </w:rPr>
              <w:t xml:space="preserve">en que están representados </w:t>
            </w:r>
            <w:r w:rsidRPr="00506990">
              <w:rPr>
                <w:rFonts w:ascii="Times New Roman" w:hAnsi="Times New Roman" w:cs="Times New Roman"/>
                <w:b/>
                <w:bCs/>
                <w:iCs/>
                <w:color w:val="0D0D0D" w:themeColor="text1" w:themeTint="F2"/>
                <w:sz w:val="22"/>
                <w:szCs w:val="22"/>
              </w:rPr>
              <w:t xml:space="preserve">los Valores </w:t>
            </w:r>
            <w:r w:rsidR="00C1102A" w:rsidRPr="00B43F7C">
              <w:rPr>
                <w:rFonts w:ascii="Times New Roman" w:hAnsi="Times New Roman" w:cs="Times New Roman"/>
                <w:b/>
                <w:iCs/>
                <w:color w:val="0D0D0D" w:themeColor="text1" w:themeTint="F2"/>
                <w:sz w:val="22"/>
                <w:szCs w:val="22"/>
                <w:lang w:val="es-AR"/>
              </w:rPr>
              <w:t xml:space="preserve">de Deuda </w:t>
            </w:r>
            <w:r w:rsidR="00B866EE" w:rsidRPr="00B43F7C">
              <w:rPr>
                <w:rFonts w:ascii="Times New Roman" w:hAnsi="Times New Roman" w:cs="Times New Roman"/>
                <w:b/>
                <w:bCs/>
                <w:iCs/>
                <w:color w:val="0D0D0D" w:themeColor="text1" w:themeTint="F2"/>
                <w:sz w:val="22"/>
                <w:szCs w:val="22"/>
                <w:lang w:val="es-AR"/>
              </w:rPr>
              <w:t>Fiduciari</w:t>
            </w:r>
            <w:r w:rsidR="00C1102A" w:rsidRPr="00B43F7C">
              <w:rPr>
                <w:rFonts w:ascii="Times New Roman" w:hAnsi="Times New Roman" w:cs="Times New Roman"/>
                <w:b/>
                <w:bCs/>
                <w:iCs/>
                <w:color w:val="0D0D0D" w:themeColor="text1" w:themeTint="F2"/>
                <w:sz w:val="22"/>
                <w:szCs w:val="22"/>
                <w:lang w:val="es-AR"/>
              </w:rPr>
              <w:t>a</w:t>
            </w:r>
          </w:p>
        </w:tc>
        <w:tc>
          <w:tcPr>
            <w:tcW w:w="6184" w:type="dxa"/>
          </w:tcPr>
          <w:p w14:paraId="2822BA39" w14:textId="77777777"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Certificados Globales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14:paraId="574EF1D3" w14:textId="77777777"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14:paraId="32E5B16A" w14:textId="77777777" w:rsidTr="00BD6597">
        <w:trPr>
          <w:cantSplit/>
          <w:trHeight w:val="1559"/>
        </w:trPr>
        <w:tc>
          <w:tcPr>
            <w:tcW w:w="2737" w:type="dxa"/>
          </w:tcPr>
          <w:p w14:paraId="55EC4297" w14:textId="77777777"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r w:rsidR="00747260" w:rsidRPr="00506990">
              <w:rPr>
                <w:rFonts w:ascii="Times New Roman" w:hAnsi="Times New Roman" w:cs="Times New Roman"/>
                <w:b/>
                <w:bCs/>
                <w:iCs/>
                <w:color w:val="0D0D0D" w:themeColor="text1" w:themeTint="F2"/>
                <w:sz w:val="22"/>
                <w:szCs w:val="22"/>
              </w:rPr>
              <w:t>Colocación</w:t>
            </w:r>
            <w:r w:rsidR="00747260" w:rsidRPr="00506990">
              <w:rPr>
                <w:rFonts w:ascii="Times New Roman" w:hAnsi="Times New Roman" w:cs="Times New Roman"/>
                <w:b/>
                <w:color w:val="0D0D0D" w:themeColor="text1" w:themeTint="F2"/>
                <w:sz w:val="22"/>
                <w:szCs w:val="22"/>
              </w:rPr>
              <w:t xml:space="preserve"> </w:t>
            </w:r>
          </w:p>
          <w:p w14:paraId="609971B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9AC1D8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AF55F5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25684C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C2FFA9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7AE47B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401A91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EC0DC5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7D2526B"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AB0B81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893802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DA7652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9E069F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14E695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82D3B4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A47DD7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2092EB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2552441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00B6B9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12A768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5B051EC" w14:textId="63C390DE"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14:paraId="3ABC349E" w14:textId="5C5E7A6B"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Valores </w:t>
            </w:r>
            <w:r w:rsidRPr="00B43F7C">
              <w:rPr>
                <w:rFonts w:ascii="Times New Roman" w:hAnsi="Times New Roman" w:cs="Times New Roman"/>
                <w:iCs/>
                <w:color w:val="0D0D0D" w:themeColor="text1" w:themeTint="F2"/>
                <w:sz w:val="22"/>
                <w:szCs w:val="22"/>
                <w:lang w:val="es-AR"/>
              </w:rPr>
              <w:t xml:space="preserve">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005F07">
              <w:rPr>
                <w:rFonts w:ascii="Times New Roman" w:hAnsi="Times New Roman" w:cs="Times New Roman"/>
                <w:color w:val="0D0D0D" w:themeColor="text1" w:themeTint="F2"/>
                <w:sz w:val="22"/>
                <w:szCs w:val="22"/>
                <w:lang w:val="es-AR"/>
              </w:rPr>
              <w:t>Option</w:t>
            </w:r>
            <w:r w:rsidR="00E23F41" w:rsidRPr="0098446E">
              <w:rPr>
                <w:rFonts w:ascii="Times New Roman" w:hAnsi="Times New Roman" w:cs="Times New Roman"/>
                <w:color w:val="0D0D0D" w:themeColor="text1" w:themeTint="F2"/>
                <w:sz w:val="22"/>
                <w:szCs w:val="22"/>
                <w:lang w:val="es-AR"/>
              </w:rPr>
              <w:t xml:space="preserve"> </w:t>
            </w:r>
            <w:r w:rsidR="00005F07">
              <w:rPr>
                <w:rFonts w:ascii="Times New Roman" w:hAnsi="Times New Roman" w:cs="Times New Roman"/>
                <w:color w:val="0D0D0D" w:themeColor="text1" w:themeTint="F2"/>
                <w:sz w:val="22"/>
                <w:szCs w:val="22"/>
                <w:lang w:val="es-AR"/>
              </w:rPr>
              <w:t>Securities</w:t>
            </w:r>
            <w:r w:rsidR="00E23F41" w:rsidRPr="0098446E">
              <w:rPr>
                <w:rFonts w:ascii="Times New Roman" w:hAnsi="Times New Roman" w:cs="Times New Roman"/>
                <w:color w:val="0D0D0D" w:themeColor="text1" w:themeTint="F2"/>
                <w:sz w:val="22"/>
                <w:szCs w:val="22"/>
                <w:lang w:val="es-AR"/>
              </w:rPr>
              <w:t xml:space="preserve"> S.A.</w:t>
            </w:r>
            <w:r w:rsidR="00FD58C4" w:rsidRPr="00506990">
              <w:rPr>
                <w:rFonts w:ascii="Times New Roman" w:hAnsi="Times New Roman" w:cs="Times New Roman"/>
                <w:color w:val="0D0D0D" w:themeColor="text1" w:themeTint="F2"/>
                <w:sz w:val="22"/>
                <w:szCs w:val="22"/>
                <w:lang w:val="es-AR"/>
              </w:rPr>
              <w:t xml:space="preserve"> </w:t>
            </w:r>
            <w:r w:rsidRPr="00506990">
              <w:rPr>
                <w:rFonts w:ascii="Times New Roman" w:hAnsi="Times New Roman" w:cs="Times New Roman"/>
                <w:color w:val="0D0D0D" w:themeColor="text1" w:themeTint="F2"/>
                <w:sz w:val="22"/>
                <w:szCs w:val="22"/>
                <w:lang w:val="es-AR"/>
              </w:rPr>
              <w:t>e INTL CIBSA S.A.,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xml:space="preserve">, como resultado de aplicar el procedimiento denominado “Subasta Holandesa Modificada”. El Mercado Argentino de Valores de S.A. actuará exclusivamente en carácter de Organizador de la Colocación y administrador del sistema de 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Valores </w:t>
            </w:r>
            <w:r w:rsidRPr="00B43F7C">
              <w:rPr>
                <w:rFonts w:ascii="Times New Roman" w:hAnsi="Times New Roman" w:cs="Times New Roman"/>
                <w:iCs/>
                <w:color w:val="0D0D0D" w:themeColor="text1" w:themeTint="F2"/>
                <w:sz w:val="22"/>
                <w:szCs w:val="22"/>
                <w:lang w:val="es-AR"/>
              </w:rPr>
              <w:t xml:space="preserve">de Deuda </w:t>
            </w:r>
            <w:r w:rsidRPr="00463985">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 xml:space="preserve">, en el que se dejará constancia que los inversores iniciales podrán retirar sus ofertas sin penalización alguna. Ver más detalles en la Sección XV “PROCEDIMIENTO DE COLOCACIÓN Y NEGOCIACIÓN DE LOS VALORES DE DEUDA </w:t>
            </w:r>
            <w:r w:rsidRPr="00B43F7C">
              <w:rPr>
                <w:rFonts w:ascii="Times New Roman" w:hAnsi="Times New Roman" w:cs="Times New Roman"/>
                <w:bCs/>
                <w:iCs/>
                <w:color w:val="0D0D0D" w:themeColor="text1" w:themeTint="F2"/>
                <w:sz w:val="22"/>
                <w:szCs w:val="22"/>
                <w:lang w:val="es-AR"/>
              </w:rPr>
              <w:t>FIDUCIARIA</w:t>
            </w:r>
            <w:r w:rsidRPr="00506990">
              <w:rPr>
                <w:rFonts w:ascii="Times New Roman" w:hAnsi="Times New Roman" w:cs="Times New Roman"/>
                <w:color w:val="0D0D0D" w:themeColor="text1" w:themeTint="F2"/>
                <w:sz w:val="22"/>
                <w:szCs w:val="22"/>
                <w:lang w:val="es-AR"/>
              </w:rPr>
              <w:t>”.</w:t>
            </w:r>
          </w:p>
          <w:p w14:paraId="45115B74"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14:paraId="16F8BCF5" w14:textId="77777777"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14:paraId="1D30D372" w14:textId="6374E818"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14:paraId="45EE3F24"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14:paraId="58438F84" w14:textId="77777777"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14:paraId="7C22AC45" w14:textId="77777777" w:rsidTr="00BD6597">
        <w:trPr>
          <w:cantSplit/>
          <w:trHeight w:val="1107"/>
        </w:trPr>
        <w:tc>
          <w:tcPr>
            <w:tcW w:w="2737" w:type="dxa"/>
          </w:tcPr>
          <w:p w14:paraId="3E107B42" w14:textId="706114D4"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Liquidación </w:t>
            </w:r>
          </w:p>
        </w:tc>
        <w:tc>
          <w:tcPr>
            <w:tcW w:w="6184" w:type="dxa"/>
          </w:tcPr>
          <w:p w14:paraId="1955657A" w14:textId="4259F200" w:rsidR="00BD6597" w:rsidRPr="00506990" w:rsidRDefault="00BD6597">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14:paraId="46D96BAC" w14:textId="77777777" w:rsidTr="00BD6597">
        <w:trPr>
          <w:cantSplit/>
          <w:trHeight w:val="1107"/>
        </w:trPr>
        <w:tc>
          <w:tcPr>
            <w:tcW w:w="2737" w:type="dxa"/>
          </w:tcPr>
          <w:p w14:paraId="3C305DF9" w14:textId="4598385D"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14:paraId="2691EA62" w14:textId="0FA5BF20" w:rsidR="00747260" w:rsidRPr="00506990" w:rsidRDefault="0074726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463985">
              <w:rPr>
                <w:rFonts w:ascii="Times New Roman" w:hAnsi="Times New Roman" w:cs="Times New Roman"/>
                <w:bCs/>
                <w:iCs/>
                <w:color w:val="0D0D0D" w:themeColor="text1" w:themeTint="F2"/>
                <w:sz w:val="22"/>
                <w:szCs w:val="22"/>
                <w:lang w:val="es-AR"/>
              </w:rPr>
              <w:t>Fiduciari</w:t>
            </w:r>
            <w:r w:rsidR="00C1102A" w:rsidRPr="00780DEA">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14:paraId="52726352" w14:textId="77777777">
        <w:trPr>
          <w:cantSplit/>
          <w:trHeight w:val="2246"/>
        </w:trPr>
        <w:tc>
          <w:tcPr>
            <w:tcW w:w="2737" w:type="dxa"/>
          </w:tcPr>
          <w:p w14:paraId="2351305A"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del Fideicomiso</w:t>
            </w:r>
          </w:p>
        </w:tc>
        <w:tc>
          <w:tcPr>
            <w:tcW w:w="6184" w:type="dxa"/>
          </w:tcPr>
          <w:p w14:paraId="29817299" w14:textId="64A1DFED"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B43F7C">
              <w:rPr>
                <w:rFonts w:ascii="Times New Roman" w:hAnsi="Times New Roman" w:cs="Times New Roman"/>
                <w:bCs/>
                <w:iCs/>
                <w:color w:val="0D0D0D" w:themeColor="text1" w:themeTint="F2"/>
                <w:sz w:val="22"/>
                <w:szCs w:val="22"/>
                <w:lang w:val="es-AR"/>
              </w:rPr>
              <w:t>Fiduciari</w:t>
            </w:r>
            <w:r w:rsidR="00C1102A" w:rsidRPr="00B43F7C">
              <w:rPr>
                <w:rFonts w:ascii="Times New Roman" w:hAnsi="Times New Roman" w:cs="Times New Roman"/>
                <w:bCs/>
                <w:iCs/>
                <w:color w:val="0D0D0D" w:themeColor="text1" w:themeTint="F2"/>
                <w:sz w:val="22"/>
                <w:szCs w:val="22"/>
                <w:lang w:val="es-AR"/>
              </w:rPr>
              <w:t>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14:paraId="7CB8A3D7" w14:textId="65C61F2E" w:rsidR="00F551BF" w:rsidRPr="00506990" w:rsidRDefault="00F551BF" w:rsidP="005B0DDC">
            <w:pPr>
              <w:suppressAutoHyphens/>
              <w:rPr>
                <w:rFonts w:ascii="Times New Roman" w:hAnsi="Times New Roman" w:cs="Times New Roman"/>
                <w:iCs/>
                <w:color w:val="0D0D0D" w:themeColor="text1" w:themeTint="F2"/>
                <w:sz w:val="22"/>
                <w:szCs w:val="22"/>
              </w:rPr>
            </w:pPr>
          </w:p>
        </w:tc>
      </w:tr>
      <w:tr w:rsidR="000157B5" w:rsidRPr="00506990" w14:paraId="6BEA5F1A" w14:textId="77777777" w:rsidTr="00F8107E">
        <w:trPr>
          <w:cantSplit/>
          <w:trHeight w:val="1450"/>
        </w:trPr>
        <w:tc>
          <w:tcPr>
            <w:tcW w:w="2737" w:type="dxa"/>
          </w:tcPr>
          <w:p w14:paraId="4C39BFCD" w14:textId="3BCDD0FD" w:rsidR="000157B5" w:rsidRPr="00506990" w:rsidRDefault="000157B5" w:rsidP="00001A9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Valores  Fiduciari</w:t>
            </w:r>
            <w:r w:rsidR="00001A96" w:rsidRPr="00506990">
              <w:rPr>
                <w:rFonts w:ascii="Times New Roman" w:hAnsi="Times New Roman" w:cs="Times New Roman"/>
                <w:b/>
                <w:bCs/>
                <w:iCs/>
                <w:color w:val="0D0D0D" w:themeColor="text1" w:themeTint="F2"/>
                <w:sz w:val="22"/>
                <w:szCs w:val="22"/>
              </w:rPr>
              <w:t>os</w:t>
            </w:r>
          </w:p>
        </w:tc>
        <w:tc>
          <w:tcPr>
            <w:tcW w:w="6184" w:type="dxa"/>
          </w:tcPr>
          <w:p w14:paraId="6D1579B1" w14:textId="12484676" w:rsidR="000157B5" w:rsidRPr="00506990" w:rsidRDefault="00B866E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las Fechas de Pago de Servicios que surgen del Cuadro de Pago de Servicios, el vencimiento final de los VDF se producirá en la Fecha de Pago de Servicios siguiente a la fecha de vencimiento normal del Crédito de mayor plazo (el “Plazo de los VDF”).</w:t>
            </w:r>
          </w:p>
        </w:tc>
      </w:tr>
      <w:tr w:rsidR="00482F96" w:rsidRPr="00506990" w14:paraId="00E71ABC" w14:textId="77777777">
        <w:trPr>
          <w:cantSplit/>
          <w:trHeight w:val="692"/>
        </w:trPr>
        <w:tc>
          <w:tcPr>
            <w:tcW w:w="2737" w:type="dxa"/>
          </w:tcPr>
          <w:p w14:paraId="2A647A61"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cierre de los Estados Contables del Fideicomiso</w:t>
            </w:r>
          </w:p>
        </w:tc>
        <w:tc>
          <w:tcPr>
            <w:tcW w:w="6184" w:type="dxa"/>
          </w:tcPr>
          <w:p w14:paraId="6BB7AFFB" w14:textId="77777777"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14:paraId="0E18F874" w14:textId="77777777" w:rsidTr="00BD6597">
        <w:trPr>
          <w:cantSplit/>
          <w:trHeight w:val="986"/>
        </w:trPr>
        <w:tc>
          <w:tcPr>
            <w:tcW w:w="2737" w:type="dxa"/>
          </w:tcPr>
          <w:p w14:paraId="64D36EC3" w14:textId="075F3D01" w:rsidR="00BD6597" w:rsidRPr="00506990" w:rsidRDefault="00BD6597" w:rsidP="005B1FC2">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Listado</w:t>
            </w:r>
            <w:r w:rsidR="0024476E" w:rsidRPr="00506990">
              <w:rPr>
                <w:rFonts w:ascii="Times New Roman" w:hAnsi="Times New Roman" w:cs="Times New Roman"/>
                <w:b/>
                <w:bCs/>
                <w:iCs/>
                <w:color w:val="0D0D0D" w:themeColor="text1" w:themeTint="F2"/>
                <w:sz w:val="22"/>
                <w:szCs w:val="22"/>
              </w:rPr>
              <w:t xml:space="preserve"> y </w:t>
            </w:r>
            <w:r w:rsidR="007E2237" w:rsidRPr="00506990">
              <w:rPr>
                <w:rFonts w:ascii="Times New Roman" w:hAnsi="Times New Roman" w:cs="Times New Roman"/>
                <w:b/>
                <w:bCs/>
                <w:iCs/>
                <w:color w:val="0D0D0D" w:themeColor="text1" w:themeTint="F2"/>
                <w:sz w:val="22"/>
                <w:szCs w:val="22"/>
              </w:rPr>
              <w:t>Negociación</w:t>
            </w:r>
          </w:p>
        </w:tc>
        <w:tc>
          <w:tcPr>
            <w:tcW w:w="6184" w:type="dxa"/>
          </w:tcPr>
          <w:p w14:paraId="1E4D1485" w14:textId="79C3E039" w:rsidR="00BD6597" w:rsidRPr="00506990" w:rsidRDefault="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podrán listarse en el Mercado Argentino de Valores S.A. (“MAV”)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14:paraId="359FF81E" w14:textId="77777777" w:rsidTr="004B600D">
        <w:trPr>
          <w:cantSplit/>
          <w:trHeight w:val="1320"/>
        </w:trPr>
        <w:tc>
          <w:tcPr>
            <w:tcW w:w="2737" w:type="dxa"/>
          </w:tcPr>
          <w:p w14:paraId="20C89862" w14:textId="77777777"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14:paraId="4A8AAEB5" w14:textId="77777777"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14:paraId="252272EF" w14:textId="69E44D4D" w:rsidR="00747260" w:rsidRPr="00506990" w:rsidRDefault="00747260" w:rsidP="00042BDE">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Valores </w:t>
            </w:r>
            <w:r w:rsidR="00C1102A"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hAnsi="Times New Roman" w:cs="Times New Roman"/>
                <w:iCs/>
                <w:color w:val="0D0D0D" w:themeColor="text1" w:themeTint="F2"/>
                <w:sz w:val="22"/>
                <w:szCs w:val="22"/>
              </w:rPr>
              <w:t>Fiduciari</w:t>
            </w:r>
            <w:r w:rsidR="00C1102A"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14:paraId="7437BCDE" w14:textId="77777777">
        <w:trPr>
          <w:cantSplit/>
          <w:trHeight w:val="1592"/>
        </w:trPr>
        <w:tc>
          <w:tcPr>
            <w:tcW w:w="2737" w:type="dxa"/>
          </w:tcPr>
          <w:p w14:paraId="024EB298" w14:textId="09FB0A4C"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Sociedad Calificadora de Riesgo. Calificaciones de Riesgo</w:t>
            </w:r>
          </w:p>
        </w:tc>
        <w:tc>
          <w:tcPr>
            <w:tcW w:w="6184" w:type="dxa"/>
          </w:tcPr>
          <w:p w14:paraId="39A2A113" w14:textId="7C12E988" w:rsidR="00BD6597" w:rsidRPr="00506990" w:rsidRDefault="00BD6597" w:rsidP="00BD6597">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bCs/>
                <w:iCs/>
                <w:color w:val="0D0D0D" w:themeColor="text1" w:themeTint="F2"/>
                <w:sz w:val="22"/>
                <w:szCs w:val="22"/>
              </w:rPr>
              <w:t>El día</w:t>
            </w:r>
            <w:r w:rsidR="00BA00CB" w:rsidRPr="00506990">
              <w:rPr>
                <w:rFonts w:ascii="Times New Roman" w:hAnsi="Times New Roman" w:cs="Times New Roman"/>
                <w:bCs/>
                <w:iCs/>
                <w:color w:val="0D0D0D" w:themeColor="text1" w:themeTint="F2"/>
                <w:sz w:val="22"/>
                <w:szCs w:val="22"/>
              </w:rPr>
              <w:t xml:space="preserve"> </w:t>
            </w:r>
            <w:r w:rsidR="004568CD" w:rsidRPr="00C91547">
              <w:rPr>
                <w:rFonts w:ascii="Times New Roman" w:hAnsi="Times New Roman" w:cs="Times New Roman"/>
                <w:bCs/>
                <w:iCs/>
                <w:color w:val="0D0D0D" w:themeColor="text1" w:themeTint="F2"/>
                <w:sz w:val="22"/>
                <w:szCs w:val="22"/>
              </w:rPr>
              <w:t>19</w:t>
            </w:r>
            <w:r w:rsidR="004568CD" w:rsidRPr="00506990">
              <w:rPr>
                <w:rFonts w:ascii="Times New Roman" w:hAnsi="Times New Roman" w:cs="Times New Roman"/>
                <w:bCs/>
                <w:iCs/>
                <w:color w:val="0D0D0D" w:themeColor="text1" w:themeTint="F2"/>
                <w:sz w:val="22"/>
                <w:szCs w:val="22"/>
              </w:rPr>
              <w:t xml:space="preserve"> </w:t>
            </w:r>
            <w:r w:rsidR="00BA00CB" w:rsidRPr="00506990">
              <w:rPr>
                <w:rFonts w:ascii="Times New Roman" w:hAnsi="Times New Roman" w:cs="Times New Roman"/>
                <w:bCs/>
                <w:iCs/>
                <w:color w:val="0D0D0D" w:themeColor="text1" w:themeTint="F2"/>
                <w:sz w:val="22"/>
                <w:szCs w:val="22"/>
              </w:rPr>
              <w:t xml:space="preserve">de </w:t>
            </w:r>
            <w:r w:rsidR="004568CD" w:rsidRPr="00C91547">
              <w:rPr>
                <w:rFonts w:ascii="Times New Roman" w:hAnsi="Times New Roman" w:cs="Times New Roman"/>
                <w:bCs/>
                <w:iCs/>
                <w:color w:val="0D0D0D" w:themeColor="text1" w:themeTint="F2"/>
                <w:sz w:val="22"/>
                <w:szCs w:val="22"/>
              </w:rPr>
              <w:t>diciembre</w:t>
            </w:r>
            <w:r w:rsidR="004568C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lang w:val="es-ES"/>
              </w:rPr>
              <w:t>de 201</w:t>
            </w:r>
            <w:r w:rsidR="002B48F2" w:rsidRPr="00506990">
              <w:rPr>
                <w:rFonts w:ascii="Times New Roman" w:hAnsi="Times New Roman" w:cs="Times New Roman"/>
                <w:color w:val="0D0D0D" w:themeColor="text1" w:themeTint="F2"/>
                <w:sz w:val="22"/>
                <w:szCs w:val="22"/>
                <w:lang w:val="es-ES"/>
              </w:rPr>
              <w:t>9</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FIX SCR S.A Agente de Calificación de Riesgo “Afiliada de Fitch Ratings” - Reg. CNV N° 9,</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color w:val="0D0D0D" w:themeColor="text1" w:themeTint="F2"/>
                <w:sz w:val="22"/>
                <w:szCs w:val="22"/>
                <w:lang w:val="es-ES"/>
              </w:rPr>
              <w:t>emitió un informe de calificación mediante el cual se otorgaron las siguientes notas</w:t>
            </w:r>
          </w:p>
          <w:p w14:paraId="2F0A3A15" w14:textId="77777777" w:rsidR="00BD6597" w:rsidRPr="00506990" w:rsidRDefault="00BD6597" w:rsidP="00BD6597">
            <w:pPr>
              <w:suppressAutoHyphens/>
              <w:rPr>
                <w:rFonts w:ascii="Times New Roman" w:hAnsi="Times New Roman" w:cs="Times New Roman"/>
                <w:b/>
                <w:bCs/>
                <w:iCs/>
                <w:color w:val="0D0D0D" w:themeColor="text1" w:themeTint="F2"/>
                <w:sz w:val="22"/>
                <w:szCs w:val="22"/>
              </w:rPr>
            </w:pPr>
          </w:p>
          <w:p w14:paraId="521690E8" w14:textId="1FD0BFB8" w:rsidR="004568CD" w:rsidRPr="00C91547" w:rsidRDefault="006F15A1" w:rsidP="004568CD">
            <w:pPr>
              <w:pStyle w:val="Default0"/>
              <w:jc w:val="both"/>
              <w:rPr>
                <w:bCs/>
                <w:iCs/>
                <w:color w:val="0D0D0D" w:themeColor="text1" w:themeTint="F2"/>
                <w:sz w:val="22"/>
                <w:szCs w:val="22"/>
              </w:rPr>
            </w:pPr>
            <w:r w:rsidRPr="00506990">
              <w:rPr>
                <w:b/>
                <w:bCs/>
                <w:iCs/>
                <w:color w:val="0D0D0D" w:themeColor="text1" w:themeTint="F2"/>
                <w:sz w:val="22"/>
                <w:szCs w:val="22"/>
              </w:rPr>
              <w:t xml:space="preserve">VDFA: </w:t>
            </w:r>
            <w:r w:rsidR="004568CD" w:rsidRPr="004568CD">
              <w:rPr>
                <w:b/>
                <w:bCs/>
                <w:iCs/>
                <w:color w:val="0D0D0D" w:themeColor="text1" w:themeTint="F2"/>
                <w:sz w:val="22"/>
                <w:szCs w:val="22"/>
              </w:rPr>
              <w:t>AAsf(arg)</w:t>
            </w:r>
            <w:r w:rsidR="00BA00CB" w:rsidRPr="00506990">
              <w:rPr>
                <w:bCs/>
                <w:iCs/>
                <w:color w:val="0D0D0D" w:themeColor="text1" w:themeTint="F2"/>
                <w:sz w:val="22"/>
                <w:szCs w:val="22"/>
              </w:rPr>
              <w:t>:</w:t>
            </w:r>
            <w:r w:rsidR="00BA00CB" w:rsidRPr="00506990">
              <w:rPr>
                <w:b/>
                <w:bCs/>
                <w:iCs/>
                <w:color w:val="0D0D0D" w:themeColor="text1" w:themeTint="F2"/>
                <w:sz w:val="22"/>
                <w:szCs w:val="22"/>
              </w:rPr>
              <w:t xml:space="preserve"> Significado: </w:t>
            </w:r>
            <w:r w:rsidR="004568CD" w:rsidRPr="004568CD">
              <w:rPr>
                <w:b/>
                <w:bCs/>
                <w:iCs/>
                <w:color w:val="0D0D0D" w:themeColor="text1" w:themeTint="F2"/>
                <w:sz w:val="22"/>
                <w:szCs w:val="22"/>
              </w:rPr>
              <w:t xml:space="preserve">AAsf(arg): </w:t>
            </w:r>
            <w:r w:rsidR="004568CD" w:rsidRPr="00C91547">
              <w:rPr>
                <w:bCs/>
                <w:iCs/>
                <w:color w:val="0D0D0D" w:themeColor="text1" w:themeTint="F2"/>
                <w:sz w:val="22"/>
                <w:szCs w:val="22"/>
              </w:rPr>
              <w:t>“AA” nacional implica una muy sólida calidad crediticia respecto de otros emisores o emisiones del país. El</w:t>
            </w:r>
            <w:r w:rsidR="004568CD">
              <w:rPr>
                <w:bCs/>
                <w:iCs/>
                <w:color w:val="0D0D0D" w:themeColor="text1" w:themeTint="F2"/>
                <w:sz w:val="22"/>
                <w:szCs w:val="22"/>
              </w:rPr>
              <w:t xml:space="preserve"> </w:t>
            </w:r>
            <w:r w:rsidR="004568CD" w:rsidRPr="00C91547">
              <w:rPr>
                <w:bCs/>
                <w:iCs/>
                <w:color w:val="0D0D0D" w:themeColor="text1" w:themeTint="F2"/>
                <w:sz w:val="22"/>
                <w:szCs w:val="22"/>
              </w:rPr>
              <w:t>riesgo crediticio inherente a estas obligaciones financieras difiere levemente de los emisores o emisiones mejor calificados dentro</w:t>
            </w:r>
            <w:r w:rsidR="004568CD">
              <w:rPr>
                <w:bCs/>
                <w:iCs/>
                <w:color w:val="0D0D0D" w:themeColor="text1" w:themeTint="F2"/>
                <w:sz w:val="22"/>
                <w:szCs w:val="22"/>
              </w:rPr>
              <w:t xml:space="preserve"> </w:t>
            </w:r>
            <w:r w:rsidR="004568CD" w:rsidRPr="00C91547">
              <w:rPr>
                <w:bCs/>
                <w:iCs/>
                <w:color w:val="0D0D0D" w:themeColor="text1" w:themeTint="F2"/>
                <w:sz w:val="22"/>
                <w:szCs w:val="22"/>
              </w:rPr>
              <w:t>del país.</w:t>
            </w:r>
          </w:p>
          <w:p w14:paraId="1863123D" w14:textId="77777777" w:rsidR="004568CD" w:rsidRDefault="004568CD" w:rsidP="00892BBE">
            <w:pPr>
              <w:pStyle w:val="Default0"/>
              <w:jc w:val="both"/>
              <w:rPr>
                <w:b/>
                <w:bCs/>
                <w:iCs/>
                <w:color w:val="0D0D0D" w:themeColor="text1" w:themeTint="F2"/>
                <w:sz w:val="22"/>
                <w:szCs w:val="22"/>
              </w:rPr>
            </w:pPr>
          </w:p>
          <w:p w14:paraId="20263123" w14:textId="0CFEB558" w:rsidR="00F551BF" w:rsidRPr="00506990" w:rsidRDefault="006F15A1" w:rsidP="004568CD">
            <w:pPr>
              <w:pStyle w:val="Default0"/>
              <w:jc w:val="both"/>
              <w:rPr>
                <w:color w:val="0D0D0D" w:themeColor="text1" w:themeTint="F2"/>
                <w:sz w:val="22"/>
                <w:szCs w:val="22"/>
              </w:rPr>
            </w:pPr>
            <w:r w:rsidRPr="00506990">
              <w:rPr>
                <w:b/>
                <w:bCs/>
                <w:iCs/>
                <w:color w:val="0D0D0D" w:themeColor="text1" w:themeTint="F2"/>
                <w:sz w:val="22"/>
                <w:szCs w:val="22"/>
              </w:rPr>
              <w:t xml:space="preserve">VDFB: </w:t>
            </w:r>
            <w:r w:rsidR="004568CD" w:rsidRPr="004568CD">
              <w:rPr>
                <w:b/>
                <w:bCs/>
                <w:iCs/>
                <w:color w:val="0D0D0D" w:themeColor="text1" w:themeTint="F2"/>
                <w:sz w:val="22"/>
                <w:szCs w:val="22"/>
              </w:rPr>
              <w:t>Asf(arg)</w:t>
            </w:r>
            <w:r w:rsidR="00BA00CB" w:rsidRPr="00506990">
              <w:rPr>
                <w:bCs/>
                <w:iCs/>
                <w:color w:val="0D0D0D" w:themeColor="text1" w:themeTint="F2"/>
                <w:sz w:val="22"/>
                <w:szCs w:val="22"/>
              </w:rPr>
              <w:t>:</w:t>
            </w:r>
            <w:r w:rsidR="00BA00CB" w:rsidRPr="00506990">
              <w:rPr>
                <w:b/>
                <w:bCs/>
                <w:iCs/>
                <w:color w:val="0D0D0D" w:themeColor="text1" w:themeTint="F2"/>
                <w:sz w:val="22"/>
                <w:szCs w:val="22"/>
              </w:rPr>
              <w:t xml:space="preserve"> </w:t>
            </w:r>
            <w:r w:rsidR="004568CD" w:rsidRPr="00C91547">
              <w:rPr>
                <w:bCs/>
                <w:iCs/>
                <w:color w:val="0D0D0D" w:themeColor="text1" w:themeTint="F2"/>
                <w:sz w:val="22"/>
                <w:szCs w:val="22"/>
              </w:rPr>
              <w:t>Asf(arg): “A” nacional implica una sólida calidad crediticia respecto de otros emisores o emisiones del país. Sin embargo,</w:t>
            </w:r>
            <w:r w:rsidR="004568CD">
              <w:rPr>
                <w:bCs/>
                <w:iCs/>
                <w:color w:val="0D0D0D" w:themeColor="text1" w:themeTint="F2"/>
                <w:sz w:val="22"/>
                <w:szCs w:val="22"/>
              </w:rPr>
              <w:t xml:space="preserve"> </w:t>
            </w:r>
            <w:r w:rsidR="004568CD" w:rsidRPr="00C91547">
              <w:rPr>
                <w:bCs/>
                <w:iCs/>
                <w:color w:val="0D0D0D" w:themeColor="text1" w:themeTint="F2"/>
                <w:sz w:val="22"/>
                <w:szCs w:val="22"/>
              </w:rPr>
              <w:t>cambios en las circunstancias o condiciones</w:t>
            </w:r>
            <w:r w:rsidR="004568CD">
              <w:rPr>
                <w:bCs/>
                <w:iCs/>
                <w:color w:val="0D0D0D" w:themeColor="text1" w:themeTint="F2"/>
                <w:sz w:val="22"/>
                <w:szCs w:val="22"/>
              </w:rPr>
              <w:t xml:space="preserve"> </w:t>
            </w:r>
            <w:r w:rsidR="004568CD" w:rsidRPr="00C91547">
              <w:rPr>
                <w:bCs/>
                <w:iCs/>
                <w:color w:val="0D0D0D" w:themeColor="text1" w:themeTint="F2"/>
                <w:sz w:val="22"/>
                <w:szCs w:val="22"/>
              </w:rPr>
              <w:t>económicas pueden afectar la capacidad de repago en tiempo y forma en un grado</w:t>
            </w:r>
            <w:r w:rsidR="004568CD">
              <w:rPr>
                <w:bCs/>
                <w:iCs/>
                <w:color w:val="0D0D0D" w:themeColor="text1" w:themeTint="F2"/>
                <w:sz w:val="22"/>
                <w:szCs w:val="22"/>
              </w:rPr>
              <w:t xml:space="preserve"> </w:t>
            </w:r>
            <w:r w:rsidR="004568CD" w:rsidRPr="00C91547">
              <w:rPr>
                <w:bCs/>
                <w:iCs/>
                <w:color w:val="0D0D0D" w:themeColor="text1" w:themeTint="F2"/>
                <w:sz w:val="22"/>
                <w:szCs w:val="22"/>
              </w:rPr>
              <w:t>mayor que para aquellas obligaciones financieras calificadas con categorías superiores</w:t>
            </w:r>
            <w:r w:rsidR="004568CD">
              <w:rPr>
                <w:bCs/>
                <w:iCs/>
                <w:color w:val="0D0D0D" w:themeColor="text1" w:themeTint="F2"/>
                <w:sz w:val="22"/>
                <w:szCs w:val="22"/>
              </w:rPr>
              <w:t>.</w:t>
            </w:r>
          </w:p>
        </w:tc>
      </w:tr>
      <w:tr w:rsidR="00BD6597" w:rsidRPr="00506990" w14:paraId="0FA82A32" w14:textId="77777777">
        <w:trPr>
          <w:cantSplit/>
          <w:trHeight w:val="2073"/>
        </w:trPr>
        <w:tc>
          <w:tcPr>
            <w:tcW w:w="2737" w:type="dxa"/>
          </w:tcPr>
          <w:p w14:paraId="3B10D220" w14:textId="4D4AEB43"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61" w:name="_Toc506982480"/>
            <w:bookmarkStart w:id="62" w:name="_Toc521424865"/>
            <w:bookmarkStart w:id="63" w:name="_Toc20409081"/>
            <w:r w:rsidRPr="00506990">
              <w:rPr>
                <w:rFonts w:ascii="Times New Roman" w:hAnsi="Times New Roman"/>
                <w:iCs/>
                <w:color w:val="0D0D0D" w:themeColor="text1" w:themeTint="F2"/>
                <w:sz w:val="22"/>
                <w:szCs w:val="22"/>
                <w:u w:val="none"/>
              </w:rPr>
              <w:t>Resoluciones Sociales</w:t>
            </w:r>
            <w:bookmarkEnd w:id="61"/>
            <w:bookmarkEnd w:id="62"/>
            <w:bookmarkEnd w:id="63"/>
          </w:p>
          <w:p w14:paraId="5E1A4D2B" w14:textId="77777777"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14:paraId="2E98B453" w14:textId="0EA57699" w:rsidR="000157B5" w:rsidRPr="00506990"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reunión del </w:t>
            </w:r>
            <w:r w:rsidR="002B48F2" w:rsidRPr="00506990">
              <w:rPr>
                <w:rFonts w:ascii="Times New Roman" w:hAnsi="Times New Roman" w:cs="Times New Roman"/>
                <w:iCs/>
                <w:color w:val="0D0D0D" w:themeColor="text1" w:themeTint="F2"/>
                <w:sz w:val="22"/>
                <w:szCs w:val="22"/>
              </w:rPr>
              <w:t>16</w:t>
            </w:r>
            <w:r w:rsidRPr="00506990">
              <w:rPr>
                <w:rFonts w:ascii="Times New Roman" w:hAnsi="Times New Roman" w:cs="Times New Roman"/>
                <w:iCs/>
                <w:color w:val="0D0D0D" w:themeColor="text1" w:themeTint="F2"/>
                <w:sz w:val="22"/>
                <w:szCs w:val="22"/>
              </w:rPr>
              <w:t xml:space="preserve"> de </w:t>
            </w:r>
            <w:r w:rsidR="002B48F2" w:rsidRPr="00506990">
              <w:rPr>
                <w:rFonts w:ascii="Times New Roman" w:hAnsi="Times New Roman" w:cs="Times New Roman"/>
                <w:iCs/>
                <w:color w:val="0D0D0D" w:themeColor="text1" w:themeTint="F2"/>
                <w:sz w:val="22"/>
                <w:szCs w:val="22"/>
              </w:rPr>
              <w:t>noviembre</w:t>
            </w:r>
            <w:r w:rsidRPr="00506990">
              <w:rPr>
                <w:rFonts w:ascii="Times New Roman" w:hAnsi="Times New Roman" w:cs="Times New Roman"/>
                <w:iCs/>
                <w:color w:val="0D0D0D" w:themeColor="text1" w:themeTint="F2"/>
                <w:sz w:val="22"/>
                <w:szCs w:val="22"/>
              </w:rPr>
              <w:t xml:space="preserve"> de 201</w:t>
            </w:r>
            <w:r w:rsidR="002B48F2" w:rsidRPr="00506990">
              <w:rPr>
                <w:rFonts w:ascii="Times New Roman" w:hAnsi="Times New Roman" w:cs="Times New Roman"/>
                <w:iCs/>
                <w:color w:val="0D0D0D" w:themeColor="text1" w:themeTint="F2"/>
                <w:sz w:val="22"/>
                <w:szCs w:val="22"/>
              </w:rPr>
              <w:t>8</w:t>
            </w:r>
            <w:r w:rsidRPr="00506990">
              <w:rPr>
                <w:rFonts w:ascii="Times New Roman" w:hAnsi="Times New Roman" w:cs="Times New Roman"/>
                <w:iCs/>
                <w:color w:val="0D0D0D" w:themeColor="text1" w:themeTint="F2"/>
                <w:sz w:val="22"/>
                <w:szCs w:val="22"/>
              </w:rPr>
              <w:t xml:space="preserve"> y sus condiciones de emisión fueron ratificadas por sus apoderados mediante nota del día </w:t>
            </w:r>
            <w:r w:rsidR="00344385">
              <w:rPr>
                <w:rFonts w:ascii="Times New Roman" w:hAnsi="Times New Roman" w:cs="Times New Roman"/>
                <w:b/>
                <w:bCs/>
                <w:iCs/>
                <w:color w:val="0D0D0D" w:themeColor="text1" w:themeTint="F2"/>
                <w:sz w:val="22"/>
                <w:szCs w:val="22"/>
              </w:rPr>
              <w:t>19</w:t>
            </w:r>
            <w:r w:rsidR="00344385"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de </w:t>
            </w:r>
            <w:r w:rsidR="00344385">
              <w:rPr>
                <w:rFonts w:ascii="Times New Roman" w:hAnsi="Times New Roman" w:cs="Times New Roman"/>
                <w:b/>
                <w:bCs/>
                <w:iCs/>
                <w:color w:val="0D0D0D" w:themeColor="text1" w:themeTint="F2"/>
                <w:sz w:val="22"/>
                <w:szCs w:val="22"/>
              </w:rPr>
              <w:t>Diciembre</w:t>
            </w:r>
            <w:r w:rsidR="00344385" w:rsidRPr="00506990">
              <w:rPr>
                <w:rFonts w:ascii="Times New Roman" w:hAnsi="Times New Roman" w:cs="Times New Roman"/>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de 201</w:t>
            </w:r>
            <w:r w:rsidR="002B48F2" w:rsidRPr="00506990">
              <w:rPr>
                <w:rFonts w:ascii="Times New Roman" w:hAnsi="Times New Roman" w:cs="Times New Roman"/>
                <w:iCs/>
                <w:color w:val="0D0D0D" w:themeColor="text1" w:themeTint="F2"/>
                <w:sz w:val="22"/>
                <w:szCs w:val="22"/>
              </w:rPr>
              <w:t>9</w:t>
            </w:r>
            <w:r w:rsidR="00813740" w:rsidRPr="00506990">
              <w:rPr>
                <w:rFonts w:ascii="Times New Roman" w:hAnsi="Times New Roman" w:cs="Times New Roman"/>
                <w:iCs/>
                <w:color w:val="0D0D0D" w:themeColor="text1" w:themeTint="F2"/>
                <w:sz w:val="22"/>
                <w:szCs w:val="22"/>
              </w:rPr>
              <w:t xml:space="preserve"> y por el directorio de Consumo S.A. en su reunión del </w:t>
            </w:r>
            <w:r w:rsidR="006275F6">
              <w:rPr>
                <w:rFonts w:ascii="Times New Roman" w:hAnsi="Times New Roman" w:cs="Times New Roman"/>
                <w:bCs/>
                <w:iCs/>
                <w:color w:val="0D0D0D" w:themeColor="text1" w:themeTint="F2"/>
                <w:sz w:val="22"/>
                <w:szCs w:val="22"/>
              </w:rPr>
              <w:t xml:space="preserve">16 </w:t>
            </w:r>
            <w:r w:rsidR="00813740" w:rsidRPr="00506990">
              <w:rPr>
                <w:rFonts w:ascii="Times New Roman" w:hAnsi="Times New Roman" w:cs="Times New Roman"/>
                <w:iCs/>
                <w:color w:val="0D0D0D" w:themeColor="text1" w:themeTint="F2"/>
                <w:sz w:val="22"/>
                <w:szCs w:val="22"/>
              </w:rPr>
              <w:t xml:space="preserve">de </w:t>
            </w:r>
            <w:r w:rsidR="006275F6">
              <w:rPr>
                <w:rFonts w:ascii="Times New Roman" w:hAnsi="Times New Roman" w:cs="Times New Roman"/>
                <w:bCs/>
                <w:iCs/>
                <w:color w:val="0D0D0D" w:themeColor="text1" w:themeTint="F2"/>
                <w:sz w:val="22"/>
                <w:szCs w:val="22"/>
              </w:rPr>
              <w:t>noviembre</w:t>
            </w:r>
            <w:r w:rsidR="00813740" w:rsidRPr="00506990">
              <w:rPr>
                <w:rFonts w:ascii="Times New Roman" w:hAnsi="Times New Roman" w:cs="Times New Roman"/>
                <w:iCs/>
                <w:color w:val="0D0D0D" w:themeColor="text1" w:themeTint="F2"/>
                <w:sz w:val="22"/>
                <w:szCs w:val="22"/>
              </w:rPr>
              <w:t xml:space="preserve"> de 2018 y sus condiciones de emisión fueron ratificadas por sus apoderados mediante nota del día </w:t>
            </w:r>
            <w:r w:rsidR="00344385">
              <w:rPr>
                <w:rFonts w:ascii="Times New Roman" w:hAnsi="Times New Roman" w:cs="Times New Roman"/>
                <w:bCs/>
                <w:iCs/>
                <w:color w:val="0D0D0D" w:themeColor="text1" w:themeTint="F2"/>
                <w:sz w:val="22"/>
                <w:szCs w:val="22"/>
              </w:rPr>
              <w:t>19</w:t>
            </w:r>
            <w:r w:rsidR="00813740" w:rsidRPr="00506990">
              <w:rPr>
                <w:rFonts w:ascii="Times New Roman" w:hAnsi="Times New Roman" w:cs="Times New Roman"/>
                <w:iCs/>
                <w:color w:val="0D0D0D" w:themeColor="text1" w:themeTint="F2"/>
                <w:sz w:val="22"/>
                <w:szCs w:val="22"/>
              </w:rPr>
              <w:t xml:space="preserve"> de </w:t>
            </w:r>
            <w:r w:rsidR="00344385">
              <w:rPr>
                <w:rFonts w:ascii="Times New Roman" w:hAnsi="Times New Roman" w:cs="Times New Roman"/>
                <w:bCs/>
                <w:iCs/>
                <w:color w:val="0D0D0D" w:themeColor="text1" w:themeTint="F2"/>
                <w:sz w:val="22"/>
                <w:szCs w:val="22"/>
              </w:rPr>
              <w:t>Diciembre</w:t>
            </w:r>
            <w:r w:rsidR="00813740" w:rsidRPr="00506990">
              <w:rPr>
                <w:rFonts w:ascii="Times New Roman" w:hAnsi="Times New Roman" w:cs="Times New Roman"/>
                <w:bCs/>
                <w:iCs/>
                <w:color w:val="0D0D0D" w:themeColor="text1" w:themeTint="F2"/>
                <w:sz w:val="22"/>
                <w:szCs w:val="22"/>
              </w:rPr>
              <w:t xml:space="preserve"> </w:t>
            </w:r>
            <w:r w:rsidR="00813740" w:rsidRPr="00506990">
              <w:rPr>
                <w:rFonts w:ascii="Times New Roman" w:hAnsi="Times New Roman" w:cs="Times New Roman"/>
                <w:iCs/>
                <w:color w:val="0D0D0D" w:themeColor="text1" w:themeTint="F2"/>
                <w:sz w:val="22"/>
                <w:szCs w:val="22"/>
              </w:rPr>
              <w:t>de 2018.</w:t>
            </w:r>
          </w:p>
          <w:p w14:paraId="334AACDE" w14:textId="77777777" w:rsidR="000157B5" w:rsidRPr="00506990" w:rsidRDefault="000157B5" w:rsidP="000157B5">
            <w:pPr>
              <w:suppressAutoHyphens/>
              <w:rPr>
                <w:rFonts w:ascii="Times New Roman" w:hAnsi="Times New Roman" w:cs="Times New Roman"/>
                <w:iCs/>
                <w:color w:val="0D0D0D" w:themeColor="text1" w:themeTint="F2"/>
                <w:sz w:val="22"/>
                <w:szCs w:val="22"/>
              </w:rPr>
            </w:pPr>
          </w:p>
          <w:p w14:paraId="52D69CE2" w14:textId="1A129B49" w:rsidR="000157B5" w:rsidRPr="00506990"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su reunión del</w:t>
            </w:r>
            <w:r w:rsidRPr="00506990">
              <w:rPr>
                <w:rFonts w:ascii="Times New Roman" w:hAnsi="Times New Roman" w:cs="Times New Roman"/>
                <w:b/>
                <w:iCs/>
                <w:color w:val="0D0D0D" w:themeColor="text1" w:themeTint="F2"/>
                <w:sz w:val="22"/>
                <w:szCs w:val="22"/>
              </w:rPr>
              <w:t xml:space="preserve"> </w:t>
            </w:r>
            <w:r w:rsidR="00075A2B" w:rsidRPr="0098446E">
              <w:rPr>
                <w:rFonts w:ascii="Times New Roman" w:hAnsi="Times New Roman" w:cs="Times New Roman"/>
                <w:iCs/>
                <w:color w:val="0D0D0D" w:themeColor="text1" w:themeTint="F2"/>
                <w:sz w:val="22"/>
                <w:szCs w:val="22"/>
              </w:rPr>
              <w:t>14</w:t>
            </w:r>
            <w:r w:rsidRPr="00506990">
              <w:rPr>
                <w:rFonts w:ascii="Times New Roman" w:hAnsi="Times New Roman" w:cs="Times New Roman"/>
                <w:iCs/>
                <w:color w:val="0D0D0D" w:themeColor="text1" w:themeTint="F2"/>
                <w:sz w:val="22"/>
                <w:szCs w:val="22"/>
              </w:rPr>
              <w:t xml:space="preserve"> de </w:t>
            </w:r>
            <w:r w:rsidR="00075A2B" w:rsidRPr="00506990">
              <w:rPr>
                <w:rFonts w:ascii="Times New Roman" w:hAnsi="Times New Roman" w:cs="Times New Roman"/>
                <w:iCs/>
                <w:color w:val="0D0D0D" w:themeColor="text1" w:themeTint="F2"/>
                <w:sz w:val="22"/>
                <w:szCs w:val="22"/>
              </w:rPr>
              <w:t>noviembre</w:t>
            </w:r>
            <w:r w:rsidR="00972595" w:rsidRPr="00506990">
              <w:rPr>
                <w:rFonts w:ascii="Times New Roman" w:hAnsi="Times New Roman" w:cs="Times New Roman"/>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de 201</w:t>
            </w:r>
            <w:r w:rsidR="00E01089" w:rsidRPr="00506990">
              <w:rPr>
                <w:rFonts w:ascii="Times New Roman" w:hAnsi="Times New Roman" w:cs="Times New Roman"/>
                <w:iCs/>
                <w:color w:val="0D0D0D" w:themeColor="text1" w:themeTint="F2"/>
                <w:sz w:val="22"/>
                <w:szCs w:val="22"/>
              </w:rPr>
              <w:t>9</w:t>
            </w:r>
            <w:r w:rsidRPr="00506990">
              <w:rPr>
                <w:rFonts w:ascii="Times New Roman" w:hAnsi="Times New Roman" w:cs="Times New Roman"/>
                <w:iCs/>
                <w:color w:val="0D0D0D" w:themeColor="text1" w:themeTint="F2"/>
                <w:sz w:val="22"/>
                <w:szCs w:val="22"/>
              </w:rPr>
              <w:t xml:space="preserve">. </w:t>
            </w:r>
          </w:p>
          <w:p w14:paraId="320F4A75" w14:textId="77777777" w:rsidR="00BD6597" w:rsidRPr="00506990" w:rsidRDefault="00BD6597">
            <w:pPr>
              <w:rPr>
                <w:rFonts w:ascii="Times New Roman" w:hAnsi="Times New Roman" w:cs="Times New Roman"/>
                <w:color w:val="0D0D0D" w:themeColor="text1" w:themeTint="F2"/>
                <w:sz w:val="22"/>
                <w:szCs w:val="22"/>
              </w:rPr>
            </w:pPr>
          </w:p>
        </w:tc>
      </w:tr>
      <w:tr w:rsidR="00BD6597" w:rsidRPr="00506990" w14:paraId="74A9599C" w14:textId="77777777">
        <w:trPr>
          <w:cantSplit/>
          <w:trHeight w:val="2073"/>
        </w:trPr>
        <w:tc>
          <w:tcPr>
            <w:tcW w:w="2737" w:type="dxa"/>
          </w:tcPr>
          <w:p w14:paraId="09D9927F" w14:textId="65B5891E" w:rsidR="00BD6597" w:rsidRPr="00506990" w:rsidRDefault="00747260">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Normativa aplicable </w:t>
            </w:r>
            <w:r w:rsidR="00BD6597" w:rsidRPr="00506990">
              <w:rPr>
                <w:rFonts w:ascii="Times New Roman" w:hAnsi="Times New Roman" w:cs="Times New Roman"/>
                <w:b/>
                <w:bCs/>
                <w:iCs/>
                <w:color w:val="0D0D0D" w:themeColor="text1" w:themeTint="F2"/>
                <w:sz w:val="22"/>
                <w:szCs w:val="22"/>
              </w:rPr>
              <w:t xml:space="preserve">para suscripción e integración de los </w:t>
            </w:r>
            <w:r w:rsidR="00C1102A" w:rsidRPr="00506990">
              <w:rPr>
                <w:rFonts w:ascii="Times New Roman" w:hAnsi="Times New Roman" w:cs="Times New Roman"/>
                <w:b/>
                <w:bCs/>
                <w:iCs/>
                <w:color w:val="0D0D0D" w:themeColor="text1" w:themeTint="F2"/>
                <w:sz w:val="22"/>
                <w:szCs w:val="22"/>
              </w:rPr>
              <w:t>V</w:t>
            </w:r>
            <w:r w:rsidR="00BD6597" w:rsidRPr="00506990">
              <w:rPr>
                <w:rFonts w:ascii="Times New Roman" w:hAnsi="Times New Roman" w:cs="Times New Roman"/>
                <w:b/>
                <w:bCs/>
                <w:iCs/>
                <w:color w:val="0D0D0D" w:themeColor="text1" w:themeTint="F2"/>
                <w:sz w:val="22"/>
                <w:szCs w:val="22"/>
              </w:rPr>
              <w:t>alores</w:t>
            </w:r>
            <w:r w:rsidR="000C7053" w:rsidRPr="00506990">
              <w:rPr>
                <w:rFonts w:ascii="Times New Roman" w:hAnsi="Times New Roman" w:cs="Times New Roman"/>
                <w:b/>
                <w:bCs/>
                <w:iCs/>
                <w:color w:val="0D0D0D" w:themeColor="text1" w:themeTint="F2"/>
                <w:sz w:val="22"/>
                <w:szCs w:val="22"/>
              </w:rPr>
              <w:t xml:space="preserve"> </w:t>
            </w:r>
            <w:r w:rsidR="00C1102A" w:rsidRPr="00B43F7C">
              <w:rPr>
                <w:rFonts w:ascii="Times New Roman" w:hAnsi="Times New Roman" w:cs="Times New Roman"/>
                <w:b/>
                <w:iCs/>
                <w:color w:val="0D0D0D" w:themeColor="text1" w:themeTint="F2"/>
                <w:sz w:val="22"/>
                <w:szCs w:val="22"/>
                <w:lang w:val="es-AR"/>
              </w:rPr>
              <w:t>de Deuda</w:t>
            </w:r>
            <w:r w:rsidR="00C1102A" w:rsidRPr="00463985">
              <w:rPr>
                <w:rFonts w:ascii="Times New Roman" w:hAnsi="Times New Roman" w:cs="Times New Roman"/>
                <w:iCs/>
                <w:color w:val="0D0D0D" w:themeColor="text1" w:themeTint="F2"/>
                <w:sz w:val="22"/>
                <w:szCs w:val="22"/>
                <w:lang w:val="es-AR"/>
              </w:rPr>
              <w:t xml:space="preserve"> </w:t>
            </w:r>
            <w:r w:rsidR="00C1102A" w:rsidRPr="00506990">
              <w:rPr>
                <w:rFonts w:ascii="Times New Roman" w:hAnsi="Times New Roman" w:cs="Times New Roman"/>
                <w:b/>
                <w:bCs/>
                <w:iCs/>
                <w:color w:val="0D0D0D" w:themeColor="text1" w:themeTint="F2"/>
                <w:sz w:val="22"/>
                <w:szCs w:val="22"/>
              </w:rPr>
              <w:t>F</w:t>
            </w:r>
            <w:r w:rsidR="00B866EE" w:rsidRPr="00506990">
              <w:rPr>
                <w:rFonts w:ascii="Times New Roman" w:hAnsi="Times New Roman" w:cs="Times New Roman"/>
                <w:b/>
                <w:bCs/>
                <w:iCs/>
                <w:color w:val="0D0D0D" w:themeColor="text1" w:themeTint="F2"/>
                <w:sz w:val="22"/>
                <w:szCs w:val="22"/>
              </w:rPr>
              <w:t>iduciari</w:t>
            </w:r>
            <w:r w:rsidR="00C1102A" w:rsidRPr="00506990">
              <w:rPr>
                <w:rFonts w:ascii="Times New Roman" w:hAnsi="Times New Roman" w:cs="Times New Roman"/>
                <w:b/>
                <w:bCs/>
                <w:iCs/>
                <w:color w:val="0D0D0D" w:themeColor="text1" w:themeTint="F2"/>
                <w:sz w:val="22"/>
                <w:szCs w:val="22"/>
              </w:rPr>
              <w:t>a</w:t>
            </w:r>
            <w:r w:rsidR="00BD6597" w:rsidRPr="00506990">
              <w:rPr>
                <w:rFonts w:ascii="Times New Roman" w:hAnsi="Times New Roman" w:cs="Times New Roman"/>
                <w:b/>
                <w:bCs/>
                <w:iCs/>
                <w:color w:val="0D0D0D" w:themeColor="text1" w:themeTint="F2"/>
                <w:sz w:val="22"/>
                <w:szCs w:val="22"/>
              </w:rPr>
              <w:t xml:space="preserve"> con fondos provenientes del exterior.</w:t>
            </w:r>
          </w:p>
        </w:tc>
        <w:tc>
          <w:tcPr>
            <w:tcW w:w="6184" w:type="dxa"/>
          </w:tcPr>
          <w:p w14:paraId="5521C175" w14:textId="08D6DB85" w:rsidR="00425EA1" w:rsidRPr="0098446E" w:rsidRDefault="00540D0D" w:rsidP="00425EA1">
            <w:pPr>
              <w:pStyle w:val="NormalWeb"/>
              <w:widowControl w:val="0"/>
              <w:spacing w:before="0" w:beforeAutospacing="0" w:after="0" w:afterAutospacing="0"/>
              <w:jc w:val="both"/>
              <w:rPr>
                <w:rFonts w:ascii="Times New Roman" w:hAnsi="Times New Roman" w:cs="Times New Roman"/>
                <w:bCs/>
                <w:color w:val="0D0D0D"/>
              </w:rPr>
            </w:pPr>
            <w:r w:rsidRPr="00506990">
              <w:rPr>
                <w:rFonts w:ascii="Times New Roman" w:hAnsi="Times New Roman" w:cs="Times New Roman"/>
                <w:color w:val="0D0D0D" w:themeColor="text1" w:themeTint="F2"/>
                <w:sz w:val="22"/>
                <w:szCs w:val="22"/>
              </w:rPr>
              <w:t xml:space="preserve">Para un detalle de la totalidad de la normativa cambiaria y de mercado de capitales vigente al día de la fecha, se sugiere a los inversores consultar </w:t>
            </w:r>
            <w:r w:rsidR="00425EA1" w:rsidRPr="00506990">
              <w:rPr>
                <w:rFonts w:ascii="Times New Roman" w:hAnsi="Times New Roman" w:cs="Times New Roman"/>
                <w:color w:val="0D0D0D" w:themeColor="text1" w:themeTint="F2"/>
                <w:sz w:val="22"/>
                <w:szCs w:val="22"/>
              </w:rPr>
              <w:t xml:space="preserve">la Comunicación “A” 6244 del BCRA y </w:t>
            </w:r>
            <w:r w:rsidRPr="00506990">
              <w:rPr>
                <w:rFonts w:ascii="Times New Roman" w:hAnsi="Times New Roman" w:cs="Times New Roman"/>
                <w:color w:val="0D0D0D" w:themeColor="text1" w:themeTint="F2"/>
                <w:sz w:val="22"/>
                <w:szCs w:val="22"/>
              </w:rPr>
              <w:t>con sus asesores legales y dar una lectura completa de la misma, a cuyo efecto para mayor información los interesados consultar el sitio web del Ministerio de Hacienda: https://www.argentina.gob.ar/hacienda, Infoleg: http://www.infoleg.gov.ar, Banco Central de la República Argentina: http://www.bcra.gov.ar.</w:t>
            </w:r>
            <w:r w:rsidRPr="00506990" w:rsidDel="002A5A10">
              <w:rPr>
                <w:rFonts w:ascii="Times New Roman" w:hAnsi="Times New Roman" w:cs="Times New Roman"/>
                <w:color w:val="0D0D0D" w:themeColor="text1" w:themeTint="F2"/>
                <w:sz w:val="22"/>
                <w:szCs w:val="22"/>
              </w:rPr>
              <w:t xml:space="preserve"> </w:t>
            </w:r>
          </w:p>
          <w:p w14:paraId="7AD5BC65" w14:textId="6DF055E4"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14:paraId="38B2A2E6" w14:textId="77777777">
        <w:trPr>
          <w:cantSplit/>
          <w:trHeight w:val="2073"/>
        </w:trPr>
        <w:tc>
          <w:tcPr>
            <w:tcW w:w="2737" w:type="dxa"/>
          </w:tcPr>
          <w:p w14:paraId="67076282" w14:textId="77777777"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Encubrimiento y lavado de activos de origen delictivo.</w:t>
            </w:r>
          </w:p>
          <w:p w14:paraId="215B1402" w14:textId="77777777"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14:paraId="3E1B5117" w14:textId="77777777" w:rsidR="00275F22" w:rsidRPr="00506990" w:rsidRDefault="00275F22">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Los inversores deben tener en cuenta las disposiciones contenidas </w:t>
            </w:r>
            <w:r w:rsidR="003C769E" w:rsidRPr="00506990">
              <w:rPr>
                <w:rFonts w:ascii="Times New Roman" w:hAnsi="Times New Roman" w:cs="Times New Roman"/>
                <w:color w:val="0D0D0D" w:themeColor="text1" w:themeTint="F2"/>
                <w:sz w:val="22"/>
                <w:szCs w:val="22"/>
              </w:rPr>
              <w:t>en:</w:t>
            </w:r>
            <w:r w:rsidR="005C255E" w:rsidRPr="00506990">
              <w:rPr>
                <w:rFonts w:ascii="Times New Roman" w:hAnsi="Times New Roman" w:cs="Times New Roman"/>
                <w:color w:val="0D0D0D" w:themeColor="text1" w:themeTint="F2"/>
                <w:sz w:val="22"/>
                <w:szCs w:val="22"/>
              </w:rPr>
              <w:t xml:space="preserve"> a) </w:t>
            </w:r>
            <w:r w:rsidR="00BC4F8D" w:rsidRPr="00506990">
              <w:rPr>
                <w:rFonts w:ascii="Times New Roman" w:hAnsi="Times New Roman" w:cs="Times New Roman"/>
                <w:color w:val="0D0D0D" w:themeColor="text1" w:themeTint="F2"/>
                <w:sz w:val="22"/>
                <w:szCs w:val="22"/>
              </w:rPr>
              <w:t xml:space="preserve">el Código Penal, en especial </w:t>
            </w:r>
            <w:r w:rsidR="00BC4F8D" w:rsidRPr="00506990">
              <w:rPr>
                <w:rFonts w:ascii="Times New Roman" w:hAnsi="Times New Roman" w:cs="Times New Roman"/>
                <w:iCs/>
                <w:color w:val="0D0D0D" w:themeColor="text1" w:themeTint="F2"/>
                <w:sz w:val="22"/>
                <w:szCs w:val="22"/>
              </w:rPr>
              <w:t>el 277</w:t>
            </w:r>
            <w:r w:rsidR="00C40630" w:rsidRPr="00506990">
              <w:rPr>
                <w:rFonts w:ascii="Times New Roman" w:hAnsi="Times New Roman" w:cs="Times New Roman"/>
                <w:iCs/>
                <w:color w:val="0D0D0D" w:themeColor="text1" w:themeTint="F2"/>
                <w:sz w:val="22"/>
                <w:szCs w:val="22"/>
              </w:rPr>
              <w:t xml:space="preserve"> </w:t>
            </w:r>
            <w:r w:rsidR="00BC4F8D" w:rsidRPr="00506990">
              <w:rPr>
                <w:rFonts w:ascii="Times New Roman" w:hAnsi="Times New Roman" w:cs="Times New Roman"/>
                <w:iCs/>
                <w:color w:val="0D0D0D" w:themeColor="text1" w:themeTint="F2"/>
                <w:sz w:val="22"/>
                <w:szCs w:val="22"/>
              </w:rPr>
              <w:t>del Cap</w:t>
            </w:r>
            <w:r w:rsidR="005C255E" w:rsidRPr="00506990">
              <w:rPr>
                <w:rFonts w:ascii="Times New Roman" w:hAnsi="Times New Roman" w:cs="Times New Roman"/>
                <w:iCs/>
                <w:color w:val="0D0D0D" w:themeColor="text1" w:themeTint="F2"/>
                <w:sz w:val="22"/>
                <w:szCs w:val="22"/>
              </w:rPr>
              <w:t>í</w:t>
            </w:r>
            <w:r w:rsidR="00BC4F8D" w:rsidRPr="00506990">
              <w:rPr>
                <w:rFonts w:ascii="Times New Roman" w:hAnsi="Times New Roman" w:cs="Times New Roman"/>
                <w:iCs/>
                <w:color w:val="0D0D0D" w:themeColor="text1" w:themeTint="F2"/>
                <w:sz w:val="22"/>
                <w:szCs w:val="22"/>
              </w:rPr>
              <w:t xml:space="preserve">tulo XIII </w:t>
            </w:r>
            <w:r w:rsidR="00BC4F8D" w:rsidRPr="00506990">
              <w:rPr>
                <w:rFonts w:ascii="Times New Roman" w:hAnsi="Times New Roman" w:cs="Times New Roman"/>
                <w:color w:val="0D0D0D" w:themeColor="text1" w:themeTint="F2"/>
                <w:sz w:val="22"/>
                <w:szCs w:val="22"/>
              </w:rPr>
              <w:t>Encubrimiento y Lavado de Activos de origen delictivo</w:t>
            </w:r>
            <w:r w:rsidR="00BC4F8D" w:rsidRPr="00506990">
              <w:rPr>
                <w:rFonts w:ascii="Times New Roman" w:hAnsi="Times New Roman" w:cs="Times New Roman"/>
                <w:iCs/>
                <w:color w:val="0D0D0D" w:themeColor="text1" w:themeTint="F2"/>
                <w:sz w:val="22"/>
                <w:szCs w:val="22"/>
              </w:rPr>
              <w:t xml:space="preserve"> (b) los artículos 306 y 307 del Título XIII del libro II del mismo Código, relativo al delito </w:t>
            </w:r>
            <w:r w:rsidR="00BC4F8D" w:rsidRPr="00506990">
              <w:rPr>
                <w:rFonts w:ascii="Times New Roman" w:hAnsi="Times New Roman" w:cs="Times New Roman"/>
                <w:color w:val="0D0D0D" w:themeColor="text1" w:themeTint="F2"/>
                <w:sz w:val="22"/>
                <w:szCs w:val="22"/>
              </w:rPr>
              <w:t>contra el orden económico y financiero</w:t>
            </w:r>
            <w:r w:rsidR="003C769E" w:rsidRPr="00506990">
              <w:rPr>
                <w:rFonts w:ascii="Times New Roman" w:hAnsi="Times New Roman" w:cs="Times New Roman"/>
                <w:iCs/>
                <w:color w:val="0D0D0D" w:themeColor="text1" w:themeTint="F2"/>
                <w:sz w:val="22"/>
                <w:szCs w:val="22"/>
              </w:rPr>
              <w:t xml:space="preserve">, </w:t>
            </w:r>
            <w:r w:rsidR="003C769E"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c) la ley 25.246, y (d) las resoluciones de la Unidad de Información Financiera (“UIF”).</w:t>
            </w:r>
          </w:p>
          <w:p w14:paraId="5E4F1FC9" w14:textId="218CCA47" w:rsidR="00275F22" w:rsidRPr="00506990" w:rsidRDefault="00275F22" w:rsidP="00B5479D">
            <w:pPr>
              <w:pStyle w:val="notaalpie"/>
              <w:widowControl w:val="0"/>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El Emisor cumple con todas las disposiciones de</w:t>
            </w:r>
            <w:r w:rsidR="003C769E" w:rsidRPr="00506990">
              <w:rPr>
                <w:rFonts w:ascii="Times New Roman" w:hAnsi="Times New Roman" w:cs="Times New Roman"/>
                <w:iCs/>
                <w:color w:val="0D0D0D" w:themeColor="text1" w:themeTint="F2"/>
                <w:sz w:val="22"/>
                <w:szCs w:val="22"/>
              </w:rPr>
              <w:t> la</w:t>
            </w:r>
            <w:r w:rsidRPr="00506990">
              <w:rPr>
                <w:rFonts w:ascii="Times New Roman" w:hAnsi="Times New Roman" w:cs="Times New Roman"/>
                <w:iCs/>
                <w:color w:val="0D0D0D" w:themeColor="text1" w:themeTint="F2"/>
                <w:sz w:val="22"/>
                <w:szCs w:val="22"/>
              </w:rPr>
              <w:t xml:space="preserve"> ley 25.246 y </w:t>
            </w:r>
            <w:r w:rsidR="003C769E" w:rsidRPr="00506990">
              <w:rPr>
                <w:rFonts w:ascii="Times New Roman" w:hAnsi="Times New Roman" w:cs="Times New Roman"/>
                <w:iCs/>
                <w:color w:val="0D0D0D" w:themeColor="text1" w:themeTint="F2"/>
                <w:sz w:val="22"/>
                <w:szCs w:val="22"/>
              </w:rPr>
              <w:t xml:space="preserve">complementarias </w:t>
            </w:r>
            <w:r w:rsidR="003C769E" w:rsidRPr="00506990">
              <w:rPr>
                <w:rFonts w:ascii="Times New Roman" w:hAnsi="Times New Roman" w:cs="Times New Roman"/>
                <w:color w:val="0D0D0D" w:themeColor="text1" w:themeTint="F2"/>
                <w:sz w:val="22"/>
                <w:szCs w:val="22"/>
              </w:rPr>
              <w:t>.</w:t>
            </w:r>
            <w:r w:rsidRPr="00506990">
              <w:rPr>
                <w:rFonts w:ascii="Times New Roman" w:hAnsi="Times New Roman" w:cs="Times New Roman"/>
                <w:iCs/>
                <w:color w:val="0D0D0D" w:themeColor="text1" w:themeTint="F2"/>
                <w:sz w:val="22"/>
                <w:szCs w:val="22"/>
              </w:rPr>
              <w:t>y con la normativa aplicable sobre lavado de dinero y financiamiento del terrorismo, establecidas por resoluciones de la UIF (en especial las resoluciones 11/2011 -y modificatorias- 68/13, 3/14</w:t>
            </w:r>
            <w:r w:rsidR="00C04297" w:rsidRPr="00506990">
              <w:rPr>
                <w:rFonts w:ascii="Times New Roman" w:hAnsi="Times New Roman" w:cs="Times New Roman"/>
                <w:iCs/>
                <w:color w:val="0D0D0D" w:themeColor="text1" w:themeTint="F2"/>
                <w:sz w:val="22"/>
                <w:szCs w:val="22"/>
              </w:rPr>
              <w:t xml:space="preserve">, </w:t>
            </w:r>
            <w:r w:rsidR="00D253B0" w:rsidRPr="00506990">
              <w:rPr>
                <w:rFonts w:ascii="Times New Roman" w:hAnsi="Times New Roman" w:cs="Times New Roman"/>
                <w:iCs/>
                <w:color w:val="0D0D0D" w:themeColor="text1" w:themeTint="F2"/>
                <w:sz w:val="22"/>
                <w:szCs w:val="22"/>
              </w:rPr>
              <w:t xml:space="preserve">4/17, </w:t>
            </w:r>
            <w:r w:rsidR="0076132E" w:rsidRPr="00506990">
              <w:rPr>
                <w:rFonts w:ascii="Times New Roman" w:hAnsi="Times New Roman" w:cs="Times New Roman"/>
                <w:iCs/>
                <w:color w:val="0D0D0D" w:themeColor="text1" w:themeTint="F2"/>
                <w:sz w:val="22"/>
                <w:szCs w:val="22"/>
              </w:rPr>
              <w:t>156/18</w:t>
            </w:r>
            <w:r w:rsidR="00420D99" w:rsidRPr="00506990">
              <w:rPr>
                <w:rFonts w:ascii="Times New Roman" w:hAnsi="Times New Roman" w:cs="Times New Roman"/>
                <w:iCs/>
                <w:color w:val="0D0D0D" w:themeColor="text1" w:themeTint="F2"/>
                <w:sz w:val="22"/>
                <w:szCs w:val="22"/>
              </w:rPr>
              <w:t xml:space="preserve">, 28/18 </w:t>
            </w:r>
            <w:r w:rsidRPr="00506990">
              <w:rPr>
                <w:rFonts w:ascii="Times New Roman" w:hAnsi="Times New Roman" w:cs="Times New Roman"/>
                <w:iCs/>
                <w:color w:val="0D0D0D" w:themeColor="text1" w:themeTint="F2"/>
                <w:sz w:val="22"/>
                <w:szCs w:val="22"/>
              </w:rPr>
              <w:t xml:space="preserve">y complementarias), que reglamentan las obligaciones emergentes del art. </w:t>
            </w:r>
            <w:smartTag w:uri="urn:schemas-microsoft-com:office:smarttags" w:element="metricconverter">
              <w:smartTagPr>
                <w:attr w:name="ProductID" w:val="21 a"/>
              </w:smartTagPr>
              <w:r w:rsidRPr="00506990">
                <w:rPr>
                  <w:rFonts w:ascii="Times New Roman" w:hAnsi="Times New Roman" w:cs="Times New Roman"/>
                  <w:iCs/>
                  <w:color w:val="0D0D0D" w:themeColor="text1" w:themeTint="F2"/>
                  <w:sz w:val="22"/>
                  <w:szCs w:val="22"/>
                </w:rPr>
                <w:t>21 a</w:t>
              </w:r>
            </w:smartTag>
            <w:r w:rsidRPr="00506990">
              <w:rPr>
                <w:rFonts w:ascii="Times New Roman" w:hAnsi="Times New Roman" w:cs="Times New Roman"/>
                <w:iCs/>
                <w:color w:val="0D0D0D" w:themeColor="text1" w:themeTint="F2"/>
                <w:sz w:val="22"/>
                <w:szCs w:val="22"/>
              </w:rPr>
              <w:t xml:space="preserve">) y b) de la ley mencionada. Todas ellas pueden ser consultadas en </w:t>
            </w:r>
            <w:hyperlink r:id="rId21" w:history="1">
              <w:r w:rsidR="00D253B0" w:rsidRPr="00506990">
                <w:rPr>
                  <w:rStyle w:val="Hipervnculo"/>
                  <w:rFonts w:ascii="Times New Roman" w:hAnsi="Times New Roman"/>
                  <w:iCs/>
                  <w:color w:val="0D0D0D" w:themeColor="text1" w:themeTint="F2"/>
                  <w:sz w:val="22"/>
                  <w:szCs w:val="22"/>
                </w:rPr>
                <w:t>www.argentina.gob.ar</w:t>
              </w:r>
            </w:hyperlink>
            <w:r w:rsidR="00D253B0" w:rsidRPr="00506990">
              <w:rPr>
                <w:rFonts w:ascii="Times New Roman" w:hAnsi="Times New Roman" w:cs="Times New Roman"/>
                <w:iCs/>
                <w:color w:val="0D0D0D" w:themeColor="text1" w:themeTint="F2"/>
                <w:sz w:val="22"/>
                <w:szCs w:val="22"/>
              </w:rPr>
              <w:t>/uif</w:t>
            </w:r>
            <w:r w:rsidRPr="00506990">
              <w:rPr>
                <w:rFonts w:ascii="Times New Roman" w:hAnsi="Times New Roman" w:cs="Times New Roman"/>
                <w:iCs/>
                <w:color w:val="0D0D0D" w:themeColor="text1" w:themeTint="F2"/>
                <w:sz w:val="22"/>
                <w:szCs w:val="22"/>
              </w:rPr>
              <w:t xml:space="preserve">. Asimismo, se da cumplimiento a las disposiciones del Título XI de las NORMAS de la CNV, que pueden ser consultadas en </w:t>
            </w:r>
            <w:hyperlink r:id="rId22" w:history="1">
              <w:r w:rsidR="000650CD" w:rsidRPr="00506990">
                <w:rPr>
                  <w:rStyle w:val="Hipervnculo"/>
                  <w:rFonts w:ascii="Times New Roman" w:hAnsi="Times New Roman"/>
                  <w:sz w:val="21"/>
                  <w:szCs w:val="21"/>
                </w:rPr>
                <w:t>www.cnv.gov.ar</w:t>
              </w:r>
            </w:hyperlink>
            <w:r w:rsidR="000650CD" w:rsidRPr="00780DEA">
              <w:rPr>
                <w:rFonts w:ascii="Times New Roman" w:hAnsi="Times New Roman" w:cs="Times New Roman"/>
                <w:color w:val="0D0D0D" w:themeColor="text1" w:themeTint="F2"/>
                <w:sz w:val="21"/>
                <w:szCs w:val="21"/>
                <w:lang w:val="es-AR"/>
              </w:rPr>
              <w:t>.</w:t>
            </w:r>
          </w:p>
          <w:p w14:paraId="3902BA52" w14:textId="3AFA4C9C" w:rsidR="00BD6597" w:rsidRPr="00506990" w:rsidRDefault="00BD6597" w:rsidP="00D253B0">
            <w:pPr>
              <w:suppressAutoHyphens/>
              <w:rPr>
                <w:rFonts w:ascii="Times New Roman" w:hAnsi="Times New Roman" w:cs="Times New Roman"/>
                <w:iCs/>
                <w:color w:val="0D0D0D" w:themeColor="text1" w:themeTint="F2"/>
                <w:sz w:val="22"/>
                <w:szCs w:val="22"/>
                <w:lang w:val="es-ES"/>
              </w:rPr>
            </w:pPr>
          </w:p>
        </w:tc>
      </w:tr>
      <w:tr w:rsidR="00482F96" w:rsidRPr="00506990" w14:paraId="335B27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14:paraId="6B470B41"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14:paraId="1F87AF42" w14:textId="77777777"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14:paraId="4C8F9E33" w14:textId="56CA7B9B" w:rsidR="00337DE5" w:rsidRPr="00506990" w:rsidRDefault="00337DE5" w:rsidP="00B228F5">
      <w:pPr>
        <w:pStyle w:val="Ttulo1"/>
        <w:jc w:val="center"/>
        <w:rPr>
          <w:rFonts w:ascii="Times New Roman" w:hAnsi="Times New Roman"/>
          <w:sz w:val="22"/>
          <w:szCs w:val="22"/>
        </w:rPr>
      </w:pPr>
      <w:bookmarkStart w:id="64" w:name="_1146641627"/>
      <w:bookmarkStart w:id="65" w:name="_1146641743"/>
      <w:bookmarkStart w:id="66" w:name="_1146641749"/>
      <w:bookmarkStart w:id="67" w:name="_1202654729"/>
      <w:bookmarkStart w:id="68" w:name="_1304343542"/>
      <w:bookmarkStart w:id="69" w:name="_1377426471"/>
      <w:bookmarkStart w:id="70" w:name="_1399977466"/>
      <w:bookmarkStart w:id="71" w:name="_1407049096"/>
      <w:bookmarkStart w:id="72" w:name="_1410772041"/>
      <w:bookmarkStart w:id="73" w:name="_1410772077"/>
      <w:bookmarkStart w:id="74" w:name="_1417270314"/>
      <w:bookmarkStart w:id="75" w:name="_1417270482"/>
      <w:bookmarkStart w:id="76" w:name="_1417270488"/>
      <w:bookmarkStart w:id="77" w:name="_1435140550"/>
      <w:bookmarkStart w:id="78" w:name="_Toc521424866"/>
      <w:bookmarkStart w:id="79" w:name="_Toc20409082"/>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78"/>
      <w:bookmarkEnd w:id="79"/>
    </w:p>
    <w:p w14:paraId="3CB4F2E7" w14:textId="77777777"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14:paraId="3B3E88A2" w14:textId="7A06D6B2" w:rsidR="00BD6597" w:rsidRPr="00506990" w:rsidRDefault="00C67FCF" w:rsidP="00BD6597">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lang w:val="es-ES"/>
        </w:rPr>
        <w:t>Rosario Administradora Sociedad Fiduciaria S.A., t</w:t>
      </w:r>
      <w:r w:rsidR="00BD6597" w:rsidRPr="00506990">
        <w:rPr>
          <w:rFonts w:ascii="Times New Roman" w:hAnsi="Times New Roman" w:cs="Times New Roman"/>
          <w:color w:val="0D0D0D" w:themeColor="text1" w:themeTint="F2"/>
          <w:sz w:val="22"/>
          <w:szCs w:val="22"/>
        </w:rPr>
        <w:t>iene su domicilio y sede social en Paraguay 777 Piso 9º de la ciudad de Rosario, Pcia. De Santa Fe, según inscripción el Registro Público de Comercio de Rosario el día 25 de enero de 2012, inscripto en Estatutos, al Tomo 93 Fº 1323 Nº 49.</w:t>
      </w:r>
    </w:p>
    <w:p w14:paraId="441322AB" w14:textId="31842211" w:rsidR="00087F1D" w:rsidRPr="00506990" w:rsidRDefault="00BD6597" w:rsidP="00BD6597">
      <w:pP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CUIT: 33-69371055-9</w:t>
      </w:r>
    </w:p>
    <w:p w14:paraId="20550671" w14:textId="56DBF95D" w:rsidR="00BD6597" w:rsidRPr="00506990" w:rsidRDefault="00BD6597" w:rsidP="00BD6597">
      <w:pP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w:t>
      </w:r>
      <w:r w:rsidR="00075A2B" w:rsidRPr="00506990">
        <w:rPr>
          <w:rFonts w:ascii="Times New Roman" w:hAnsi="Times New Roman" w:cs="Times New Roman"/>
          <w:color w:val="0D0D0D" w:themeColor="text1" w:themeTint="F2"/>
          <w:sz w:val="22"/>
          <w:szCs w:val="22"/>
          <w:lang w:val="en-US"/>
        </w:rPr>
        <w:t>.</w:t>
      </w:r>
      <w:r w:rsidRPr="00506990">
        <w:rPr>
          <w:rFonts w:ascii="Times New Roman" w:hAnsi="Times New Roman" w:cs="Times New Roman"/>
          <w:color w:val="0D0D0D" w:themeColor="text1" w:themeTint="F2"/>
          <w:sz w:val="22"/>
          <w:szCs w:val="22"/>
          <w:lang w:val="en-US"/>
        </w:rPr>
        <w:t xml:space="preserve">: 0341 </w:t>
      </w:r>
      <w:r w:rsidR="000851A8" w:rsidRPr="00506990">
        <w:rPr>
          <w:rFonts w:ascii="Times New Roman" w:hAnsi="Times New Roman" w:cs="Times New Roman"/>
          <w:color w:val="0D0D0D" w:themeColor="text1" w:themeTint="F2"/>
          <w:sz w:val="22"/>
          <w:szCs w:val="22"/>
          <w:lang w:val="en-US"/>
        </w:rPr>
        <w:t>5300900</w:t>
      </w:r>
      <w:r w:rsidRPr="00506990">
        <w:rPr>
          <w:rFonts w:ascii="Times New Roman" w:hAnsi="Times New Roman" w:cs="Times New Roman"/>
          <w:color w:val="0D0D0D" w:themeColor="text1" w:themeTint="F2"/>
          <w:sz w:val="22"/>
          <w:szCs w:val="22"/>
          <w:lang w:val="en-US"/>
        </w:rPr>
        <w:t xml:space="preserve">. </w:t>
      </w:r>
    </w:p>
    <w:p w14:paraId="78E4DE4F" w14:textId="2537958D" w:rsidR="00BD6597" w:rsidRPr="00506990" w:rsidRDefault="00BD6597" w:rsidP="00BD6597">
      <w:pP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Website:</w:t>
      </w:r>
      <w:r w:rsidR="00E65461" w:rsidRPr="00506990" w:rsidDel="00E65461">
        <w:rPr>
          <w:rFonts w:ascii="Times New Roman" w:hAnsi="Times New Roman" w:cs="Times New Roman"/>
          <w:color w:val="0D0D0D" w:themeColor="text1" w:themeTint="F2"/>
          <w:sz w:val="22"/>
          <w:szCs w:val="22"/>
          <w:lang w:val="en-US"/>
        </w:rPr>
        <w:t xml:space="preserve"> </w:t>
      </w:r>
      <w:r w:rsidR="00E65461" w:rsidRPr="00506990">
        <w:rPr>
          <w:rFonts w:ascii="Times New Roman" w:hAnsi="Times New Roman" w:cs="Times New Roman"/>
          <w:color w:val="0D0D0D" w:themeColor="text1" w:themeTint="F2"/>
          <w:sz w:val="22"/>
          <w:szCs w:val="22"/>
          <w:lang w:val="en-US"/>
        </w:rPr>
        <w:t xml:space="preserve"> https://www.rosfid.com.ar/</w:t>
      </w:r>
    </w:p>
    <w:p w14:paraId="7F3184EA" w14:textId="77777777" w:rsidR="00BD6597" w:rsidRPr="00506990" w:rsidRDefault="00BD6597" w:rsidP="00BD6597">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Correo electrónico </w:t>
      </w:r>
      <w:hyperlink r:id="rId23" w:history="1">
        <w:r w:rsidRPr="00506990">
          <w:rPr>
            <w:rStyle w:val="Hipervnculo"/>
            <w:rFonts w:ascii="Times New Roman" w:hAnsi="Times New Roman"/>
            <w:color w:val="0D0D0D" w:themeColor="text1" w:themeTint="F2"/>
            <w:sz w:val="22"/>
            <w:szCs w:val="22"/>
          </w:rPr>
          <w:t>administracion@rosfid.com.ar</w:t>
        </w:r>
      </w:hyperlink>
    </w:p>
    <w:p w14:paraId="7F935D75" w14:textId="77777777" w:rsidR="00BD6597" w:rsidRPr="00506990" w:rsidRDefault="00BD6597" w:rsidP="00BD6597">
      <w:pPr>
        <w:rPr>
          <w:rFonts w:ascii="Times New Roman" w:hAnsi="Times New Roman" w:cs="Times New Roman"/>
          <w:color w:val="0D0D0D" w:themeColor="text1" w:themeTint="F2"/>
          <w:sz w:val="22"/>
          <w:szCs w:val="22"/>
        </w:rPr>
      </w:pPr>
    </w:p>
    <w:p w14:paraId="08C34458" w14:textId="77777777" w:rsidR="00713670" w:rsidRPr="00506990" w:rsidRDefault="00713670" w:rsidP="00713670">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Rosario Fiduciaria ha sido inscripta en el registro de fiduciarios financieros de la Comisión Nacional de Valores en septiembre de 2003 bajo el Nº 41.</w:t>
      </w:r>
    </w:p>
    <w:p w14:paraId="65D0CD17" w14:textId="77777777" w:rsidR="000157B5" w:rsidRPr="00506990" w:rsidRDefault="000157B5" w:rsidP="000157B5">
      <w:pPr>
        <w:pStyle w:val="Ttulo1"/>
        <w:rPr>
          <w:rFonts w:ascii="Times New Roman" w:hAnsi="Times New Roman"/>
          <w:i/>
          <w:color w:val="0D0D0D" w:themeColor="text1" w:themeTint="F2"/>
          <w:sz w:val="22"/>
          <w:szCs w:val="22"/>
        </w:rPr>
      </w:pPr>
      <w:bookmarkStart w:id="80" w:name="_Toc521424867"/>
      <w:bookmarkStart w:id="81" w:name="_Toc20409083"/>
      <w:r w:rsidRPr="00506990">
        <w:rPr>
          <w:rFonts w:ascii="Times New Roman" w:hAnsi="Times New Roman"/>
          <w:color w:val="0D0D0D" w:themeColor="text1" w:themeTint="F2"/>
          <w:sz w:val="22"/>
          <w:szCs w:val="22"/>
        </w:rPr>
        <w:t>Directorio, Comisión Fiscalizadora y Gerencia de Primera Línea.</w:t>
      </w:r>
      <w:bookmarkEnd w:id="80"/>
      <w:bookmarkEnd w:id="81"/>
    </w:p>
    <w:p w14:paraId="1658EA5D" w14:textId="77777777" w:rsidR="000157B5" w:rsidRPr="00506990" w:rsidRDefault="000157B5" w:rsidP="000157B5">
      <w:pPr>
        <w:pStyle w:val="Textopredeterminado"/>
        <w:jc w:val="both"/>
        <w:rPr>
          <w:color w:val="0D0D0D" w:themeColor="text1" w:themeTint="F2"/>
          <w:sz w:val="22"/>
          <w:szCs w:val="22"/>
        </w:rPr>
      </w:pPr>
    </w:p>
    <w:p w14:paraId="3C1B3FAC" w14:textId="0812CA8F" w:rsidR="00087F1D" w:rsidRPr="00506990" w:rsidRDefault="000157B5" w:rsidP="000157B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Las Autoridades de Rosfid son dirigentes representantes de los accionistas, y cuentan con una extensa trayectoria y </w:t>
      </w:r>
      <w:r w:rsidRPr="000579E7">
        <w:rPr>
          <w:rFonts w:ascii="Times New Roman" w:hAnsi="Times New Roman" w:cs="Times New Roman"/>
          <w:color w:val="0D0D0D" w:themeColor="text1" w:themeTint="F2"/>
          <w:sz w:val="22"/>
          <w:szCs w:val="22"/>
        </w:rPr>
        <w:t>experiencia profesional en el sistema bursátil nacional. La nómina de los mismos puede consultarse en http://www.cnv.gov.ar/sitioWeb/RegistrosPublicos/Agente de Productos de Inversión Colectiva/Rosario Administradora Sociedad Fiduciaria S.A./Informacion Societaria/ Nominas</w:t>
      </w:r>
      <w:r w:rsidR="00D877C1" w:rsidRPr="000579E7">
        <w:rPr>
          <w:rFonts w:ascii="Times New Roman" w:hAnsi="Times New Roman" w:cs="Times New Roman"/>
          <w:color w:val="0D0D0D" w:themeColor="text1" w:themeTint="F2"/>
          <w:sz w:val="22"/>
          <w:szCs w:val="22"/>
        </w:rPr>
        <w:t>.</w:t>
      </w:r>
    </w:p>
    <w:p w14:paraId="07B32B5E" w14:textId="77777777" w:rsidR="00BD6597" w:rsidRPr="00506990" w:rsidRDefault="00BD6597" w:rsidP="00337DE5">
      <w:pPr>
        <w:rPr>
          <w:rFonts w:ascii="Times New Roman" w:hAnsi="Times New Roman" w:cs="Times New Roman"/>
          <w:color w:val="0D0D0D" w:themeColor="text1" w:themeTint="F2"/>
          <w:sz w:val="22"/>
          <w:szCs w:val="22"/>
        </w:rPr>
      </w:pPr>
    </w:p>
    <w:p w14:paraId="04D762BC" w14:textId="47C9CA96"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año 1997 nace como Sociedad Gerente de Fondos Comunes de Inversión “Rosario Administradora S.A. Sociedad Gerente de Fondos Comunes de Inversión”. Inscripta en el Registro Público de Comercio de la Ciudad de Rosario, Pcia.</w:t>
      </w:r>
      <w:r w:rsidR="00DD5E7C"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de Santa Fe, al Tomo 78, folio 11220, Nro. 532 del registro de Estatutos el 30 de diciembre de 1997 e inscripción en la Inspección General de Personas Jurídicas de la Provincia de Santa Fe, conforme Resolución Nº 923/97. Por Asamblea Unánime del año 2002 modifica su objeto social con el propósito de desempeñarse como sociedad fiduciaria de fideicomisos financieros y cambia su denominación social comenzando a operar, a partir de entonces, bajo el nombre de </w:t>
      </w:r>
      <w:r w:rsidRPr="00506990">
        <w:rPr>
          <w:rFonts w:ascii="Times New Roman" w:hAnsi="Times New Roman" w:cs="Times New Roman"/>
          <w:i/>
          <w:color w:val="0D0D0D" w:themeColor="text1" w:themeTint="F2"/>
          <w:sz w:val="22"/>
          <w:szCs w:val="22"/>
        </w:rPr>
        <w:t xml:space="preserve">Rosario Administradora Sociedad Fiduciaria S.A (en adelante “Rosfid”). </w:t>
      </w:r>
      <w:r w:rsidRPr="00506990">
        <w:rPr>
          <w:rFonts w:ascii="Times New Roman" w:hAnsi="Times New Roman" w:cs="Times New Roman"/>
          <w:color w:val="0D0D0D" w:themeColor="text1" w:themeTint="F2"/>
          <w:sz w:val="22"/>
          <w:szCs w:val="22"/>
        </w:rPr>
        <w:t xml:space="preserve">El mencionado cambio de denominación y objeto social fue inscripto en el Registro Público de Comercio de la Ciudad de Rosario,  Provincia de Santa Fe, de Rosario, al Tomo 84, Folio 845 Nro. 53 del Registro de Estatutos el 04 de febrero de 2003. El capital de la referida tiene como accionistas al Mercado Argentino de Valores S.A. en un 52.50%, </w:t>
      </w:r>
      <w:r w:rsidR="000851A8" w:rsidRPr="00506990">
        <w:rPr>
          <w:rFonts w:ascii="Times New Roman" w:hAnsi="Times New Roman" w:cs="Times New Roman"/>
          <w:color w:val="0D0D0D" w:themeColor="text1" w:themeTint="F2"/>
          <w:sz w:val="22"/>
          <w:szCs w:val="22"/>
        </w:rPr>
        <w:t xml:space="preserve">ROFEX Inversora </w:t>
      </w:r>
      <w:r w:rsidRPr="00506990">
        <w:rPr>
          <w:rFonts w:ascii="Times New Roman" w:hAnsi="Times New Roman" w:cs="Times New Roman"/>
          <w:color w:val="0D0D0D" w:themeColor="text1" w:themeTint="F2"/>
          <w:sz w:val="22"/>
          <w:szCs w:val="22"/>
        </w:rPr>
        <w:t>S.A. en un 42.50%,</w:t>
      </w:r>
      <w:r w:rsidR="000851A8" w:rsidRPr="00506990">
        <w:rPr>
          <w:rFonts w:ascii="Times New Roman" w:hAnsi="Times New Roman" w:cs="Times New Roman"/>
          <w:color w:val="0D0D0D" w:themeColor="text1" w:themeTint="F2"/>
          <w:sz w:val="22"/>
          <w:szCs w:val="22"/>
        </w:rPr>
        <w:t xml:space="preserve"> y</w:t>
      </w:r>
      <w:r w:rsidRPr="00506990">
        <w:rPr>
          <w:rFonts w:ascii="Times New Roman" w:hAnsi="Times New Roman" w:cs="Times New Roman"/>
          <w:color w:val="0D0D0D" w:themeColor="text1" w:themeTint="F2"/>
          <w:sz w:val="22"/>
          <w:szCs w:val="22"/>
        </w:rPr>
        <w:t xml:space="preserve"> la Bolsa de Comercio de Rosario</w:t>
      </w:r>
      <w:r w:rsidR="000851A8" w:rsidRPr="00506990">
        <w:rPr>
          <w:rFonts w:ascii="Times New Roman" w:hAnsi="Times New Roman" w:cs="Times New Roman"/>
          <w:color w:val="0D0D0D" w:themeColor="text1" w:themeTint="F2"/>
          <w:sz w:val="22"/>
          <w:szCs w:val="22"/>
        </w:rPr>
        <w:t xml:space="preserve"> Asociación Civil</w:t>
      </w:r>
      <w:r w:rsidRPr="00506990">
        <w:rPr>
          <w:rFonts w:ascii="Times New Roman" w:hAnsi="Times New Roman" w:cs="Times New Roman"/>
          <w:color w:val="0D0D0D" w:themeColor="text1" w:themeTint="F2"/>
          <w:sz w:val="22"/>
          <w:szCs w:val="22"/>
        </w:rPr>
        <w:t xml:space="preserve"> el 5% (las “Instituciones Accionistas”). Junt</w:t>
      </w:r>
      <w:r w:rsidR="002B48F2" w:rsidRPr="00506990">
        <w:rPr>
          <w:rFonts w:ascii="Times New Roman" w:hAnsi="Times New Roman" w:cs="Times New Roman"/>
          <w:color w:val="0D0D0D" w:themeColor="text1" w:themeTint="F2"/>
          <w:sz w:val="22"/>
          <w:szCs w:val="22"/>
        </w:rPr>
        <w:t>o</w:t>
      </w:r>
      <w:r w:rsidRPr="00506990">
        <w:rPr>
          <w:rFonts w:ascii="Times New Roman" w:hAnsi="Times New Roman" w:cs="Times New Roman"/>
          <w:color w:val="0D0D0D" w:themeColor="text1" w:themeTint="F2"/>
          <w:sz w:val="22"/>
          <w:szCs w:val="22"/>
        </w:rPr>
        <w:t>s, l</w:t>
      </w:r>
      <w:r w:rsidR="00CA1086" w:rsidRPr="00506990">
        <w:rPr>
          <w:rFonts w:ascii="Times New Roman" w:hAnsi="Times New Roman" w:cs="Times New Roman"/>
          <w:color w:val="0D0D0D" w:themeColor="text1" w:themeTint="F2"/>
          <w:sz w:val="22"/>
          <w:szCs w:val="22"/>
        </w:rPr>
        <w:t>o</w:t>
      </w:r>
      <w:r w:rsidRPr="00506990">
        <w:rPr>
          <w:rFonts w:ascii="Times New Roman" w:hAnsi="Times New Roman" w:cs="Times New Roman"/>
          <w:color w:val="0D0D0D" w:themeColor="text1" w:themeTint="F2"/>
          <w:sz w:val="22"/>
          <w:szCs w:val="22"/>
        </w:rPr>
        <w:t xml:space="preserve">s tres </w:t>
      </w:r>
      <w:r w:rsidR="00CA1086" w:rsidRPr="00506990">
        <w:rPr>
          <w:rFonts w:ascii="Times New Roman" w:hAnsi="Times New Roman" w:cs="Times New Roman"/>
          <w:color w:val="0D0D0D" w:themeColor="text1" w:themeTint="F2"/>
          <w:sz w:val="22"/>
          <w:szCs w:val="22"/>
        </w:rPr>
        <w:t>a</w:t>
      </w:r>
      <w:r w:rsidRPr="00506990">
        <w:rPr>
          <w:rFonts w:ascii="Times New Roman" w:hAnsi="Times New Roman" w:cs="Times New Roman"/>
          <w:color w:val="0D0D0D" w:themeColor="text1" w:themeTint="F2"/>
          <w:sz w:val="22"/>
          <w:szCs w:val="22"/>
        </w:rPr>
        <w:t xml:space="preserve">ccionistas pretenden dar vida a un instrumento de financiación como el del fideicomiso financiero, actuando no solamente en forma conjunta como asociadas, si no poniendo de sí todo el empeño que significa el interés de sus cuadros operativos y técnicos. </w:t>
      </w:r>
    </w:p>
    <w:p w14:paraId="7CA8AE95" w14:textId="77777777" w:rsidR="00337DE5" w:rsidRPr="00506990" w:rsidRDefault="00337DE5" w:rsidP="00337DE5">
      <w:pPr>
        <w:rPr>
          <w:rFonts w:ascii="Times New Roman" w:eastAsia="MS Mincho" w:hAnsi="Times New Roman" w:cs="Times New Roman"/>
          <w:color w:val="0D0D0D" w:themeColor="text1" w:themeTint="F2"/>
          <w:sz w:val="22"/>
          <w:szCs w:val="22"/>
        </w:rPr>
      </w:pPr>
    </w:p>
    <w:p w14:paraId="6E3E9232" w14:textId="32D3D3D1" w:rsidR="00337DE5" w:rsidRPr="00506990" w:rsidRDefault="00337DE5" w:rsidP="00337DE5">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 xml:space="preserve">En </w:t>
      </w:r>
      <w:r w:rsidR="00075A2B" w:rsidRPr="00506990">
        <w:rPr>
          <w:rFonts w:ascii="Times New Roman" w:eastAsia="MS Mincho" w:hAnsi="Times New Roman" w:cs="Times New Roman"/>
          <w:color w:val="0D0D0D" w:themeColor="text1" w:themeTint="F2"/>
          <w:sz w:val="22"/>
          <w:szCs w:val="22"/>
        </w:rPr>
        <w:t xml:space="preserve">noviembre  </w:t>
      </w:r>
      <w:r w:rsidRPr="00506990">
        <w:rPr>
          <w:rFonts w:ascii="Times New Roman" w:eastAsia="MS Mincho" w:hAnsi="Times New Roman" w:cs="Times New Roman"/>
          <w:color w:val="0D0D0D" w:themeColor="text1" w:themeTint="F2"/>
          <w:sz w:val="22"/>
          <w:szCs w:val="22"/>
        </w:rPr>
        <w:t>de 201</w:t>
      </w:r>
      <w:r w:rsidR="00075A2B" w:rsidRPr="00506990">
        <w:rPr>
          <w:rFonts w:ascii="Times New Roman" w:eastAsia="MS Mincho" w:hAnsi="Times New Roman" w:cs="Times New Roman"/>
          <w:color w:val="0D0D0D" w:themeColor="text1" w:themeTint="F2"/>
          <w:sz w:val="22"/>
          <w:szCs w:val="22"/>
        </w:rPr>
        <w:t>9</w:t>
      </w:r>
      <w:r w:rsidRPr="00506990">
        <w:rPr>
          <w:rFonts w:ascii="Times New Roman" w:eastAsia="MS Mincho" w:hAnsi="Times New Roman" w:cs="Times New Roman"/>
          <w:color w:val="0D0D0D" w:themeColor="text1" w:themeTint="F2"/>
          <w:sz w:val="22"/>
          <w:szCs w:val="22"/>
        </w:rPr>
        <w:t xml:space="preserve"> UNTREF Agencia de Calificación de Riesgo Universidad Pública (en adelante “UNTREF ACR UP), ha asignado calificación de calidad de fiduciario “2” (Fid) a ROSFID. Los Fiduciarios calificados en “2”, muestran una muy buena capacidad para cumplir con sus funciones operativas, legales y de administración. Su situación financiera es considerada fuerte y su posición competitiva y de mercado es estable.</w:t>
      </w:r>
      <w:r w:rsidR="0024476E" w:rsidRPr="00506990">
        <w:rPr>
          <w:rFonts w:ascii="Times New Roman" w:eastAsia="MS Mincho" w:hAnsi="Times New Roman" w:cs="Times New Roman"/>
          <w:color w:val="0D0D0D" w:themeColor="text1" w:themeTint="F2"/>
          <w:sz w:val="22"/>
          <w:szCs w:val="22"/>
        </w:rPr>
        <w:t xml:space="preserve"> Dicha calificación se encuentra vigente al día de la fecha.</w:t>
      </w:r>
    </w:p>
    <w:p w14:paraId="717B82F8" w14:textId="77777777" w:rsidR="00337DE5" w:rsidRPr="00506990" w:rsidRDefault="00337DE5" w:rsidP="00337DE5">
      <w:pPr>
        <w:rPr>
          <w:rFonts w:ascii="Times New Roman" w:eastAsia="MS Mincho" w:hAnsi="Times New Roman" w:cs="Times New Roman"/>
          <w:color w:val="0D0D0D" w:themeColor="text1" w:themeTint="F2"/>
          <w:sz w:val="22"/>
          <w:szCs w:val="22"/>
        </w:rPr>
      </w:pPr>
      <w:r w:rsidRPr="00506990">
        <w:rPr>
          <w:rFonts w:ascii="Times New Roman" w:eastAsia="MS Mincho" w:hAnsi="Times New Roman" w:cs="Times New Roman"/>
          <w:color w:val="0D0D0D" w:themeColor="text1" w:themeTint="F2"/>
          <w:sz w:val="22"/>
          <w:szCs w:val="22"/>
        </w:rPr>
        <w:t xml:space="preserve">Para mayor información puede consultarse la página web de Rosfid: </w:t>
      </w:r>
      <w:hyperlink r:id="rId24" w:history="1">
        <w:r w:rsidRPr="00506990">
          <w:rPr>
            <w:rFonts w:ascii="Times New Roman" w:eastAsia="MS Mincho" w:hAnsi="Times New Roman" w:cs="Times New Roman"/>
            <w:color w:val="0D0D0D" w:themeColor="text1" w:themeTint="F2"/>
            <w:sz w:val="22"/>
            <w:szCs w:val="22"/>
          </w:rPr>
          <w:t>www.rosfid.com.ar</w:t>
        </w:r>
      </w:hyperlink>
    </w:p>
    <w:p w14:paraId="16A99155" w14:textId="77777777" w:rsidR="00BD6597" w:rsidRPr="00506990" w:rsidRDefault="00BD6597" w:rsidP="00337DE5">
      <w:pPr>
        <w:rPr>
          <w:rFonts w:ascii="Times New Roman" w:eastAsia="MS Mincho" w:hAnsi="Times New Roman" w:cs="Times New Roman"/>
          <w:color w:val="0D0D0D" w:themeColor="text1" w:themeTint="F2"/>
          <w:sz w:val="22"/>
          <w:szCs w:val="22"/>
        </w:rPr>
      </w:pPr>
    </w:p>
    <w:p w14:paraId="2A5C5935" w14:textId="77777777" w:rsidR="00337DE5" w:rsidRPr="00506990" w:rsidRDefault="00337DE5" w:rsidP="00337DE5">
      <w:pPr>
        <w:rPr>
          <w:rFonts w:ascii="Times New Roman" w:hAnsi="Times New Roman" w:cs="Times New Roman"/>
          <w:color w:val="0D0D0D" w:themeColor="text1" w:themeTint="F2"/>
          <w:sz w:val="22"/>
          <w:szCs w:val="22"/>
        </w:rPr>
      </w:pPr>
    </w:p>
    <w:p w14:paraId="33D71C7F" w14:textId="293D5DC5" w:rsidR="00337DE5" w:rsidRPr="00506990" w:rsidRDefault="009A41AC" w:rsidP="00337DE5">
      <w:pPr>
        <w:rPr>
          <w:rFonts w:ascii="Times New Roman" w:hAnsi="Times New Roman" w:cs="Times New Roman"/>
          <w:b/>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Gestión De Rosfid</w:t>
      </w:r>
    </w:p>
    <w:p w14:paraId="5E6D1099" w14:textId="77777777" w:rsidR="00337DE5" w:rsidRPr="00506990" w:rsidRDefault="00337DE5" w:rsidP="00337DE5">
      <w:pPr>
        <w:rPr>
          <w:rFonts w:ascii="Times New Roman" w:hAnsi="Times New Roman" w:cs="Times New Roman"/>
          <w:color w:val="0D0D0D" w:themeColor="text1" w:themeTint="F2"/>
          <w:sz w:val="22"/>
          <w:szCs w:val="22"/>
          <w:u w:val="single"/>
        </w:rPr>
      </w:pPr>
    </w:p>
    <w:p w14:paraId="19229CF8" w14:textId="39BFAFD5" w:rsidR="00337DE5" w:rsidRPr="00506990" w:rsidRDefault="00337DE5" w:rsidP="00337DE5">
      <w:pP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Rosfid tiene por principal objeto dedicarse por cuenta propia, de terceros o asociada a terceros, tanto en el país como  en el exterior, a actuar como Fiduciario, administrando todo tipo de fideicomisos en los términos de la Ley 24.441 y el Capítulo 30 del Título IV</w:t>
      </w:r>
      <w:r w:rsidR="00A44C40" w:rsidRPr="00506990">
        <w:rPr>
          <w:rFonts w:ascii="Times New Roman" w:hAnsi="Times New Roman" w:cs="Times New Roman"/>
          <w:color w:val="0D0D0D" w:themeColor="text1" w:themeTint="F2"/>
          <w:sz w:val="22"/>
          <w:szCs w:val="22"/>
        </w:rPr>
        <w:t xml:space="preserve"> del Libro Tercero</w:t>
      </w:r>
      <w:r w:rsidRPr="00506990">
        <w:rPr>
          <w:rFonts w:ascii="Times New Roman" w:hAnsi="Times New Roman" w:cs="Times New Roman"/>
          <w:color w:val="0D0D0D" w:themeColor="text1" w:themeTint="F2"/>
          <w:sz w:val="22"/>
          <w:szCs w:val="22"/>
        </w:rPr>
        <w:t xml:space="preserve"> del Código Civil y Comercial de la Nación. Su Misión es acercar al Mercado de Capitales a las organizaciones con necesidades de financiamiento que cuenten con planes de crecimiento y desarrollo, y poder brindarle a los inversores, alternativas de inversión seguras y rentables.</w:t>
      </w:r>
    </w:p>
    <w:p w14:paraId="5FEC9256" w14:textId="77777777" w:rsidR="00337DE5" w:rsidRPr="00506990" w:rsidRDefault="00337DE5" w:rsidP="00337DE5">
      <w:pPr>
        <w:rPr>
          <w:rFonts w:ascii="Times New Roman" w:hAnsi="Times New Roman" w:cs="Times New Roman"/>
          <w:color w:val="0D0D0D" w:themeColor="text1" w:themeTint="F2"/>
          <w:sz w:val="22"/>
          <w:szCs w:val="22"/>
        </w:rPr>
      </w:pPr>
    </w:p>
    <w:p w14:paraId="11B6C895"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Desde su nacimiento la empresa ha experimentado un crecimiento sostenido aportando al desarrollo de financiación de empresas a través del mercado de capitales que se ha visto reflejado en el aumento del valor nominal del Programa Global de Valores Fiduciarios ROSFID, que en su origen fue de $ 50.000.000 (pesos cincuenta millones) hasta alcanzar los $750.000.000 (pesos setecientos cincuenta millones).</w:t>
      </w:r>
    </w:p>
    <w:p w14:paraId="2C39BFB7" w14:textId="77777777" w:rsidR="00337DE5" w:rsidRPr="00506990" w:rsidRDefault="00337DE5" w:rsidP="00337DE5">
      <w:pPr>
        <w:rPr>
          <w:rFonts w:ascii="Times New Roman" w:hAnsi="Times New Roman" w:cs="Times New Roman"/>
          <w:color w:val="0D0D0D" w:themeColor="text1" w:themeTint="F2"/>
          <w:sz w:val="22"/>
          <w:szCs w:val="22"/>
        </w:rPr>
      </w:pPr>
    </w:p>
    <w:p w14:paraId="3E7CA32D" w14:textId="6C461AE4"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Actualmente posee </w:t>
      </w:r>
      <w:r w:rsidR="008B4722" w:rsidRPr="00506990">
        <w:rPr>
          <w:rFonts w:ascii="Times New Roman" w:hAnsi="Times New Roman" w:cs="Times New Roman"/>
          <w:color w:val="0D0D0D" w:themeColor="text1" w:themeTint="F2"/>
          <w:sz w:val="22"/>
          <w:szCs w:val="22"/>
        </w:rPr>
        <w:t>los siguientes</w:t>
      </w:r>
      <w:r w:rsidRPr="00506990">
        <w:rPr>
          <w:rFonts w:ascii="Times New Roman" w:hAnsi="Times New Roman" w:cs="Times New Roman"/>
          <w:color w:val="0D0D0D" w:themeColor="text1" w:themeTint="F2"/>
          <w:sz w:val="22"/>
          <w:szCs w:val="22"/>
        </w:rPr>
        <w:t xml:space="preserve"> Programas Globales autorizados por la Comisión Nacional de Valores:, Programa Global de Valores Fiduciarios “SECUPLA” por hasta un V/N de $200.000.000.- (Pesos doscientos millones) (o su equivalente en otras monedas), Programa Global de Valores Fiduciarios “INVERLEASE” por hasta un V/N de US$ 20.000.000 (dólares estadounidenses veinte millones) (o su equivalente en otras monedas), Programa Global de Valores Fiduciarios “Sicom III”, por hasta un V/N de $ 200.000.000.- (pesos doscientos millones)  (o su equivalente en otras monedas), Programa Global de Valores Fiduciarios Rosfid Pyme, por hasta un V/N de $ 400.000.000.- (Pesos cuatrocientos millones) o su equivalente en otras monedas, Programa Global de Valores Fiduciarios “Metalfor”, por hasta un V/N de U$S 30.000.000.- ( dólares estadounidenses treinta millones ) o su equivalente en otras monedas, Programa Global de Valores Fiduciarios “TDF”, por hasta un V/N de $ 200.000.000.- (pesos doscientos millones)  (o su equivalente en otras monedas)</w:t>
      </w:r>
      <w:r w:rsidR="00CF0DDF"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Programa Global de Valores Fiduciarios “FIDEBICA”, por hasta un V/N de U$S 70.000.000.- (Dólares Estadounidenses setenta millones)  (o su equivalente en otras monedas)</w:t>
      </w:r>
      <w:r w:rsidR="00B30B34" w:rsidRPr="00506990">
        <w:rPr>
          <w:rFonts w:ascii="Times New Roman" w:hAnsi="Times New Roman" w:cs="Times New Roman"/>
          <w:color w:val="0D0D0D" w:themeColor="text1" w:themeTint="F2"/>
          <w:sz w:val="22"/>
          <w:szCs w:val="22"/>
        </w:rPr>
        <w:t xml:space="preserve">, </w:t>
      </w:r>
      <w:r w:rsidR="00CF0DDF" w:rsidRPr="00506990">
        <w:rPr>
          <w:rFonts w:ascii="Times New Roman" w:hAnsi="Times New Roman" w:cs="Times New Roman"/>
          <w:color w:val="0D0D0D" w:themeColor="text1" w:themeTint="F2"/>
          <w:sz w:val="22"/>
          <w:szCs w:val="22"/>
        </w:rPr>
        <w:t xml:space="preserve"> Programa Global de Valores Fiduciarios “Asis” para hasta V/N $ 200.000.000 (Pesos doscientos millones); o su equivalente en otras monedas</w:t>
      </w:r>
      <w:r w:rsidR="000833AF" w:rsidRPr="00506990">
        <w:rPr>
          <w:rFonts w:ascii="Times New Roman" w:hAnsi="Times New Roman" w:cs="Times New Roman"/>
          <w:color w:val="0D0D0D" w:themeColor="text1" w:themeTint="F2"/>
          <w:sz w:val="22"/>
          <w:szCs w:val="22"/>
        </w:rPr>
        <w:t xml:space="preserve">, Programa Global de Valores Fiduciarios “CONFIBONO” para hasta V/N </w:t>
      </w:r>
      <w:r w:rsidR="00B365A9" w:rsidRPr="00506990">
        <w:rPr>
          <w:rFonts w:ascii="Times New Roman" w:hAnsi="Times New Roman" w:cs="Times New Roman"/>
          <w:color w:val="0D0D0D" w:themeColor="text1" w:themeTint="F2"/>
          <w:sz w:val="22"/>
          <w:szCs w:val="22"/>
        </w:rPr>
        <w:t>U$S 80.000.000</w:t>
      </w:r>
      <w:r w:rsidR="000833AF" w:rsidRPr="00506990">
        <w:rPr>
          <w:rFonts w:ascii="Times New Roman" w:hAnsi="Times New Roman" w:cs="Times New Roman"/>
          <w:color w:val="0D0D0D" w:themeColor="text1" w:themeTint="F2"/>
          <w:sz w:val="22"/>
          <w:szCs w:val="22"/>
        </w:rPr>
        <w:t xml:space="preserve"> (</w:t>
      </w:r>
      <w:r w:rsidR="00B365A9" w:rsidRPr="00506990">
        <w:rPr>
          <w:rFonts w:ascii="Times New Roman" w:hAnsi="Times New Roman" w:cs="Times New Roman"/>
          <w:color w:val="0D0D0D" w:themeColor="text1" w:themeTint="F2"/>
          <w:sz w:val="22"/>
          <w:szCs w:val="22"/>
        </w:rPr>
        <w:t>dólares estadounidenses ochenta millones</w:t>
      </w:r>
      <w:r w:rsidR="000833AF" w:rsidRPr="00506990">
        <w:rPr>
          <w:rFonts w:ascii="Times New Roman" w:hAnsi="Times New Roman" w:cs="Times New Roman"/>
          <w:color w:val="0D0D0D" w:themeColor="text1" w:themeTint="F2"/>
          <w:sz w:val="22"/>
          <w:szCs w:val="22"/>
        </w:rPr>
        <w:t>); o su equivalente en otras monedas</w:t>
      </w:r>
      <w:r w:rsidR="002B48F2" w:rsidRPr="00506990">
        <w:rPr>
          <w:rFonts w:ascii="Times New Roman" w:hAnsi="Times New Roman" w:cs="Times New Roman"/>
          <w:color w:val="0D0D0D" w:themeColor="text1" w:themeTint="F2"/>
          <w:sz w:val="22"/>
          <w:szCs w:val="22"/>
        </w:rPr>
        <w:t xml:space="preserve"> ;  Programa Global de Valores Fiduciarios “FIDUCAR II”, por hasta V/N U$S 25.000.000.- (Dólares Estadounidenses veinticinco millones) (o su equivalente en otras monedas)</w:t>
      </w:r>
      <w:r w:rsidR="002D57D8" w:rsidRPr="00506990">
        <w:rPr>
          <w:rFonts w:ascii="Times New Roman" w:hAnsi="Times New Roman" w:cs="Times New Roman"/>
          <w:color w:val="0D0D0D" w:themeColor="text1" w:themeTint="F2"/>
          <w:sz w:val="22"/>
          <w:szCs w:val="22"/>
        </w:rPr>
        <w:t xml:space="preserve"> y Programa Global de Valores Fiduciarios “MIS”, por hasta V/N U$S 45.000.000.- (Dólares Estadounidenses cuarenta y cinco millones) (o su equivalente en otras monedas)</w:t>
      </w:r>
    </w:p>
    <w:p w14:paraId="4E8CCB11" w14:textId="77777777" w:rsidR="00337DE5" w:rsidRPr="00506990" w:rsidRDefault="00337DE5" w:rsidP="00337DE5">
      <w:pPr>
        <w:rPr>
          <w:rFonts w:ascii="Times New Roman" w:hAnsi="Times New Roman" w:cs="Times New Roman"/>
          <w:color w:val="0D0D0D" w:themeColor="text1" w:themeTint="F2"/>
          <w:sz w:val="22"/>
          <w:szCs w:val="22"/>
        </w:rPr>
      </w:pPr>
    </w:p>
    <w:p w14:paraId="0A571D3A"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Particular relevancia presenta el Programa Global de Valores Fiduciarios Rosfid Pyme autorizado por Resolución Nº 18.284 de fecha 20 de Octubre de 2016 de la CNV destinado a aquellas empresas que califiquen como “Pyme CNV” de acuerdo al régimen del artículo 1° del Capítulo VI del Título II “EMISORAS” de las NORMAS de la CNV (N.T 2013 y mod.) que serán identificadas en la constitución de cada Fideicomiso Financiero. El Programa Global de Valores Fiduciarios Rosfid Pyme, es el primero en ser autorizado por la CNV en el marco de la Resolución 660/2016 y tiene por objeto simplificar el acceso al mercado de capitales a las pequeñas y medianas empresas evitando los costos legales, de aranceles y mayor celeridad en los tramites de aprobación para aquellas Pymes que deseen emitir su primer fideicomiso financiero en el mercado de capitales, toda vez que adhieren a un Programa abierto, sin necesidad de constituir uno propio con los tiempos y costos que ello demanda.</w:t>
      </w:r>
    </w:p>
    <w:p w14:paraId="4B08E993" w14:textId="77777777" w:rsidR="00337DE5" w:rsidRPr="00506990" w:rsidRDefault="00337DE5" w:rsidP="00337DE5">
      <w:pPr>
        <w:rPr>
          <w:rFonts w:ascii="Times New Roman" w:hAnsi="Times New Roman" w:cs="Times New Roman"/>
          <w:color w:val="0D0D0D" w:themeColor="text1" w:themeTint="F2"/>
          <w:sz w:val="22"/>
          <w:szCs w:val="22"/>
        </w:rPr>
      </w:pPr>
    </w:p>
    <w:p w14:paraId="2FF58C63"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Adicionalmente Rosfid participa como Organizador en la emisión de la Obligación Negociables y en general provee a las empresas de las herramientas necesarias para el acceso mercado de capitales. </w:t>
      </w:r>
    </w:p>
    <w:p w14:paraId="7A177F96" w14:textId="77777777" w:rsidR="00337DE5" w:rsidRPr="00506990" w:rsidRDefault="00337DE5" w:rsidP="00337DE5">
      <w:pPr>
        <w:rPr>
          <w:rFonts w:ascii="Times New Roman" w:hAnsi="Times New Roman" w:cs="Times New Roman"/>
          <w:color w:val="0D0D0D" w:themeColor="text1" w:themeTint="F2"/>
          <w:sz w:val="22"/>
          <w:szCs w:val="22"/>
        </w:rPr>
      </w:pPr>
    </w:p>
    <w:p w14:paraId="6711B584" w14:textId="2A56E3F0"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Sus cliente</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son empresas que se encuentran en constante</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cambio</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rediseñando procesos para ser cada día más competitivas y haciendo uso de instrumentos financieros de vanguardia para lograr sus objetivos económico</w:t>
      </w:r>
      <w:r w:rsidR="000C754E"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-financieros. </w:t>
      </w:r>
    </w:p>
    <w:p w14:paraId="2D6D7C7E" w14:textId="77777777" w:rsidR="00337DE5" w:rsidRPr="00506990" w:rsidRDefault="00337DE5" w:rsidP="00337DE5">
      <w:pPr>
        <w:rPr>
          <w:rFonts w:ascii="Times New Roman" w:hAnsi="Times New Roman" w:cs="Times New Roman"/>
          <w:color w:val="0D0D0D" w:themeColor="text1" w:themeTint="F2"/>
          <w:sz w:val="22"/>
          <w:szCs w:val="22"/>
        </w:rPr>
      </w:pPr>
    </w:p>
    <w:p w14:paraId="5C4DCB0F"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Rosfid le ofrece a estas empresas la organización y diseño de productos para la optimización de su estructura de capital a fin de generar un mayor valor corporativo y las acompaña en el proceso de emisión y colocación de títulos valores en el Mercado de Capitales.</w:t>
      </w:r>
    </w:p>
    <w:p w14:paraId="2F73DDC2" w14:textId="77777777" w:rsidR="00337DE5" w:rsidRPr="00506990" w:rsidRDefault="00337DE5" w:rsidP="00337DE5">
      <w:pPr>
        <w:rPr>
          <w:rFonts w:ascii="Times New Roman" w:hAnsi="Times New Roman" w:cs="Times New Roman"/>
          <w:color w:val="0D0D0D" w:themeColor="text1" w:themeTint="F2"/>
          <w:sz w:val="22"/>
          <w:szCs w:val="22"/>
        </w:rPr>
      </w:pPr>
    </w:p>
    <w:p w14:paraId="0B0F371E"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ello se focaliza en compañías que tengan un fuerte arraigo regional y compromiso social con su medio, promoviendo el desarrollo de las economías regionales y la generación de empleo.</w:t>
      </w:r>
    </w:p>
    <w:p w14:paraId="799230B4" w14:textId="77777777" w:rsidR="00BD6597" w:rsidRPr="00506990" w:rsidRDefault="00BD6597" w:rsidP="00337DE5">
      <w:pPr>
        <w:rPr>
          <w:rFonts w:ascii="Times New Roman" w:hAnsi="Times New Roman" w:cs="Times New Roman"/>
          <w:color w:val="0D0D0D" w:themeColor="text1" w:themeTint="F2"/>
          <w:sz w:val="22"/>
          <w:szCs w:val="22"/>
        </w:rPr>
      </w:pPr>
    </w:p>
    <w:p w14:paraId="18B43F85" w14:textId="77777777" w:rsidR="00BD6597" w:rsidRPr="00506990" w:rsidRDefault="00BD6597" w:rsidP="00BD6597">
      <w:pPr>
        <w:pStyle w:val="notaalpie"/>
        <w:suppressAutoHyphens/>
        <w:rPr>
          <w:rFonts w:ascii="Times New Roman" w:hAnsi="Times New Roman" w:cs="Times New Roman"/>
          <w:b/>
          <w:color w:val="0D0D0D" w:themeColor="text1" w:themeTint="F2"/>
          <w:sz w:val="22"/>
          <w:szCs w:val="22"/>
          <w:u w:val="single"/>
          <w:lang w:val="es-AR"/>
        </w:rPr>
      </w:pPr>
      <w:r w:rsidRPr="00506990">
        <w:rPr>
          <w:rFonts w:ascii="Times New Roman" w:hAnsi="Times New Roman" w:cs="Times New Roman"/>
          <w:b/>
          <w:color w:val="0D0D0D" w:themeColor="text1" w:themeTint="F2"/>
          <w:sz w:val="22"/>
          <w:szCs w:val="22"/>
          <w:u w:val="single"/>
          <w:lang w:val="es-AR"/>
        </w:rPr>
        <w:t>Perspectivas de la Empresa</w:t>
      </w:r>
    </w:p>
    <w:p w14:paraId="55F59679" w14:textId="77777777" w:rsidR="00BD6597" w:rsidRPr="00506990" w:rsidRDefault="00BD6597" w:rsidP="00BD6597">
      <w:pPr>
        <w:pStyle w:val="notaalpie"/>
        <w:suppressAutoHyphens/>
        <w:rPr>
          <w:rFonts w:ascii="Times New Roman" w:hAnsi="Times New Roman" w:cs="Times New Roman"/>
          <w:b/>
          <w:color w:val="0D0D0D" w:themeColor="text1" w:themeTint="F2"/>
          <w:sz w:val="22"/>
          <w:szCs w:val="22"/>
          <w:u w:val="single"/>
          <w:lang w:val="es-AR"/>
        </w:rPr>
      </w:pPr>
    </w:p>
    <w:p w14:paraId="499A92E6"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Los Fideicomisos, en particular los Fideicomisos Financieros con oferta pública, continúan demostrando ser una importante herramienta de financiamiento para un grupo cada vez más importante de empresas y para nuevos sectores de la economía que han comenzado a utilizarla. Durante el ejercicio, la empresa ha continuado con la profundización del desarrollo de herramientas internas de gestión y control a fin de dotar de mejores recursos a la empresa que le permita ser cada vez más eficiente en todo aspecto.</w:t>
      </w:r>
    </w:p>
    <w:p w14:paraId="4A024D75"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Se renueva el compromiso de consolidar el liderazgo regional en el mercado fiduciario, incrementando el número de activos bajo administración, consecuentemente aumentando los ingresos y manteniendo un adecuado nivel de costos. El objetivo continúa siendo el de generar instrumentos de oferta pública que permita a las empresas y asociaciones de la región, obtener financiamiento genuino y acorde a sus necesidades, como así también ofrecerle a los inversores regionales y nacionales alternativas de inversión rentables, seguras y transparentes.</w:t>
      </w:r>
    </w:p>
    <w:p w14:paraId="55625B6B"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El Directorio de la sociedad, en representación de sus entidades accionistas, han definido políticas orientadas a lograr un mayor y más eficiente financiamiento de empresas de la región, mayoritariamente ligadas a la actividad agropecuaria y agro industrial, representantes fieles de las actividades productivas de la región. </w:t>
      </w:r>
    </w:p>
    <w:p w14:paraId="3959F083"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En concordancia con lo antes mencionado, y si las condiciones del mercado financiero son razonablemente favorables, para el ejercicio en curso se espera que Rosfid continúe incrementando el volumen de emisiones y el valor nominal emitido. </w:t>
      </w:r>
    </w:p>
    <w:p w14:paraId="4A6CA6DC" w14:textId="77777777" w:rsidR="00BD6597" w:rsidRPr="00506990" w:rsidRDefault="00BD6597" w:rsidP="00BD6597">
      <w:pPr>
        <w:pStyle w:val="notaalpie"/>
        <w:suppressAutoHyphens/>
        <w:spacing w:after="24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A fin de acompañar la tendencia creciente del mercado e inclusive desarrollar aún más su cartera de clientes, la sociedad continúa profundizando su actividad comercial tendiente a incrementar el volumen de negocios, la rentabilidad y el valor del capital de la sociedad.</w:t>
      </w:r>
    </w:p>
    <w:p w14:paraId="454A1486" w14:textId="05040B11" w:rsidR="00BD6597" w:rsidRPr="00506990" w:rsidRDefault="00BD6597" w:rsidP="00BD6597">
      <w:pPr>
        <w:suppressAutoHyphens/>
        <w:spacing w:after="240"/>
        <w:rPr>
          <w:rStyle w:val="Hipervnculo"/>
          <w:rFonts w:ascii="Times New Roman" w:hAnsi="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Información adicional del Fiduciario y de las emisiones en las que participa se encuentra disponible en su página web: </w:t>
      </w:r>
      <w:hyperlink r:id="rId25" w:history="1">
        <w:r w:rsidRPr="00506990">
          <w:rPr>
            <w:rStyle w:val="Hipervnculo"/>
            <w:rFonts w:ascii="Times New Roman" w:hAnsi="Times New Roman"/>
            <w:color w:val="0D0D0D" w:themeColor="text1" w:themeTint="F2"/>
            <w:sz w:val="22"/>
            <w:szCs w:val="22"/>
          </w:rPr>
          <w:t>www.rosfid.com.ar</w:t>
        </w:r>
      </w:hyperlink>
      <w:r w:rsidRPr="00506990">
        <w:rPr>
          <w:rStyle w:val="Hipervnculo"/>
          <w:rFonts w:ascii="Times New Roman" w:hAnsi="Times New Roman"/>
          <w:color w:val="0D0D0D" w:themeColor="text1" w:themeTint="F2"/>
          <w:sz w:val="22"/>
          <w:szCs w:val="22"/>
          <w:u w:val="none"/>
        </w:rPr>
        <w:t xml:space="preserve"> y en la página web de la CNV: </w:t>
      </w:r>
      <w:hyperlink r:id="rId26" w:history="1">
        <w:r w:rsidRPr="00506990">
          <w:rPr>
            <w:rStyle w:val="Hipervnculo"/>
            <w:rFonts w:ascii="Times New Roman" w:hAnsi="Times New Roman"/>
            <w:color w:val="0D0D0D" w:themeColor="text1" w:themeTint="F2"/>
            <w:sz w:val="22"/>
            <w:szCs w:val="22"/>
          </w:rPr>
          <w:t>www.cnv.go</w:t>
        </w:r>
        <w:r w:rsidR="00413336" w:rsidRPr="00506990">
          <w:rPr>
            <w:rStyle w:val="Hipervnculo"/>
            <w:rFonts w:ascii="Times New Roman" w:hAnsi="Times New Roman"/>
            <w:color w:val="0D0D0D" w:themeColor="text1" w:themeTint="F2"/>
            <w:sz w:val="22"/>
            <w:szCs w:val="22"/>
          </w:rPr>
          <w:t>v</w:t>
        </w:r>
        <w:r w:rsidRPr="00506990">
          <w:rPr>
            <w:rStyle w:val="Hipervnculo"/>
            <w:rFonts w:ascii="Times New Roman" w:hAnsi="Times New Roman"/>
            <w:color w:val="0D0D0D" w:themeColor="text1" w:themeTint="F2"/>
            <w:sz w:val="22"/>
            <w:szCs w:val="22"/>
          </w:rPr>
          <w:t>.ar</w:t>
        </w:r>
      </w:hyperlink>
      <w:r w:rsidRPr="00506990">
        <w:rPr>
          <w:rStyle w:val="Hipervnculo"/>
          <w:rFonts w:ascii="Times New Roman" w:hAnsi="Times New Roman"/>
          <w:color w:val="0D0D0D" w:themeColor="text1" w:themeTint="F2"/>
          <w:sz w:val="22"/>
          <w:szCs w:val="22"/>
        </w:rPr>
        <w:t>.</w:t>
      </w:r>
    </w:p>
    <w:p w14:paraId="460220E9" w14:textId="77777777" w:rsidR="00BD6597" w:rsidRPr="00506990" w:rsidRDefault="00BD6597" w:rsidP="00BD6597">
      <w:pPr>
        <w:suppressAutoHyphens/>
        <w:spacing w:after="240"/>
        <w:rPr>
          <w:rStyle w:val="Hipervnculo"/>
          <w:rFonts w:ascii="Times New Roman" w:hAnsi="Times New Roman"/>
          <w:color w:val="0D0D0D" w:themeColor="text1" w:themeTint="F2"/>
          <w:sz w:val="22"/>
          <w:szCs w:val="22"/>
        </w:rPr>
      </w:pPr>
      <w:r w:rsidRPr="00506990">
        <w:rPr>
          <w:rStyle w:val="Hipervnculo"/>
          <w:rFonts w:ascii="Times New Roman" w:hAnsi="Times New Roman"/>
          <w:color w:val="0D0D0D" w:themeColor="text1" w:themeTint="F2"/>
          <w:sz w:val="22"/>
          <w:szCs w:val="22"/>
        </w:rPr>
        <w:t>Política Ambiental</w:t>
      </w:r>
    </w:p>
    <w:p w14:paraId="5AB56861" w14:textId="77777777" w:rsidR="00BD6597" w:rsidRPr="00506990" w:rsidRDefault="00BD6597" w:rsidP="00BD6597">
      <w:pPr>
        <w:pStyle w:val="Textopredeterminado"/>
        <w:jc w:val="both"/>
        <w:rPr>
          <w:color w:val="0D0D0D" w:themeColor="text1" w:themeTint="F2"/>
          <w:sz w:val="22"/>
          <w:szCs w:val="22"/>
        </w:rPr>
      </w:pPr>
      <w:r w:rsidRPr="00506990">
        <w:rPr>
          <w:color w:val="0D0D0D" w:themeColor="text1" w:themeTint="F2"/>
          <w:sz w:val="22"/>
          <w:szCs w:val="22"/>
        </w:rPr>
        <w:t>La compañía no posee a la fecha una política ambiental debido a que la naturaleza del negocio y su actividad principal no posee un impacto significativo sobre el medioambiente. Sin perjuicio de ello, ha adherido al Programa de Separación y tratamiento de residuos SE.PA.RE. de la Municipalidad de Rosario y ha tomado medidas tendientes a racionalizar el consumo de energía, papel y agua dentro del ambiente de trabajo tal como ser la renovación del parque de monitores, reemplazando los de tubo por monitores LED y la concientización sobre la importancia de su uso eficiente, el reporte de pérdidas, así como la arquitectura de las oficinas para el mayor aprovechamiento de la luz natural</w:t>
      </w:r>
    </w:p>
    <w:p w14:paraId="7C7233FE" w14:textId="77777777" w:rsidR="00BD6597" w:rsidRPr="00506990" w:rsidRDefault="00BD6597" w:rsidP="00BD6597">
      <w:pPr>
        <w:rPr>
          <w:rFonts w:ascii="Times New Roman" w:hAnsi="Times New Roman" w:cs="Times New Roman"/>
          <w:color w:val="0D0D0D" w:themeColor="text1" w:themeTint="F2"/>
          <w:sz w:val="22"/>
          <w:szCs w:val="22"/>
        </w:rPr>
      </w:pPr>
    </w:p>
    <w:p w14:paraId="64AAF0BB" w14:textId="77777777" w:rsidR="00337DE5" w:rsidRPr="00506990" w:rsidRDefault="00337DE5" w:rsidP="00337DE5">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Información contable </w:t>
      </w:r>
    </w:p>
    <w:p w14:paraId="0CE22C19" w14:textId="77777777" w:rsidR="00337DE5" w:rsidRPr="00506990" w:rsidRDefault="00337DE5" w:rsidP="00337DE5">
      <w:pPr>
        <w:rPr>
          <w:rFonts w:ascii="Times New Roman" w:hAnsi="Times New Roman" w:cs="Times New Roman"/>
          <w:color w:val="0D0D0D" w:themeColor="text1" w:themeTint="F2"/>
          <w:sz w:val="22"/>
          <w:szCs w:val="22"/>
        </w:rPr>
      </w:pPr>
    </w:p>
    <w:p w14:paraId="5BC27FB7" w14:textId="52A1F861"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Los estados contables del Fiduciario pueden ser consultados en: </w:t>
      </w:r>
      <w:r w:rsidR="000157B5" w:rsidRPr="00506990">
        <w:rPr>
          <w:rFonts w:ascii="Times New Roman" w:hAnsi="Times New Roman" w:cs="Times New Roman"/>
          <w:color w:val="0D0D0D" w:themeColor="text1" w:themeTint="F2"/>
          <w:sz w:val="22"/>
          <w:szCs w:val="22"/>
        </w:rPr>
        <w:t>http://www.cnv.gov.ar/Registros</w:t>
      </w:r>
      <w:r w:rsidR="00543A70" w:rsidRPr="00506990">
        <w:rPr>
          <w:rFonts w:ascii="Times New Roman" w:hAnsi="Times New Roman" w:cs="Times New Roman"/>
          <w:color w:val="0D0D0D" w:themeColor="text1" w:themeTint="F2"/>
          <w:sz w:val="22"/>
          <w:szCs w:val="22"/>
        </w:rPr>
        <w:t>Públicos</w:t>
      </w:r>
      <w:r w:rsidRPr="00506990">
        <w:rPr>
          <w:rFonts w:ascii="Times New Roman" w:hAnsi="Times New Roman" w:cs="Times New Roman"/>
          <w:color w:val="0D0D0D" w:themeColor="text1" w:themeTint="F2"/>
          <w:sz w:val="22"/>
          <w:szCs w:val="22"/>
        </w:rPr>
        <w:t>/</w:t>
      </w:r>
      <w:r w:rsidR="00543A70" w:rsidRPr="00506990">
        <w:rPr>
          <w:rFonts w:ascii="Times New Roman" w:hAnsi="Times New Roman" w:cs="Times New Roman"/>
          <w:color w:val="0D0D0D" w:themeColor="text1" w:themeTint="F2"/>
          <w:sz w:val="22"/>
          <w:szCs w:val="22"/>
        </w:rPr>
        <w:t>Agentes de Productos de Inversión Colectiva</w:t>
      </w:r>
      <w:r w:rsidRPr="00506990">
        <w:rPr>
          <w:rFonts w:ascii="Times New Roman" w:hAnsi="Times New Roman" w:cs="Times New Roman"/>
          <w:color w:val="0D0D0D" w:themeColor="text1" w:themeTint="F2"/>
          <w:sz w:val="22"/>
          <w:szCs w:val="22"/>
        </w:rPr>
        <w:t>/ Rosario Administradora Sociedad Fiduciaria S.A.</w:t>
      </w:r>
      <w:r w:rsidR="00B365A9" w:rsidRPr="00506990">
        <w:rPr>
          <w:rFonts w:ascii="Times New Roman" w:hAnsi="Times New Roman" w:cs="Times New Roman"/>
          <w:color w:val="0D0D0D" w:themeColor="text1" w:themeTint="F2"/>
          <w:sz w:val="22"/>
          <w:szCs w:val="22"/>
        </w:rPr>
        <w:t>/Información Financiera</w:t>
      </w:r>
      <w:r w:rsidR="00A017F9" w:rsidRPr="00506990">
        <w:rPr>
          <w:rFonts w:ascii="Times New Roman" w:hAnsi="Times New Roman" w:cs="Times New Roman"/>
          <w:color w:val="0D0D0D" w:themeColor="text1" w:themeTint="F2"/>
          <w:sz w:val="22"/>
          <w:szCs w:val="22"/>
        </w:rPr>
        <w:t>/ Estados Contables</w:t>
      </w:r>
      <w:r w:rsidRPr="00506990">
        <w:rPr>
          <w:rFonts w:ascii="Times New Roman" w:hAnsi="Times New Roman" w:cs="Times New Roman"/>
          <w:color w:val="0D0D0D" w:themeColor="text1" w:themeTint="F2"/>
          <w:sz w:val="22"/>
          <w:szCs w:val="22"/>
        </w:rPr>
        <w:t>.</w:t>
      </w:r>
    </w:p>
    <w:p w14:paraId="4FAA7801" w14:textId="77777777" w:rsidR="00337DE5" w:rsidRPr="00506990" w:rsidRDefault="00337DE5" w:rsidP="00337DE5">
      <w:pPr>
        <w:rPr>
          <w:rFonts w:ascii="Times New Roman" w:hAnsi="Times New Roman" w:cs="Times New Roman"/>
          <w:color w:val="0D0D0D" w:themeColor="text1" w:themeTint="F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2975"/>
        <w:gridCol w:w="2128"/>
        <w:gridCol w:w="2126"/>
      </w:tblGrid>
      <w:tr w:rsidR="00337DE5" w:rsidRPr="00506990" w14:paraId="4E79DAD3" w14:textId="77777777" w:rsidTr="00EE6B60">
        <w:trPr>
          <w:trHeight w:val="163"/>
          <w:jc w:val="center"/>
        </w:trPr>
        <w:tc>
          <w:tcPr>
            <w:tcW w:w="8455" w:type="dxa"/>
            <w:gridSpan w:val="4"/>
            <w:vAlign w:val="center"/>
          </w:tcPr>
          <w:p w14:paraId="59CAA71D"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COMPOSICIÓN DEL CAPITAL</w:t>
            </w:r>
          </w:p>
        </w:tc>
      </w:tr>
      <w:tr w:rsidR="000F4541" w:rsidRPr="00506990" w14:paraId="34870F87" w14:textId="77777777" w:rsidTr="00EE6B60">
        <w:trPr>
          <w:cantSplit/>
          <w:trHeight w:val="112"/>
          <w:jc w:val="center"/>
        </w:trPr>
        <w:tc>
          <w:tcPr>
            <w:tcW w:w="4201" w:type="dxa"/>
            <w:gridSpan w:val="2"/>
            <w:vAlign w:val="center"/>
          </w:tcPr>
          <w:p w14:paraId="33CCC1F2"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ACCIONES</w:t>
            </w:r>
          </w:p>
        </w:tc>
        <w:tc>
          <w:tcPr>
            <w:tcW w:w="2128" w:type="dxa"/>
            <w:vMerge w:val="restart"/>
            <w:vAlign w:val="center"/>
          </w:tcPr>
          <w:p w14:paraId="51392CF7"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Capital Suscripto $</w:t>
            </w:r>
          </w:p>
        </w:tc>
        <w:tc>
          <w:tcPr>
            <w:tcW w:w="2126" w:type="dxa"/>
            <w:vMerge w:val="restart"/>
            <w:vAlign w:val="center"/>
          </w:tcPr>
          <w:p w14:paraId="197EE795"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Capital Integrado $</w:t>
            </w:r>
          </w:p>
        </w:tc>
      </w:tr>
      <w:tr w:rsidR="000F4541" w:rsidRPr="00506990" w14:paraId="02FF4477" w14:textId="77777777" w:rsidTr="00EE6B60">
        <w:trPr>
          <w:cantSplit/>
          <w:trHeight w:val="72"/>
          <w:jc w:val="center"/>
        </w:trPr>
        <w:tc>
          <w:tcPr>
            <w:tcW w:w="1226" w:type="dxa"/>
            <w:vAlign w:val="center"/>
          </w:tcPr>
          <w:p w14:paraId="3C6B8410"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Cantidad</w:t>
            </w:r>
          </w:p>
        </w:tc>
        <w:tc>
          <w:tcPr>
            <w:tcW w:w="2975" w:type="dxa"/>
            <w:vAlign w:val="center"/>
          </w:tcPr>
          <w:p w14:paraId="03B6215F" w14:textId="77777777" w:rsidR="00337DE5" w:rsidRPr="00506990" w:rsidRDefault="00337DE5" w:rsidP="00337DE5">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Tipo</w:t>
            </w:r>
          </w:p>
        </w:tc>
        <w:tc>
          <w:tcPr>
            <w:tcW w:w="2128" w:type="dxa"/>
            <w:vMerge/>
          </w:tcPr>
          <w:p w14:paraId="7D2AFEE4" w14:textId="77777777" w:rsidR="00337DE5" w:rsidRPr="00506990" w:rsidRDefault="00337DE5" w:rsidP="00337DE5">
            <w:pPr>
              <w:rPr>
                <w:rFonts w:ascii="Times New Roman" w:hAnsi="Times New Roman" w:cs="Times New Roman"/>
                <w:color w:val="0D0D0D" w:themeColor="text1" w:themeTint="F2"/>
                <w:sz w:val="22"/>
                <w:szCs w:val="22"/>
              </w:rPr>
            </w:pPr>
          </w:p>
        </w:tc>
        <w:tc>
          <w:tcPr>
            <w:tcW w:w="2126" w:type="dxa"/>
            <w:vMerge/>
          </w:tcPr>
          <w:p w14:paraId="758178AC" w14:textId="77777777" w:rsidR="00337DE5" w:rsidRPr="00506990" w:rsidRDefault="00337DE5" w:rsidP="00337DE5">
            <w:pPr>
              <w:rPr>
                <w:rFonts w:ascii="Times New Roman" w:hAnsi="Times New Roman" w:cs="Times New Roman"/>
                <w:color w:val="0D0D0D" w:themeColor="text1" w:themeTint="F2"/>
                <w:sz w:val="22"/>
                <w:szCs w:val="22"/>
              </w:rPr>
            </w:pPr>
          </w:p>
        </w:tc>
      </w:tr>
      <w:tr w:rsidR="000F4541" w:rsidRPr="00506990" w14:paraId="0232387F" w14:textId="77777777" w:rsidTr="00EE6B60">
        <w:trPr>
          <w:trHeight w:val="148"/>
          <w:jc w:val="center"/>
        </w:trPr>
        <w:tc>
          <w:tcPr>
            <w:tcW w:w="1226" w:type="dxa"/>
            <w:vAlign w:val="center"/>
          </w:tcPr>
          <w:p w14:paraId="15F244F4"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w:t>
            </w:r>
          </w:p>
        </w:tc>
        <w:tc>
          <w:tcPr>
            <w:tcW w:w="2975" w:type="dxa"/>
          </w:tcPr>
          <w:p w14:paraId="0A4BEF35"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Acciones Ordinarias, escriturales, de V/N $1.000 con derecho a un voto por acción</w:t>
            </w:r>
          </w:p>
        </w:tc>
        <w:tc>
          <w:tcPr>
            <w:tcW w:w="2128" w:type="dxa"/>
            <w:vAlign w:val="center"/>
          </w:tcPr>
          <w:p w14:paraId="1E246EF7"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10.000.000</w:t>
            </w:r>
          </w:p>
        </w:tc>
        <w:tc>
          <w:tcPr>
            <w:tcW w:w="2126" w:type="dxa"/>
            <w:vAlign w:val="center"/>
          </w:tcPr>
          <w:p w14:paraId="76C1C1BC" w14:textId="77777777" w:rsidR="00337DE5" w:rsidRPr="00506990" w:rsidRDefault="00337DE5" w:rsidP="00337DE5">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10.000.000</w:t>
            </w:r>
          </w:p>
        </w:tc>
      </w:tr>
    </w:tbl>
    <w:p w14:paraId="1CEB68A8" w14:textId="77777777" w:rsidR="00A56908" w:rsidRPr="00506990" w:rsidRDefault="00A56908">
      <w:pPr>
        <w:pStyle w:val="Textoindependiente"/>
        <w:jc w:val="both"/>
        <w:rPr>
          <w:rFonts w:ascii="Times New Roman" w:hAnsi="Times New Roman"/>
          <w:iCs/>
          <w:color w:val="0D0D0D" w:themeColor="text1" w:themeTint="F2"/>
          <w:sz w:val="22"/>
          <w:szCs w:val="22"/>
          <w:u w:val="single"/>
        </w:rPr>
      </w:pPr>
    </w:p>
    <w:p w14:paraId="11E618EB" w14:textId="627193B2" w:rsidR="00713670" w:rsidRPr="00506990" w:rsidRDefault="00713670" w:rsidP="00713670">
      <w:pPr>
        <w:rPr>
          <w:rFonts w:ascii="Times New Roman" w:eastAsia="MS Mincho"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mayor información del fiduciario podrá consultarse en el sitio web de la CNV: http://www.cnv.gov.ar/Registros Públicos/Agentes de Productos de Inversión Colectiva/ Rosario Administradora Sociedad Fiduciaria S.A.</w:t>
      </w:r>
    </w:p>
    <w:p w14:paraId="266514C2" w14:textId="77777777" w:rsidR="00B30B34" w:rsidRPr="00506990" w:rsidRDefault="00B30B34">
      <w:pPr>
        <w:pStyle w:val="Textoindependiente"/>
        <w:rPr>
          <w:rFonts w:ascii="Times New Roman" w:hAnsi="Times New Roman"/>
          <w:iCs/>
          <w:color w:val="0D0D0D" w:themeColor="text1" w:themeTint="F2"/>
          <w:sz w:val="22"/>
          <w:szCs w:val="22"/>
          <w:u w:val="single"/>
        </w:rPr>
      </w:pPr>
    </w:p>
    <w:p w14:paraId="7955D203" w14:textId="6BF8B49F" w:rsidR="006B6B5E" w:rsidRPr="00506990" w:rsidRDefault="000157B5" w:rsidP="00B228F5">
      <w:pPr>
        <w:pStyle w:val="Ttulo1"/>
        <w:jc w:val="center"/>
        <w:rPr>
          <w:rFonts w:ascii="Times New Roman" w:hAnsi="Times New Roman"/>
          <w:sz w:val="22"/>
          <w:szCs w:val="22"/>
        </w:rPr>
      </w:pPr>
      <w:bookmarkStart w:id="82" w:name="_Toc521424868"/>
      <w:bookmarkStart w:id="83" w:name="_Toc20409084"/>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82"/>
      <w:bookmarkEnd w:id="83"/>
      <w:r w:rsidR="009F57D4" w:rsidRPr="00506990">
        <w:rPr>
          <w:rFonts w:ascii="Times New Roman" w:hAnsi="Times New Roman"/>
          <w:sz w:val="22"/>
          <w:szCs w:val="22"/>
        </w:rPr>
        <w:t>S</w:t>
      </w:r>
    </w:p>
    <w:p w14:paraId="6C66A5C3" w14:textId="77777777" w:rsidR="006B6B5E" w:rsidRPr="00506990" w:rsidRDefault="006B6B5E" w:rsidP="006B6B5E">
      <w:pPr>
        <w:widowControl w:val="0"/>
        <w:suppressAutoHyphens/>
        <w:rPr>
          <w:rFonts w:ascii="Times New Roman" w:hAnsi="Times New Roman" w:cs="Times New Roman"/>
          <w:b/>
          <w:bCs/>
          <w:color w:val="0D0D0D" w:themeColor="text1" w:themeTint="F2"/>
          <w:sz w:val="22"/>
          <w:szCs w:val="22"/>
          <w:u w:val="single"/>
        </w:rPr>
      </w:pPr>
    </w:p>
    <w:p w14:paraId="3BD98A0A" w14:textId="77777777" w:rsidR="006B6B5E" w:rsidRPr="00506990" w:rsidRDefault="006B6B5E" w:rsidP="006B6B5E">
      <w:pPr>
        <w:autoSpaceDE w:val="0"/>
        <w:autoSpaceDN w:val="0"/>
        <w:adjustRightInd w:val="0"/>
        <w:rPr>
          <w:rFonts w:ascii="Times New Roman" w:hAnsi="Times New Roman" w:cs="Times New Roman"/>
          <w:iCs/>
          <w:color w:val="0D0D0D" w:themeColor="text1" w:themeTint="F2"/>
          <w:sz w:val="22"/>
          <w:szCs w:val="22"/>
          <w:lang w:val="es-ES"/>
        </w:rPr>
      </w:pPr>
    </w:p>
    <w:p w14:paraId="23917029" w14:textId="11F3B914" w:rsidR="006B6B5E" w:rsidRPr="00506990" w:rsidRDefault="003E181B" w:rsidP="006B6B5E">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ES"/>
        </w:rPr>
        <w:t>E</w:t>
      </w:r>
      <w:r w:rsidR="006B6B5E" w:rsidRPr="00506990">
        <w:rPr>
          <w:rFonts w:ascii="Times New Roman" w:hAnsi="Times New Roman" w:cs="Times New Roman"/>
          <w:iCs/>
          <w:color w:val="0D0D0D" w:themeColor="text1" w:themeTint="F2"/>
          <w:sz w:val="22"/>
          <w:szCs w:val="22"/>
          <w:lang w:val="es-ES"/>
        </w:rPr>
        <w:t>l Fiduciario declara que al día de la fecha del presente Suplemento de Prospecto: (a)</w:t>
      </w:r>
      <w:r w:rsidR="003708E1" w:rsidRPr="00506990">
        <w:rPr>
          <w:rFonts w:ascii="Times New Roman" w:hAnsi="Times New Roman" w:cs="Times New Roman"/>
          <w:iCs/>
          <w:color w:val="0D0D0D" w:themeColor="text1" w:themeTint="F2"/>
          <w:sz w:val="22"/>
          <w:szCs w:val="22"/>
          <w:lang w:val="es-ES"/>
        </w:rPr>
        <w:t xml:space="preserve"> ha verificado </w:t>
      </w:r>
      <w:r w:rsidR="003708E1" w:rsidRPr="00506990">
        <w:rPr>
          <w:rFonts w:ascii="Times New Roman" w:hAnsi="Times New Roman" w:cs="Times New Roman"/>
          <w:iCs/>
          <w:color w:val="0D0D0D" w:themeColor="text1" w:themeTint="F2"/>
          <w:sz w:val="22"/>
          <w:szCs w:val="22"/>
        </w:rPr>
        <w:t>que l</w:t>
      </w:r>
      <w:r w:rsidR="00F7400D" w:rsidRPr="00506990">
        <w:rPr>
          <w:rFonts w:ascii="Times New Roman" w:hAnsi="Times New Roman" w:cs="Times New Roman"/>
          <w:iCs/>
          <w:color w:val="0D0D0D" w:themeColor="text1" w:themeTint="F2"/>
          <w:sz w:val="22"/>
          <w:szCs w:val="22"/>
        </w:rPr>
        <w:t>os</w:t>
      </w:r>
      <w:r w:rsidR="003708E1"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003708E1" w:rsidRPr="00506990">
        <w:rPr>
          <w:rFonts w:ascii="Times New Roman" w:hAnsi="Times New Roman" w:cs="Times New Roman"/>
          <w:iCs/>
          <w:color w:val="0D0D0D" w:themeColor="text1" w:themeTint="F2"/>
          <w:sz w:val="22"/>
          <w:szCs w:val="22"/>
        </w:rPr>
        <w:t xml:space="preserve">, el Agente de Control y Revisión, el Agente Recaudador y los Agentes Externos de Recaudación subcontratados por éste cuentan con la capacidad de gestión y organización administrativa propia y adecuada para prestar las funciones que les corresponden y que al día de la fecha no existen hechos relevantes que afecten y/o puedan afectar el normal desarrollo de sus actividades y que el </w:t>
      </w:r>
      <w:r w:rsidR="00153187" w:rsidRPr="00506990">
        <w:rPr>
          <w:rFonts w:ascii="Times New Roman" w:hAnsi="Times New Roman" w:cs="Times New Roman"/>
          <w:iCs/>
          <w:color w:val="0D0D0D" w:themeColor="text1" w:themeTint="F2"/>
          <w:sz w:val="22"/>
          <w:szCs w:val="22"/>
        </w:rPr>
        <w:t>A</w:t>
      </w:r>
      <w:r w:rsidR="003708E1" w:rsidRPr="00506990">
        <w:rPr>
          <w:rFonts w:ascii="Times New Roman" w:hAnsi="Times New Roman" w:cs="Times New Roman"/>
          <w:iCs/>
          <w:color w:val="0D0D0D" w:themeColor="text1" w:themeTint="F2"/>
          <w:sz w:val="22"/>
          <w:szCs w:val="22"/>
        </w:rPr>
        <w:t xml:space="preserve">gente </w:t>
      </w:r>
      <w:r w:rsidR="00153187" w:rsidRPr="00506990">
        <w:rPr>
          <w:rFonts w:ascii="Times New Roman" w:hAnsi="Times New Roman" w:cs="Times New Roman"/>
          <w:iCs/>
          <w:color w:val="0D0D0D" w:themeColor="text1" w:themeTint="F2"/>
          <w:sz w:val="22"/>
          <w:szCs w:val="22"/>
        </w:rPr>
        <w:t>R</w:t>
      </w:r>
      <w:r w:rsidR="003708E1" w:rsidRPr="00506990">
        <w:rPr>
          <w:rFonts w:ascii="Times New Roman" w:hAnsi="Times New Roman" w:cs="Times New Roman"/>
          <w:iCs/>
          <w:color w:val="0D0D0D" w:themeColor="text1" w:themeTint="F2"/>
          <w:sz w:val="22"/>
          <w:szCs w:val="22"/>
        </w:rPr>
        <w:t xml:space="preserve">ecaudador es una empresa vinculada </w:t>
      </w:r>
      <w:r w:rsidR="002E7787" w:rsidRPr="00506990">
        <w:rPr>
          <w:rFonts w:ascii="Times New Roman" w:hAnsi="Times New Roman" w:cs="Times New Roman"/>
          <w:iCs/>
          <w:color w:val="0D0D0D" w:themeColor="text1" w:themeTint="F2"/>
          <w:sz w:val="22"/>
          <w:szCs w:val="22"/>
        </w:rPr>
        <w:t xml:space="preserve">a </w:t>
      </w:r>
      <w:r w:rsidR="002A2B1C" w:rsidRPr="00506990">
        <w:rPr>
          <w:rFonts w:ascii="Times New Roman" w:hAnsi="Times New Roman" w:cs="Times New Roman"/>
          <w:iCs/>
          <w:color w:val="0D0D0D" w:themeColor="text1" w:themeTint="F2"/>
          <w:sz w:val="22"/>
          <w:szCs w:val="22"/>
        </w:rPr>
        <w:t>Bazar Avenida S.A.</w:t>
      </w:r>
      <w:r w:rsidR="002E7787" w:rsidRPr="00506990">
        <w:rPr>
          <w:rFonts w:ascii="Times New Roman" w:hAnsi="Times New Roman" w:cs="Times New Roman"/>
          <w:iCs/>
          <w:color w:val="0D0D0D" w:themeColor="text1" w:themeTint="F2"/>
          <w:sz w:val="22"/>
          <w:szCs w:val="22"/>
        </w:rPr>
        <w:t xml:space="preserve"> y Consumo</w:t>
      </w:r>
      <w:r w:rsidR="00F328C2" w:rsidRPr="00506990">
        <w:rPr>
          <w:rFonts w:ascii="Times New Roman" w:hAnsi="Times New Roman" w:cs="Times New Roman"/>
          <w:iCs/>
          <w:color w:val="0D0D0D" w:themeColor="text1" w:themeTint="F2"/>
          <w:sz w:val="22"/>
          <w:szCs w:val="22"/>
        </w:rPr>
        <w:t xml:space="preserve"> S.A.</w:t>
      </w:r>
      <w:r w:rsidR="00153187" w:rsidRPr="00506990">
        <w:rPr>
          <w:rFonts w:ascii="Times New Roman" w:hAnsi="Times New Roman" w:cs="Times New Roman"/>
          <w:iCs/>
          <w:color w:val="0D0D0D" w:themeColor="text1" w:themeTint="F2"/>
          <w:sz w:val="22"/>
          <w:szCs w:val="22"/>
        </w:rPr>
        <w:t>;</w:t>
      </w:r>
      <w:r w:rsidR="006B6B5E" w:rsidRPr="00506990">
        <w:rPr>
          <w:rFonts w:ascii="Times New Roman" w:hAnsi="Times New Roman" w:cs="Times New Roman"/>
          <w:iCs/>
          <w:color w:val="0D0D0D" w:themeColor="text1" w:themeTint="F2"/>
          <w:sz w:val="22"/>
          <w:szCs w:val="22"/>
          <w:lang w:val="es-ES"/>
        </w:rPr>
        <w:t xml:space="preserve"> </w:t>
      </w:r>
      <w:r w:rsidR="003708E1" w:rsidRPr="00506990">
        <w:rPr>
          <w:rFonts w:ascii="Times New Roman" w:hAnsi="Times New Roman" w:cs="Times New Roman"/>
          <w:iCs/>
          <w:color w:val="0D0D0D" w:themeColor="text1" w:themeTint="F2"/>
          <w:sz w:val="22"/>
          <w:szCs w:val="22"/>
          <w:lang w:val="es-ES"/>
        </w:rPr>
        <w:t xml:space="preserve">(b) </w:t>
      </w:r>
      <w:r w:rsidR="006B6B5E" w:rsidRPr="00506990">
        <w:rPr>
          <w:rFonts w:ascii="Times New Roman" w:hAnsi="Times New Roman" w:cs="Times New Roman"/>
          <w:iCs/>
          <w:color w:val="0D0D0D" w:themeColor="text1" w:themeTint="F2"/>
          <w:sz w:val="22"/>
          <w:szCs w:val="22"/>
          <w:lang w:val="es-ES"/>
        </w:rPr>
        <w:t>sin perjuicio de la indicado en el punto (f) y (g) de la sección I “Consideraciones de Riesgo para la Inversión</w:t>
      </w:r>
      <w:r w:rsidR="00153187" w:rsidRPr="00506990">
        <w:rPr>
          <w:rFonts w:ascii="Times New Roman" w:hAnsi="Times New Roman" w:cs="Times New Roman"/>
          <w:iCs/>
          <w:color w:val="0D0D0D" w:themeColor="text1" w:themeTint="F2"/>
          <w:sz w:val="22"/>
          <w:szCs w:val="22"/>
          <w:lang w:val="es-ES"/>
        </w:rPr>
        <w:t>”,</w:t>
      </w:r>
      <w:r w:rsidR="006B6B5E" w:rsidRPr="00506990">
        <w:rPr>
          <w:rFonts w:ascii="Times New Roman" w:hAnsi="Times New Roman" w:cs="Times New Roman"/>
          <w:iCs/>
          <w:color w:val="0D0D0D" w:themeColor="text1" w:themeTint="F2"/>
          <w:sz w:val="22"/>
          <w:szCs w:val="22"/>
          <w:lang w:val="es-ES"/>
        </w:rPr>
        <w:t xml:space="preserve"> no existen hechos relevantes que afecten y/o pudieran </w:t>
      </w:r>
      <w:r w:rsidR="00153187" w:rsidRPr="00506990">
        <w:rPr>
          <w:rFonts w:ascii="Times New Roman" w:hAnsi="Times New Roman" w:cs="Times New Roman"/>
          <w:iCs/>
          <w:color w:val="0D0D0D" w:themeColor="text1" w:themeTint="F2"/>
          <w:sz w:val="22"/>
          <w:szCs w:val="22"/>
          <w:lang w:val="es-ES"/>
        </w:rPr>
        <w:t xml:space="preserve">afectar </w:t>
      </w:r>
      <w:r w:rsidR="006B6B5E" w:rsidRPr="00506990">
        <w:rPr>
          <w:rFonts w:ascii="Times New Roman" w:hAnsi="Times New Roman" w:cs="Times New Roman"/>
          <w:iCs/>
          <w:color w:val="0D0D0D" w:themeColor="text1" w:themeTint="F2"/>
          <w:sz w:val="22"/>
          <w:szCs w:val="22"/>
          <w:lang w:val="es-ES"/>
        </w:rPr>
        <w:t xml:space="preserve">en el futuro la </w:t>
      </w:r>
      <w:r w:rsidR="008D16E9" w:rsidRPr="00506990">
        <w:rPr>
          <w:rFonts w:ascii="Times New Roman" w:hAnsi="Times New Roman" w:cs="Times New Roman"/>
          <w:iCs/>
          <w:color w:val="0D0D0D" w:themeColor="text1" w:themeTint="F2"/>
          <w:sz w:val="22"/>
          <w:szCs w:val="22"/>
          <w:lang w:val="es-ES"/>
        </w:rPr>
        <w:t xml:space="preserve">integridad de la </w:t>
      </w:r>
      <w:r w:rsidR="006B6B5E" w:rsidRPr="00506990">
        <w:rPr>
          <w:rFonts w:ascii="Times New Roman" w:hAnsi="Times New Roman" w:cs="Times New Roman"/>
          <w:iCs/>
          <w:color w:val="0D0D0D" w:themeColor="text1" w:themeTint="F2"/>
          <w:sz w:val="22"/>
          <w:szCs w:val="22"/>
          <w:lang w:val="es-ES"/>
        </w:rPr>
        <w:t>estructura Fiduciaria</w:t>
      </w:r>
      <w:r w:rsidR="008D16E9" w:rsidRPr="00506990">
        <w:rPr>
          <w:rFonts w:ascii="Times New Roman" w:hAnsi="Times New Roman" w:cs="Times New Roman"/>
          <w:iCs/>
          <w:color w:val="0D0D0D" w:themeColor="text1" w:themeTint="F2"/>
          <w:sz w:val="22"/>
          <w:szCs w:val="22"/>
          <w:lang w:val="es-ES"/>
        </w:rPr>
        <w:t xml:space="preserve"> y el normal desarrollo de sus funciones</w:t>
      </w:r>
      <w:r w:rsidR="006B6B5E" w:rsidRPr="00506990">
        <w:rPr>
          <w:rFonts w:ascii="Times New Roman" w:hAnsi="Times New Roman" w:cs="Times New Roman"/>
          <w:iCs/>
          <w:color w:val="0D0D0D" w:themeColor="text1" w:themeTint="F2"/>
          <w:sz w:val="22"/>
          <w:szCs w:val="22"/>
          <w:lang w:val="es-ES"/>
        </w:rPr>
        <w:t>; (</w:t>
      </w:r>
      <w:r w:rsidR="003708E1" w:rsidRPr="00506990">
        <w:rPr>
          <w:rFonts w:ascii="Times New Roman" w:hAnsi="Times New Roman" w:cs="Times New Roman"/>
          <w:iCs/>
          <w:color w:val="0D0D0D" w:themeColor="text1" w:themeTint="F2"/>
          <w:sz w:val="22"/>
          <w:szCs w:val="22"/>
          <w:lang w:val="es-ES"/>
        </w:rPr>
        <w:t>c</w:t>
      </w:r>
      <w:r w:rsidR="006B6B5E" w:rsidRPr="00506990">
        <w:rPr>
          <w:rFonts w:ascii="Times New Roman" w:hAnsi="Times New Roman" w:cs="Times New Roman"/>
          <w:iCs/>
          <w:color w:val="0D0D0D" w:themeColor="text1" w:themeTint="F2"/>
          <w:sz w:val="22"/>
          <w:szCs w:val="22"/>
          <w:lang w:val="es-ES"/>
        </w:rPr>
        <w:t>)</w:t>
      </w:r>
      <w:r w:rsidR="006B6B5E" w:rsidRPr="00506990">
        <w:rPr>
          <w:rFonts w:ascii="Times New Roman" w:hAnsi="Times New Roman" w:cs="Times New Roman"/>
          <w:iCs/>
          <w:color w:val="0D0D0D" w:themeColor="text1" w:themeTint="F2"/>
          <w:sz w:val="22"/>
          <w:szCs w:val="22"/>
        </w:rPr>
        <w:t xml:space="preserve"> su situación económica, financiera y patrimonial le permite cumplir las funciones por él asumidas bajo el presente Fideicomiso</w:t>
      </w:r>
      <w:r w:rsidR="006B6B5E" w:rsidRPr="00506990">
        <w:rPr>
          <w:rFonts w:ascii="Times New Roman" w:hAnsi="Times New Roman" w:cs="Times New Roman"/>
          <w:iCs/>
          <w:color w:val="0D0D0D" w:themeColor="text1" w:themeTint="F2"/>
          <w:sz w:val="22"/>
          <w:szCs w:val="22"/>
          <w:lang w:val="es-ES"/>
        </w:rPr>
        <w:t xml:space="preserve"> (</w:t>
      </w:r>
      <w:r w:rsidR="003708E1" w:rsidRPr="00506990">
        <w:rPr>
          <w:rFonts w:ascii="Times New Roman" w:hAnsi="Times New Roman" w:cs="Times New Roman"/>
          <w:iCs/>
          <w:color w:val="0D0D0D" w:themeColor="text1" w:themeTint="F2"/>
          <w:sz w:val="22"/>
          <w:szCs w:val="22"/>
          <w:lang w:val="es-ES"/>
        </w:rPr>
        <w:t>d</w:t>
      </w:r>
      <w:r w:rsidR="006B6B5E" w:rsidRPr="00506990">
        <w:rPr>
          <w:rFonts w:ascii="Times New Roman" w:hAnsi="Times New Roman" w:cs="Times New Roman"/>
          <w:iCs/>
          <w:color w:val="0D0D0D" w:themeColor="text1" w:themeTint="F2"/>
          <w:sz w:val="22"/>
          <w:szCs w:val="22"/>
          <w:lang w:val="es-ES"/>
        </w:rPr>
        <w:t>) no existen atrasos o incumplimientos respecto de la rendición de la cobranza de los Créditos fideicomitidos bajo el presente Fideicomiso</w:t>
      </w:r>
      <w:r w:rsidR="003708E1" w:rsidRPr="00506990">
        <w:rPr>
          <w:rFonts w:ascii="Times New Roman" w:hAnsi="Times New Roman" w:cs="Times New Roman"/>
          <w:iCs/>
          <w:color w:val="0D0D0D" w:themeColor="text1" w:themeTint="F2"/>
          <w:sz w:val="22"/>
          <w:szCs w:val="22"/>
          <w:lang w:val="es-ES"/>
        </w:rPr>
        <w:t xml:space="preserve"> y respecto del activo fideicomiti</w:t>
      </w:r>
      <w:r w:rsidR="0008441D" w:rsidRPr="00506990">
        <w:rPr>
          <w:rFonts w:ascii="Times New Roman" w:hAnsi="Times New Roman" w:cs="Times New Roman"/>
          <w:iCs/>
          <w:color w:val="0D0D0D" w:themeColor="text1" w:themeTint="F2"/>
          <w:sz w:val="22"/>
          <w:szCs w:val="22"/>
          <w:lang w:val="es-ES"/>
        </w:rPr>
        <w:t>d</w:t>
      </w:r>
      <w:r w:rsidR="003708E1" w:rsidRPr="00506990">
        <w:rPr>
          <w:rFonts w:ascii="Times New Roman" w:hAnsi="Times New Roman" w:cs="Times New Roman"/>
          <w:iCs/>
          <w:color w:val="0D0D0D" w:themeColor="text1" w:themeTint="F2"/>
          <w:sz w:val="22"/>
          <w:szCs w:val="22"/>
          <w:lang w:val="es-ES"/>
        </w:rPr>
        <w:t>o de las series anteriores</w:t>
      </w:r>
      <w:r w:rsidR="006B6B5E" w:rsidRPr="00506990">
        <w:rPr>
          <w:rFonts w:ascii="Times New Roman" w:hAnsi="Times New Roman" w:cs="Times New Roman"/>
          <w:iCs/>
          <w:color w:val="0D0D0D" w:themeColor="text1" w:themeTint="F2"/>
          <w:sz w:val="22"/>
          <w:szCs w:val="22"/>
          <w:lang w:val="es-ES"/>
        </w:rPr>
        <w:t>;</w:t>
      </w:r>
      <w:r w:rsidR="006B6B5E" w:rsidRPr="00506990">
        <w:rPr>
          <w:rFonts w:ascii="Times New Roman" w:hAnsi="Times New Roman" w:cs="Times New Roman"/>
          <w:iCs/>
          <w:color w:val="0D0D0D" w:themeColor="text1" w:themeTint="F2"/>
          <w:sz w:val="22"/>
          <w:szCs w:val="22"/>
        </w:rPr>
        <w:t xml:space="preserve"> (e) L</w:t>
      </w:r>
      <w:r w:rsidR="008D16E9" w:rsidRPr="00506990">
        <w:rPr>
          <w:rFonts w:ascii="Times New Roman" w:hAnsi="Times New Roman" w:cs="Times New Roman"/>
          <w:iCs/>
          <w:color w:val="0D0D0D" w:themeColor="text1" w:themeTint="F2"/>
          <w:sz w:val="22"/>
          <w:szCs w:val="22"/>
        </w:rPr>
        <w:t>a transferencia de los</w:t>
      </w:r>
      <w:r w:rsidR="006B6B5E" w:rsidRPr="00506990">
        <w:rPr>
          <w:rFonts w:ascii="Times New Roman" w:hAnsi="Times New Roman" w:cs="Times New Roman"/>
          <w:iCs/>
          <w:color w:val="0D0D0D" w:themeColor="text1" w:themeTint="F2"/>
          <w:sz w:val="22"/>
          <w:szCs w:val="22"/>
        </w:rPr>
        <w:t xml:space="preserve"> Bienes Fideicomitidos </w:t>
      </w:r>
      <w:r w:rsidR="008D16E9" w:rsidRPr="00506990">
        <w:rPr>
          <w:rFonts w:ascii="Times New Roman" w:hAnsi="Times New Roman" w:cs="Times New Roman"/>
          <w:iCs/>
          <w:color w:val="0D0D0D" w:themeColor="text1" w:themeTint="F2"/>
          <w:sz w:val="22"/>
          <w:szCs w:val="22"/>
        </w:rPr>
        <w:t xml:space="preserve">ha sido perfeccionada </w:t>
      </w:r>
      <w:r w:rsidR="006B6B5E" w:rsidRPr="00506990">
        <w:rPr>
          <w:rFonts w:ascii="Times New Roman" w:hAnsi="Times New Roman" w:cs="Times New Roman"/>
          <w:iCs/>
          <w:color w:val="0D0D0D" w:themeColor="text1" w:themeTint="F2"/>
          <w:sz w:val="22"/>
          <w:szCs w:val="22"/>
        </w:rPr>
        <w:t xml:space="preserve"> en legal forma;</w:t>
      </w:r>
      <w:r w:rsidR="003708E1" w:rsidRPr="00506990">
        <w:rPr>
          <w:rFonts w:ascii="Times New Roman" w:hAnsi="Times New Roman" w:cs="Times New Roman"/>
          <w:color w:val="0D0D0D" w:themeColor="text1" w:themeTint="F2"/>
          <w:sz w:val="22"/>
          <w:szCs w:val="22"/>
        </w:rPr>
        <w:t xml:space="preserve"> (f) </w:t>
      </w:r>
      <w:r w:rsidR="00CF3385">
        <w:rPr>
          <w:rFonts w:ascii="Times New Roman" w:hAnsi="Times New Roman" w:cs="Times New Roman"/>
          <w:color w:val="0D0D0D" w:themeColor="text1" w:themeTint="F2"/>
          <w:sz w:val="22"/>
          <w:szCs w:val="22"/>
        </w:rPr>
        <w:t xml:space="preserve">no se han suscripto contratos de </w:t>
      </w:r>
      <w:r w:rsidR="00CF3385" w:rsidRPr="00CF3385">
        <w:rPr>
          <w:rFonts w:ascii="Times New Roman" w:hAnsi="Times New Roman" w:cs="Times New Roman"/>
          <w:i/>
          <w:color w:val="0D0D0D" w:themeColor="text1" w:themeTint="F2"/>
          <w:sz w:val="22"/>
          <w:szCs w:val="22"/>
        </w:rPr>
        <w:t>underwriting</w:t>
      </w:r>
      <w:r w:rsidR="00CF3385">
        <w:rPr>
          <w:rFonts w:ascii="Times New Roman" w:hAnsi="Times New Roman" w:cs="Times New Roman"/>
          <w:color w:val="0D0D0D" w:themeColor="text1" w:themeTint="F2"/>
          <w:sz w:val="22"/>
          <w:szCs w:val="22"/>
        </w:rPr>
        <w:t xml:space="preserve"> </w:t>
      </w:r>
      <w:r w:rsidR="00574365" w:rsidRPr="00CF3385">
        <w:rPr>
          <w:rFonts w:ascii="Times New Roman" w:hAnsi="Times New Roman" w:cs="Times New Roman"/>
          <w:color w:val="0D0D0D" w:themeColor="text1" w:themeTint="F2"/>
          <w:sz w:val="22"/>
          <w:szCs w:val="22"/>
        </w:rPr>
        <w:t>y</w:t>
      </w:r>
      <w:r w:rsidR="00574365" w:rsidRPr="00506990">
        <w:rPr>
          <w:rFonts w:ascii="Times New Roman" w:hAnsi="Times New Roman" w:cs="Times New Roman"/>
          <w:color w:val="0D0D0D" w:themeColor="text1" w:themeTint="F2"/>
          <w:sz w:val="22"/>
          <w:szCs w:val="22"/>
        </w:rPr>
        <w:t xml:space="preserve"> de la constancia de sus registros no surge que se hayan</w:t>
      </w:r>
      <w:r w:rsidR="00B05E74">
        <w:rPr>
          <w:rFonts w:ascii="Times New Roman" w:hAnsi="Times New Roman" w:cs="Times New Roman"/>
          <w:color w:val="0D0D0D" w:themeColor="text1" w:themeTint="F2"/>
          <w:sz w:val="22"/>
          <w:szCs w:val="22"/>
        </w:rPr>
        <w:t xml:space="preserve"> </w:t>
      </w:r>
      <w:r w:rsidR="00574365" w:rsidRPr="00506990">
        <w:rPr>
          <w:rFonts w:ascii="Times New Roman" w:hAnsi="Times New Roman" w:cs="Times New Roman"/>
          <w:color w:val="0D0D0D" w:themeColor="text1" w:themeTint="F2"/>
          <w:sz w:val="22"/>
          <w:szCs w:val="22"/>
        </w:rPr>
        <w:t>emitido valores fiduciarios en forma previa a la autorización de oferta pública</w:t>
      </w:r>
      <w:r w:rsidR="00CF3385">
        <w:rPr>
          <w:rFonts w:ascii="Times New Roman" w:hAnsi="Times New Roman" w:cs="Times New Roman"/>
          <w:color w:val="0D0D0D" w:themeColor="text1" w:themeTint="F2"/>
          <w:sz w:val="22"/>
          <w:szCs w:val="22"/>
        </w:rPr>
        <w:t>{</w:t>
      </w:r>
      <w:r w:rsidR="003708E1" w:rsidRPr="00506990">
        <w:rPr>
          <w:rFonts w:ascii="Times New Roman" w:hAnsi="Times New Roman" w:cs="Times New Roman"/>
          <w:color w:val="0D0D0D" w:themeColor="text1" w:themeTint="F2"/>
          <w:sz w:val="22"/>
          <w:szCs w:val="22"/>
        </w:rPr>
        <w:t>;</w:t>
      </w:r>
      <w:r w:rsidR="003708E1" w:rsidRPr="00506990">
        <w:rPr>
          <w:rFonts w:ascii="Times New Roman" w:eastAsia="Times New Roman" w:hAnsi="Times New Roman" w:cs="Times New Roman"/>
          <w:color w:val="0D0D0D" w:themeColor="text1" w:themeTint="F2"/>
          <w:sz w:val="22"/>
          <w:szCs w:val="22"/>
          <w:lang w:val="es-AR"/>
        </w:rPr>
        <w:t xml:space="preserve"> </w:t>
      </w:r>
      <w:r w:rsidR="006B6B5E" w:rsidRPr="00506990">
        <w:rPr>
          <w:rFonts w:ascii="Times New Roman" w:hAnsi="Times New Roman" w:cs="Times New Roman"/>
          <w:color w:val="0D0D0D" w:themeColor="text1" w:themeTint="F2"/>
          <w:sz w:val="22"/>
          <w:szCs w:val="22"/>
        </w:rPr>
        <w:t>(</w:t>
      </w:r>
      <w:r w:rsidR="003708E1" w:rsidRPr="00506990">
        <w:rPr>
          <w:rFonts w:ascii="Times New Roman" w:hAnsi="Times New Roman" w:cs="Times New Roman"/>
          <w:color w:val="0D0D0D" w:themeColor="text1" w:themeTint="F2"/>
          <w:sz w:val="22"/>
          <w:szCs w:val="22"/>
        </w:rPr>
        <w:t>g</w:t>
      </w:r>
      <w:r w:rsidR="006B6B5E" w:rsidRPr="00506990">
        <w:rPr>
          <w:rFonts w:ascii="Times New Roman" w:hAnsi="Times New Roman" w:cs="Times New Roman"/>
          <w:color w:val="0D0D0D" w:themeColor="text1" w:themeTint="F2"/>
          <w:sz w:val="22"/>
          <w:szCs w:val="22"/>
        </w:rPr>
        <w:t xml:space="preserve">) todos los contratos suscriptos vinculados a los Bienes Fideicomitidos, incluso aquellos celebrados con el Agente Recaudador se encuentran debidamente perfeccionados, vigentes y válidos; </w:t>
      </w:r>
      <w:r w:rsidR="00AE4331" w:rsidRPr="00506990">
        <w:rPr>
          <w:rFonts w:ascii="Times New Roman" w:hAnsi="Times New Roman" w:cs="Times New Roman"/>
          <w:color w:val="0D0D0D" w:themeColor="text1" w:themeTint="F2"/>
          <w:sz w:val="22"/>
          <w:szCs w:val="22"/>
        </w:rPr>
        <w:t xml:space="preserve">y </w:t>
      </w:r>
      <w:r w:rsidR="006B6B5E" w:rsidRPr="00506990">
        <w:rPr>
          <w:rFonts w:ascii="Times New Roman" w:eastAsia="Times New Roman" w:hAnsi="Times New Roman" w:cs="Times New Roman"/>
          <w:color w:val="0D0D0D" w:themeColor="text1" w:themeTint="F2"/>
          <w:sz w:val="22"/>
          <w:szCs w:val="22"/>
          <w:lang w:val="es-AR"/>
        </w:rPr>
        <w:t>(</w:t>
      </w:r>
      <w:r w:rsidR="00F64E92" w:rsidRPr="00506990">
        <w:rPr>
          <w:rFonts w:ascii="Times New Roman" w:eastAsia="Times New Roman" w:hAnsi="Times New Roman" w:cs="Times New Roman"/>
          <w:color w:val="0D0D0D" w:themeColor="text1" w:themeTint="F2"/>
          <w:sz w:val="22"/>
          <w:szCs w:val="22"/>
          <w:lang w:val="es-AR"/>
        </w:rPr>
        <w:t>h</w:t>
      </w:r>
      <w:r w:rsidR="006B6B5E" w:rsidRPr="00506990">
        <w:rPr>
          <w:rFonts w:ascii="Times New Roman" w:eastAsia="Times New Roman" w:hAnsi="Times New Roman" w:cs="Times New Roman"/>
          <w:color w:val="0D0D0D" w:themeColor="text1" w:themeTint="F2"/>
          <w:sz w:val="22"/>
          <w:szCs w:val="22"/>
          <w:lang w:val="es-AR"/>
        </w:rPr>
        <w:t xml:space="preserve">) </w:t>
      </w:r>
      <w:r w:rsidR="0008441D" w:rsidRPr="00506990">
        <w:rPr>
          <w:rFonts w:ascii="Times New Roman" w:eastAsia="Times New Roman" w:hAnsi="Times New Roman" w:cs="Times New Roman"/>
          <w:color w:val="0D0D0D" w:themeColor="text1" w:themeTint="F2"/>
          <w:sz w:val="22"/>
          <w:szCs w:val="22"/>
          <w:lang w:val="es-AR"/>
        </w:rPr>
        <w:t>l</w:t>
      </w:r>
      <w:r w:rsidR="009F57D4" w:rsidRPr="00506990">
        <w:rPr>
          <w:rFonts w:ascii="Times New Roman" w:eastAsia="Times New Roman" w:hAnsi="Times New Roman" w:cs="Times New Roman"/>
          <w:color w:val="0D0D0D" w:themeColor="text1" w:themeTint="F2"/>
          <w:sz w:val="22"/>
          <w:szCs w:val="22"/>
          <w:lang w:val="es-AR"/>
        </w:rPr>
        <w:t>os</w:t>
      </w:r>
      <w:r w:rsidR="0008441D" w:rsidRPr="00506990">
        <w:rPr>
          <w:rFonts w:ascii="Times New Roman" w:eastAsia="Times New Roman" w:hAnsi="Times New Roman" w:cs="Times New Roman"/>
          <w:color w:val="0D0D0D" w:themeColor="text1" w:themeTint="F2"/>
          <w:sz w:val="22"/>
          <w:szCs w:val="22"/>
          <w:lang w:val="es-AR"/>
        </w:rPr>
        <w:t xml:space="preserve"> </w:t>
      </w:r>
      <w:r w:rsidR="006B6B5E" w:rsidRPr="00506990">
        <w:rPr>
          <w:rFonts w:ascii="Times New Roman" w:eastAsia="Times New Roman" w:hAnsi="Times New Roman" w:cs="Times New Roman"/>
          <w:color w:val="0D0D0D" w:themeColor="text1" w:themeTint="F2"/>
          <w:sz w:val="22"/>
          <w:szCs w:val="22"/>
          <w:lang w:val="es-AR"/>
        </w:rPr>
        <w:t>Fiduciante</w:t>
      </w:r>
      <w:r w:rsidR="009F57D4" w:rsidRPr="00506990">
        <w:rPr>
          <w:rFonts w:ascii="Times New Roman" w:eastAsia="Times New Roman" w:hAnsi="Times New Roman" w:cs="Times New Roman"/>
          <w:color w:val="0D0D0D" w:themeColor="text1" w:themeTint="F2"/>
          <w:sz w:val="22"/>
          <w:szCs w:val="22"/>
          <w:lang w:val="es-AR"/>
        </w:rPr>
        <w:t>s</w:t>
      </w:r>
      <w:r w:rsidR="006B6B5E" w:rsidRPr="00506990">
        <w:rPr>
          <w:rFonts w:ascii="Times New Roman" w:eastAsia="Times New Roman" w:hAnsi="Times New Roman" w:cs="Times New Roman"/>
          <w:color w:val="0D0D0D" w:themeColor="text1" w:themeTint="F2"/>
          <w:sz w:val="22"/>
          <w:szCs w:val="22"/>
          <w:lang w:val="es-AR"/>
        </w:rPr>
        <w:t xml:space="preserve"> ha</w:t>
      </w:r>
      <w:r w:rsidR="009F57D4" w:rsidRPr="00506990">
        <w:rPr>
          <w:rFonts w:ascii="Times New Roman" w:eastAsia="Times New Roman" w:hAnsi="Times New Roman" w:cs="Times New Roman"/>
          <w:color w:val="0D0D0D" w:themeColor="text1" w:themeTint="F2"/>
          <w:sz w:val="22"/>
          <w:szCs w:val="22"/>
          <w:lang w:val="es-AR"/>
        </w:rPr>
        <w:t>n</w:t>
      </w:r>
      <w:r w:rsidR="006B6B5E" w:rsidRPr="00506990">
        <w:rPr>
          <w:rFonts w:ascii="Times New Roman" w:eastAsia="Times New Roman" w:hAnsi="Times New Roman" w:cs="Times New Roman"/>
          <w:color w:val="0D0D0D" w:themeColor="text1" w:themeTint="F2"/>
          <w:sz w:val="22"/>
          <w:szCs w:val="22"/>
          <w:lang w:val="es-AR"/>
        </w:rPr>
        <w:t xml:space="preserve"> notificado la constitución del presente fideicomiso al Comité de Acreedores y a la fecha del presente no </w:t>
      </w:r>
      <w:r w:rsidR="0008441D" w:rsidRPr="00506990">
        <w:rPr>
          <w:rFonts w:ascii="Times New Roman" w:eastAsia="Times New Roman" w:hAnsi="Times New Roman" w:cs="Times New Roman"/>
          <w:color w:val="0D0D0D" w:themeColor="text1" w:themeTint="F2"/>
          <w:sz w:val="22"/>
          <w:szCs w:val="22"/>
          <w:lang w:val="es-AR"/>
        </w:rPr>
        <w:t xml:space="preserve">tiene </w:t>
      </w:r>
      <w:r w:rsidR="006B6B5E" w:rsidRPr="00506990">
        <w:rPr>
          <w:rFonts w:ascii="Times New Roman" w:eastAsia="Times New Roman" w:hAnsi="Times New Roman" w:cs="Times New Roman"/>
          <w:color w:val="0D0D0D" w:themeColor="text1" w:themeTint="F2"/>
          <w:sz w:val="22"/>
          <w:szCs w:val="22"/>
          <w:lang w:val="es-AR"/>
        </w:rPr>
        <w:t>constancia de que se haya producido alguna disconformidad por parte de los miembros del citado comité en el plazo perentorio estipulado en la notificación</w:t>
      </w:r>
      <w:r w:rsidR="00AE4331" w:rsidRPr="00506990">
        <w:rPr>
          <w:rFonts w:ascii="Times New Roman" w:eastAsia="Times New Roman" w:hAnsi="Times New Roman" w:cs="Times New Roman"/>
          <w:color w:val="0D0D0D" w:themeColor="text1" w:themeTint="F2"/>
          <w:sz w:val="22"/>
          <w:szCs w:val="22"/>
          <w:lang w:val="es-AR"/>
        </w:rPr>
        <w:t xml:space="preserve">. </w:t>
      </w:r>
      <w:r w:rsidR="006B6B5E" w:rsidRPr="00506990">
        <w:rPr>
          <w:rFonts w:ascii="Times New Roman" w:eastAsia="Times New Roman" w:hAnsi="Times New Roman" w:cs="Times New Roman"/>
          <w:color w:val="0D0D0D" w:themeColor="text1" w:themeTint="F2"/>
          <w:sz w:val="22"/>
          <w:szCs w:val="22"/>
          <w:lang w:val="es-AR"/>
        </w:rPr>
        <w:t xml:space="preserve"> </w:t>
      </w:r>
    </w:p>
    <w:p w14:paraId="1D889629" w14:textId="77777777" w:rsidR="006B6B5E" w:rsidRPr="00506990" w:rsidRDefault="006B6B5E" w:rsidP="006B6B5E">
      <w:pPr>
        <w:jc w:val="center"/>
        <w:rPr>
          <w:rFonts w:ascii="Times New Roman" w:hAnsi="Times New Roman" w:cs="Times New Roman"/>
          <w:b/>
          <w:iCs/>
          <w:color w:val="0D0D0D" w:themeColor="text1" w:themeTint="F2"/>
          <w:sz w:val="22"/>
          <w:szCs w:val="22"/>
          <w:u w:val="single"/>
          <w:lang w:val="es-AR"/>
        </w:rPr>
      </w:pPr>
    </w:p>
    <w:p w14:paraId="4D2D60BC" w14:textId="77777777" w:rsidR="006D661E" w:rsidRPr="00506990" w:rsidRDefault="006D661E" w:rsidP="000157B5">
      <w:pPr>
        <w:autoSpaceDE w:val="0"/>
        <w:autoSpaceDN w:val="0"/>
        <w:adjustRightInd w:val="0"/>
        <w:rPr>
          <w:rFonts w:ascii="Times New Roman" w:hAnsi="Times New Roman" w:cs="Times New Roman"/>
          <w:iCs/>
          <w:color w:val="0D0D0D" w:themeColor="text1" w:themeTint="F2"/>
          <w:sz w:val="22"/>
          <w:szCs w:val="22"/>
          <w:lang w:val="es-ES"/>
        </w:rPr>
      </w:pPr>
    </w:p>
    <w:p w14:paraId="7B3495E1" w14:textId="42B4DB09" w:rsidR="000157B5" w:rsidRPr="00506990" w:rsidRDefault="009F57D4" w:rsidP="000157B5">
      <w:pPr>
        <w:autoSpaceDE w:val="0"/>
        <w:autoSpaceDN w:val="0"/>
        <w:adjustRightInd w:val="0"/>
        <w:rPr>
          <w:rFonts w:ascii="Times New Roman" w:hAnsi="Times New Roman" w:cs="Times New Roman"/>
          <w:iCs/>
          <w:color w:val="0D0D0D" w:themeColor="text1" w:themeTint="F2"/>
          <w:sz w:val="22"/>
          <w:szCs w:val="22"/>
          <w:lang w:val="es-ES"/>
        </w:rPr>
      </w:pPr>
      <w:r w:rsidRPr="00506990">
        <w:rPr>
          <w:rFonts w:ascii="Times New Roman" w:hAnsi="Times New Roman" w:cs="Times New Roman"/>
          <w:iCs/>
          <w:color w:val="0D0D0D" w:themeColor="text1" w:themeTint="F2"/>
          <w:sz w:val="22"/>
          <w:szCs w:val="22"/>
          <w:lang w:val="es-ES"/>
        </w:rPr>
        <w:t>Los</w:t>
      </w:r>
      <w:r w:rsidR="000157B5" w:rsidRPr="00506990">
        <w:rPr>
          <w:rFonts w:ascii="Times New Roman" w:hAnsi="Times New Roman" w:cs="Times New Roman"/>
          <w:iCs/>
          <w:color w:val="0D0D0D" w:themeColor="text1" w:themeTint="F2"/>
          <w:sz w:val="22"/>
          <w:szCs w:val="22"/>
          <w:lang w:val="es-ES"/>
        </w:rPr>
        <w:t xml:space="preserve"> Fiduciante</w:t>
      </w:r>
      <w:r w:rsidRPr="00506990">
        <w:rPr>
          <w:rFonts w:ascii="Times New Roman" w:hAnsi="Times New Roman" w:cs="Times New Roman"/>
          <w:iCs/>
          <w:color w:val="0D0D0D" w:themeColor="text1" w:themeTint="F2"/>
          <w:sz w:val="22"/>
          <w:szCs w:val="22"/>
          <w:lang w:val="es-ES"/>
        </w:rPr>
        <w:t>s</w:t>
      </w:r>
      <w:r w:rsidR="000157B5" w:rsidRPr="00506990">
        <w:rPr>
          <w:rFonts w:ascii="Times New Roman" w:hAnsi="Times New Roman" w:cs="Times New Roman"/>
          <w:iCs/>
          <w:color w:val="0D0D0D" w:themeColor="text1" w:themeTint="F2"/>
          <w:sz w:val="22"/>
          <w:szCs w:val="22"/>
          <w:lang w:val="es-ES"/>
        </w:rPr>
        <w:t xml:space="preserve"> declara</w:t>
      </w:r>
      <w:r w:rsidRPr="00506990">
        <w:rPr>
          <w:rFonts w:ascii="Times New Roman" w:hAnsi="Times New Roman" w:cs="Times New Roman"/>
          <w:iCs/>
          <w:color w:val="0D0D0D" w:themeColor="text1" w:themeTint="F2"/>
          <w:sz w:val="22"/>
          <w:szCs w:val="22"/>
          <w:lang w:val="es-ES"/>
        </w:rPr>
        <w:t>n</w:t>
      </w:r>
      <w:r w:rsidR="000157B5" w:rsidRPr="00506990">
        <w:rPr>
          <w:rFonts w:ascii="Times New Roman" w:hAnsi="Times New Roman" w:cs="Times New Roman"/>
          <w:iCs/>
          <w:color w:val="0D0D0D" w:themeColor="text1" w:themeTint="F2"/>
          <w:sz w:val="22"/>
          <w:szCs w:val="22"/>
          <w:lang w:val="es-ES"/>
        </w:rPr>
        <w:t xml:space="preserve"> que a la fecha de este Suplemento de Prospecto, (a) sin perjuicio de la indicado en el punto (f) y (g) de la sección I “Consideraciones de Riesgo para la Inversión</w:t>
      </w:r>
      <w:r w:rsidR="0081017A" w:rsidRPr="00506990">
        <w:rPr>
          <w:rFonts w:ascii="Times New Roman" w:hAnsi="Times New Roman" w:cs="Times New Roman"/>
          <w:iCs/>
          <w:color w:val="0D0D0D" w:themeColor="text1" w:themeTint="F2"/>
          <w:sz w:val="22"/>
          <w:szCs w:val="22"/>
          <w:lang w:val="es-ES"/>
        </w:rPr>
        <w:t>”</w:t>
      </w:r>
      <w:r w:rsidR="000157B5" w:rsidRPr="00506990">
        <w:rPr>
          <w:rFonts w:ascii="Times New Roman" w:hAnsi="Times New Roman" w:cs="Times New Roman"/>
          <w:iCs/>
          <w:color w:val="0D0D0D" w:themeColor="text1" w:themeTint="F2"/>
          <w:sz w:val="22"/>
          <w:szCs w:val="22"/>
          <w:lang w:val="es-ES"/>
        </w:rPr>
        <w:t>, no existe ningún hecho relevante que afecte y/</w:t>
      </w:r>
      <w:r w:rsidR="000157B5" w:rsidRPr="00506990">
        <w:rPr>
          <w:rFonts w:ascii="Times New Roman" w:hAnsi="Times New Roman" w:cs="Times New Roman"/>
          <w:iCs/>
          <w:color w:val="0D0D0D" w:themeColor="text1" w:themeTint="F2"/>
          <w:sz w:val="22"/>
          <w:szCs w:val="22"/>
        </w:rPr>
        <w:t>o pudiera afectar en el futuro</w:t>
      </w:r>
      <w:r w:rsidR="000157B5" w:rsidRPr="00506990">
        <w:rPr>
          <w:rFonts w:ascii="Times New Roman" w:hAnsi="Times New Roman" w:cs="Times New Roman"/>
          <w:iCs/>
          <w:color w:val="0D0D0D" w:themeColor="text1" w:themeTint="F2"/>
          <w:sz w:val="22"/>
          <w:szCs w:val="22"/>
          <w:lang w:val="es-ES"/>
        </w:rPr>
        <w:t xml:space="preserve"> la integridad de la estructura fiduciaria ni su actuación como Administrador</w:t>
      </w:r>
      <w:r w:rsidR="00F7400D" w:rsidRPr="00506990">
        <w:rPr>
          <w:rFonts w:ascii="Times New Roman" w:hAnsi="Times New Roman" w:cs="Times New Roman"/>
          <w:iCs/>
          <w:color w:val="0D0D0D" w:themeColor="text1" w:themeTint="F2"/>
          <w:sz w:val="22"/>
          <w:szCs w:val="22"/>
          <w:lang w:val="es-ES"/>
        </w:rPr>
        <w:t>es</w:t>
      </w:r>
      <w:r w:rsidR="000157B5" w:rsidRPr="00506990">
        <w:rPr>
          <w:rFonts w:ascii="Times New Roman" w:hAnsi="Times New Roman" w:cs="Times New Roman"/>
          <w:iCs/>
          <w:color w:val="0D0D0D" w:themeColor="text1" w:themeTint="F2"/>
          <w:sz w:val="22"/>
          <w:szCs w:val="22"/>
          <w:lang w:val="es-ES"/>
        </w:rPr>
        <w:t xml:space="preserve"> y Agente</w:t>
      </w:r>
      <w:r w:rsidR="00F7400D" w:rsidRPr="00506990">
        <w:rPr>
          <w:rFonts w:ascii="Times New Roman" w:hAnsi="Times New Roman" w:cs="Times New Roman"/>
          <w:iCs/>
          <w:color w:val="0D0D0D" w:themeColor="text1" w:themeTint="F2"/>
          <w:sz w:val="22"/>
          <w:szCs w:val="22"/>
          <w:lang w:val="es-ES"/>
        </w:rPr>
        <w:t>s</w:t>
      </w:r>
      <w:r w:rsidR="000157B5" w:rsidRPr="00506990">
        <w:rPr>
          <w:rFonts w:ascii="Times New Roman" w:hAnsi="Times New Roman" w:cs="Times New Roman"/>
          <w:iCs/>
          <w:color w:val="0D0D0D" w:themeColor="text1" w:themeTint="F2"/>
          <w:sz w:val="22"/>
          <w:szCs w:val="22"/>
          <w:lang w:val="es-ES"/>
        </w:rPr>
        <w:t xml:space="preserve"> de Cobro. De existir algún hecho relevante con posterioridad, el mismo será informado al Fiduciario y a la Comisión Nacional de Valores y (b) su situación económica, financiera y patrimonial, no afecta la posibilidad de cumplimiento de las funciones asignadas por este Contrato de Fideicomiso, (c) </w:t>
      </w:r>
      <w:r w:rsidR="000157B5" w:rsidRPr="00506990">
        <w:rPr>
          <w:rFonts w:ascii="Times New Roman" w:hAnsi="Times New Roman" w:cs="Times New Roman"/>
          <w:iCs/>
          <w:color w:val="0D0D0D" w:themeColor="text1" w:themeTint="F2"/>
          <w:sz w:val="22"/>
          <w:szCs w:val="22"/>
        </w:rPr>
        <w:t>que cuenta con capacidad de gestión y organización administrativa propia y adecuada para desempeñar la función de Administrador</w:t>
      </w:r>
      <w:r w:rsidRPr="00506990">
        <w:rPr>
          <w:rFonts w:ascii="Times New Roman" w:hAnsi="Times New Roman" w:cs="Times New Roman"/>
          <w:iCs/>
          <w:color w:val="0D0D0D" w:themeColor="text1" w:themeTint="F2"/>
          <w:sz w:val="22"/>
          <w:szCs w:val="22"/>
        </w:rPr>
        <w:t>es</w:t>
      </w:r>
      <w:r w:rsidR="000157B5" w:rsidRPr="00506990">
        <w:rPr>
          <w:rFonts w:ascii="Times New Roman" w:hAnsi="Times New Roman" w:cs="Times New Roman"/>
          <w:iCs/>
          <w:color w:val="0D0D0D" w:themeColor="text1" w:themeTint="F2"/>
          <w:sz w:val="22"/>
          <w:szCs w:val="22"/>
        </w:rPr>
        <w:t xml:space="preserve"> y Agente</w:t>
      </w:r>
      <w:r w:rsidRPr="00506990">
        <w:rPr>
          <w:rFonts w:ascii="Times New Roman" w:hAnsi="Times New Roman" w:cs="Times New Roman"/>
          <w:iCs/>
          <w:color w:val="0D0D0D" w:themeColor="text1" w:themeTint="F2"/>
          <w:sz w:val="22"/>
          <w:szCs w:val="22"/>
        </w:rPr>
        <w:t>s</w:t>
      </w:r>
      <w:r w:rsidR="000157B5" w:rsidRPr="00506990">
        <w:rPr>
          <w:rFonts w:ascii="Times New Roman" w:hAnsi="Times New Roman" w:cs="Times New Roman"/>
          <w:iCs/>
          <w:color w:val="0D0D0D" w:themeColor="text1" w:themeTint="F2"/>
          <w:sz w:val="22"/>
          <w:szCs w:val="22"/>
        </w:rPr>
        <w:t xml:space="preserve"> de Cobro, (d) que TINSA S.A y los Agentes Externos de Recaudación subcontratados cuentan con capacidad y estructura suficiente para desempeñar la función de recaudación (e) en el otorgamiento de los créditos se han observado las disposiciones de la Ley 25.246 modificada por ley 26.683 y las disposiciones de las resoluciones UIF 11/2012, 121/2011 52/2012, 3/2014,</w:t>
      </w:r>
      <w:r w:rsidR="00ED74F5" w:rsidRPr="00506990">
        <w:rPr>
          <w:rFonts w:ascii="Times New Roman" w:hAnsi="Times New Roman" w:cs="Times New Roman"/>
          <w:iCs/>
          <w:color w:val="0D0D0D" w:themeColor="text1" w:themeTint="F2"/>
          <w:sz w:val="22"/>
          <w:szCs w:val="22"/>
        </w:rPr>
        <w:t xml:space="preserve"> </w:t>
      </w:r>
      <w:r w:rsidR="000157B5" w:rsidRPr="00506990">
        <w:rPr>
          <w:rFonts w:ascii="Times New Roman" w:hAnsi="Times New Roman" w:cs="Times New Roman"/>
          <w:iCs/>
          <w:color w:val="0D0D0D" w:themeColor="text1" w:themeTint="F2"/>
          <w:sz w:val="22"/>
          <w:szCs w:val="22"/>
        </w:rPr>
        <w:t>4/2017</w:t>
      </w:r>
      <w:r w:rsidR="0076132E" w:rsidRPr="00506990">
        <w:rPr>
          <w:rFonts w:ascii="Times New Roman" w:hAnsi="Times New Roman" w:cs="Times New Roman"/>
          <w:iCs/>
          <w:color w:val="0D0D0D" w:themeColor="text1" w:themeTint="F2"/>
          <w:sz w:val="22"/>
          <w:szCs w:val="22"/>
        </w:rPr>
        <w:t>,</w:t>
      </w:r>
      <w:r w:rsidR="000157B5" w:rsidRPr="00506990">
        <w:rPr>
          <w:rFonts w:ascii="Times New Roman" w:hAnsi="Times New Roman" w:cs="Times New Roman"/>
          <w:iCs/>
          <w:color w:val="0D0D0D" w:themeColor="text1" w:themeTint="F2"/>
          <w:sz w:val="22"/>
          <w:szCs w:val="22"/>
        </w:rPr>
        <w:t xml:space="preserve"> </w:t>
      </w:r>
      <w:r w:rsidR="0033127E">
        <w:rPr>
          <w:rFonts w:ascii="Times New Roman" w:hAnsi="Times New Roman" w:cs="Times New Roman"/>
          <w:iCs/>
          <w:color w:val="0D0D0D" w:themeColor="text1" w:themeTint="F2"/>
          <w:sz w:val="22"/>
          <w:szCs w:val="22"/>
        </w:rPr>
        <w:t>28/2018</w:t>
      </w:r>
      <w:r w:rsidR="000157B5" w:rsidRPr="00506990">
        <w:rPr>
          <w:rFonts w:ascii="Times New Roman" w:hAnsi="Times New Roman" w:cs="Times New Roman"/>
          <w:iCs/>
          <w:color w:val="0D0D0D" w:themeColor="text1" w:themeTint="F2"/>
          <w:sz w:val="22"/>
          <w:szCs w:val="22"/>
        </w:rPr>
        <w:t xml:space="preserve"> </w:t>
      </w:r>
      <w:r w:rsidR="0076132E" w:rsidRPr="00506990">
        <w:rPr>
          <w:rFonts w:ascii="Times New Roman" w:hAnsi="Times New Roman" w:cs="Times New Roman"/>
          <w:iCs/>
          <w:color w:val="0D0D0D" w:themeColor="text1" w:themeTint="F2"/>
          <w:sz w:val="22"/>
          <w:szCs w:val="22"/>
        </w:rPr>
        <w:t xml:space="preserve"> y 156/2018</w:t>
      </w:r>
      <w:r w:rsidR="000157B5" w:rsidRPr="00506990">
        <w:rPr>
          <w:rFonts w:ascii="Times New Roman" w:hAnsi="Times New Roman" w:cs="Times New Roman"/>
          <w:iCs/>
          <w:color w:val="0D0D0D" w:themeColor="text1" w:themeTint="F2"/>
          <w:sz w:val="22"/>
          <w:szCs w:val="22"/>
        </w:rPr>
        <w:t xml:space="preserve"> sobre prevención de lavado de dinero y prevención del terrorismo, aplicables a las Cooperativas y Mutuales, y a las Entidades Financieras, respectivamente</w:t>
      </w:r>
      <w:r w:rsidR="0076132E" w:rsidRPr="00506990">
        <w:rPr>
          <w:rFonts w:ascii="Times New Roman" w:hAnsi="Times New Roman" w:cs="Times New Roman"/>
          <w:iCs/>
          <w:color w:val="0D0D0D" w:themeColor="text1" w:themeTint="F2"/>
          <w:sz w:val="22"/>
          <w:szCs w:val="22"/>
        </w:rPr>
        <w:t>.</w:t>
      </w:r>
    </w:p>
    <w:p w14:paraId="0EDA2049" w14:textId="77777777" w:rsidR="00B30B34" w:rsidRPr="00506990" w:rsidRDefault="00B30B34">
      <w:pPr>
        <w:pStyle w:val="Textoindependiente"/>
        <w:rPr>
          <w:rFonts w:ascii="Times New Roman" w:hAnsi="Times New Roman"/>
          <w:iCs/>
          <w:color w:val="0D0D0D" w:themeColor="text1" w:themeTint="F2"/>
          <w:sz w:val="22"/>
          <w:szCs w:val="22"/>
          <w:u w:val="single"/>
          <w:lang w:val="es-ES"/>
        </w:rPr>
      </w:pPr>
    </w:p>
    <w:p w14:paraId="334BAC08" w14:textId="57632C1A" w:rsidR="000D2637" w:rsidRPr="00506990" w:rsidRDefault="000157B5" w:rsidP="00B228F5">
      <w:pPr>
        <w:pStyle w:val="Ttulo1"/>
        <w:jc w:val="center"/>
        <w:rPr>
          <w:rFonts w:ascii="Times New Roman" w:hAnsi="Times New Roman"/>
          <w:sz w:val="22"/>
          <w:szCs w:val="22"/>
        </w:rPr>
      </w:pPr>
      <w:bookmarkStart w:id="84" w:name="_Toc521424869"/>
      <w:bookmarkStart w:id="85" w:name="_Toc20409085"/>
      <w:r w:rsidRPr="00506990">
        <w:rPr>
          <w:rFonts w:ascii="Times New Roman" w:hAnsi="Times New Roman"/>
          <w:sz w:val="22"/>
          <w:szCs w:val="22"/>
        </w:rPr>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84"/>
      <w:bookmarkEnd w:id="85"/>
    </w:p>
    <w:p w14:paraId="79138A64" w14:textId="77777777" w:rsidR="000D2637" w:rsidRPr="00506990" w:rsidRDefault="000D2637">
      <w:pPr>
        <w:pStyle w:val="Textoindependiente"/>
        <w:jc w:val="both"/>
        <w:rPr>
          <w:rFonts w:ascii="Times New Roman" w:hAnsi="Times New Roman"/>
          <w:iCs/>
          <w:color w:val="0D0D0D" w:themeColor="text1" w:themeTint="F2"/>
          <w:sz w:val="22"/>
          <w:szCs w:val="22"/>
        </w:rPr>
      </w:pPr>
    </w:p>
    <w:p w14:paraId="0ECAF69F" w14:textId="77777777" w:rsidR="00747260" w:rsidRPr="00506990" w:rsidRDefault="00F74B80" w:rsidP="00121F94">
      <w:pPr>
        <w:spacing w:after="200" w:line="276" w:lineRule="auto"/>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Bazar Avenida S.A. </w:t>
      </w:r>
    </w:p>
    <w:p w14:paraId="42E053C7" w14:textId="10B53B95" w:rsidR="0030646A" w:rsidRPr="00506990" w:rsidRDefault="00546BED" w:rsidP="00F77F79">
      <w:pPr>
        <w:spacing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w:t>
      </w:r>
      <w:r w:rsidR="0057621D" w:rsidRPr="00506990">
        <w:rPr>
          <w:rFonts w:ascii="Times New Roman" w:hAnsi="Times New Roman" w:cs="Times New Roman"/>
          <w:color w:val="0D0D0D" w:themeColor="text1" w:themeTint="F2"/>
          <w:sz w:val="22"/>
          <w:szCs w:val="22"/>
        </w:rPr>
        <w:t xml:space="preserve">e constituyó como Sociedad Anónima el 27 de Diciembre de 1971, inscripta en el Registro Público de Comercio de la Ciudad de Santa Fe bajo el Nro. 742 Folio 270/1, Libro 1; cuya sede social </w:t>
      </w:r>
      <w:r w:rsidR="00E677A6" w:rsidRPr="00506990">
        <w:rPr>
          <w:rFonts w:ascii="Times New Roman" w:hAnsi="Times New Roman" w:cs="Times New Roman"/>
          <w:color w:val="0D0D0D" w:themeColor="text1" w:themeTint="F2"/>
          <w:sz w:val="22"/>
          <w:szCs w:val="22"/>
        </w:rPr>
        <w:t>en curso de inscripción</w:t>
      </w:r>
      <w:r w:rsidR="0057621D" w:rsidRPr="00506990">
        <w:rPr>
          <w:rFonts w:ascii="Times New Roman" w:hAnsi="Times New Roman" w:cs="Times New Roman"/>
          <w:color w:val="0D0D0D" w:themeColor="text1" w:themeTint="F2"/>
          <w:sz w:val="22"/>
          <w:szCs w:val="22"/>
        </w:rPr>
        <w:t xml:space="preserve"> </w:t>
      </w:r>
      <w:r w:rsidR="00BA3CC4" w:rsidRPr="00506990">
        <w:rPr>
          <w:rFonts w:ascii="Times New Roman" w:hAnsi="Times New Roman" w:cs="Times New Roman"/>
          <w:color w:val="0D0D0D" w:themeColor="text1" w:themeTint="F2"/>
          <w:sz w:val="22"/>
          <w:szCs w:val="22"/>
        </w:rPr>
        <w:t xml:space="preserve">por cambio de sede social </w:t>
      </w:r>
      <w:r w:rsidR="0057621D" w:rsidRPr="00506990">
        <w:rPr>
          <w:rFonts w:ascii="Times New Roman" w:hAnsi="Times New Roman" w:cs="Times New Roman"/>
          <w:color w:val="0D0D0D" w:themeColor="text1" w:themeTint="F2"/>
          <w:sz w:val="22"/>
          <w:szCs w:val="22"/>
        </w:rPr>
        <w:t xml:space="preserve">se </w:t>
      </w:r>
      <w:r w:rsidR="0057621D" w:rsidRPr="000579E7">
        <w:rPr>
          <w:rFonts w:ascii="Times New Roman" w:hAnsi="Times New Roman" w:cs="Times New Roman"/>
          <w:color w:val="0D0D0D" w:themeColor="text1" w:themeTint="F2"/>
          <w:sz w:val="22"/>
          <w:szCs w:val="22"/>
        </w:rPr>
        <w:t xml:space="preserve">encuentra en </w:t>
      </w:r>
      <w:r w:rsidR="00C55026">
        <w:rPr>
          <w:rFonts w:ascii="Times New Roman" w:hAnsi="Times New Roman" w:cs="Times New Roman"/>
          <w:color w:val="0D0D0D" w:themeColor="text1" w:themeTint="F2"/>
          <w:sz w:val="22"/>
          <w:szCs w:val="22"/>
        </w:rPr>
        <w:t>Calle 3 N°1045</w:t>
      </w:r>
      <w:r w:rsidR="0057621D" w:rsidRPr="000579E7">
        <w:rPr>
          <w:rFonts w:ascii="Times New Roman" w:hAnsi="Times New Roman" w:cs="Times New Roman"/>
          <w:color w:val="0D0D0D" w:themeColor="text1" w:themeTint="F2"/>
          <w:sz w:val="22"/>
          <w:szCs w:val="22"/>
        </w:rPr>
        <w:t xml:space="preserve"> de la ciudad</w:t>
      </w:r>
      <w:r w:rsidR="0057621D" w:rsidRPr="00506990">
        <w:rPr>
          <w:rFonts w:ascii="Times New Roman" w:hAnsi="Times New Roman" w:cs="Times New Roman"/>
          <w:color w:val="0D0D0D" w:themeColor="text1" w:themeTint="F2"/>
          <w:sz w:val="22"/>
          <w:szCs w:val="22"/>
        </w:rPr>
        <w:t xml:space="preserve"> de Rafaela, Provincia de Santa Fe.</w:t>
      </w:r>
      <w:r w:rsidR="003E02B4" w:rsidRPr="00506990">
        <w:rPr>
          <w:rFonts w:ascii="Times New Roman" w:hAnsi="Times New Roman" w:cs="Times New Roman"/>
          <w:color w:val="0D0D0D" w:themeColor="text1" w:themeTint="F2"/>
          <w:sz w:val="22"/>
          <w:szCs w:val="22"/>
        </w:rPr>
        <w:t xml:space="preserve"> </w:t>
      </w:r>
      <w:r w:rsidR="0057621D" w:rsidRPr="00506990">
        <w:rPr>
          <w:rFonts w:ascii="Times New Roman" w:hAnsi="Times New Roman" w:cs="Times New Roman"/>
          <w:color w:val="0D0D0D" w:themeColor="text1" w:themeTint="F2"/>
          <w:sz w:val="22"/>
          <w:szCs w:val="22"/>
        </w:rPr>
        <w:t>CUIT</w:t>
      </w:r>
      <w:r w:rsidR="003E02B4" w:rsidRPr="00506990">
        <w:rPr>
          <w:rFonts w:ascii="Times New Roman" w:hAnsi="Times New Roman" w:cs="Times New Roman"/>
          <w:color w:val="0D0D0D" w:themeColor="text1" w:themeTint="F2"/>
          <w:sz w:val="22"/>
          <w:szCs w:val="22"/>
        </w:rPr>
        <w:t>: 30-53284754-</w:t>
      </w:r>
      <w:r w:rsidR="000D26CB" w:rsidRPr="00506990">
        <w:rPr>
          <w:rFonts w:ascii="Times New Roman" w:hAnsi="Times New Roman" w:cs="Times New Roman"/>
          <w:color w:val="0D0D0D" w:themeColor="text1" w:themeTint="F2"/>
          <w:sz w:val="22"/>
          <w:szCs w:val="22"/>
        </w:rPr>
        <w:t>7, Teléfono</w:t>
      </w:r>
      <w:r w:rsidR="00F57917" w:rsidRPr="00506990">
        <w:rPr>
          <w:rFonts w:ascii="Times New Roman" w:hAnsi="Times New Roman" w:cs="Times New Roman"/>
          <w:color w:val="0D0D0D" w:themeColor="text1" w:themeTint="F2"/>
          <w:sz w:val="22"/>
          <w:szCs w:val="22"/>
        </w:rPr>
        <w:t xml:space="preserve"> 03492-438090</w:t>
      </w:r>
      <w:r w:rsidR="000D26CB" w:rsidRPr="00506990">
        <w:rPr>
          <w:rFonts w:ascii="Times New Roman" w:hAnsi="Times New Roman" w:cs="Times New Roman"/>
          <w:color w:val="0D0D0D" w:themeColor="text1" w:themeTint="F2"/>
          <w:sz w:val="22"/>
          <w:szCs w:val="22"/>
        </w:rPr>
        <w:t>, Fax: 03492-438070,</w:t>
      </w:r>
      <w:r w:rsidR="00F57917" w:rsidRPr="00506990">
        <w:rPr>
          <w:rFonts w:ascii="Times New Roman" w:hAnsi="Times New Roman" w:cs="Times New Roman"/>
          <w:color w:val="0D0D0D" w:themeColor="text1" w:themeTint="F2"/>
          <w:sz w:val="22"/>
          <w:szCs w:val="22"/>
        </w:rPr>
        <w:t xml:space="preserve"> Correo electrónico </w:t>
      </w:r>
      <w:hyperlink r:id="rId27" w:history="1">
        <w:r w:rsidR="0030646A" w:rsidRPr="00506990">
          <w:rPr>
            <w:rStyle w:val="Hipervnculo"/>
            <w:rFonts w:ascii="Times New Roman" w:hAnsi="Times New Roman"/>
            <w:color w:val="0D0D0D" w:themeColor="text1" w:themeTint="F2"/>
            <w:sz w:val="22"/>
            <w:szCs w:val="22"/>
            <w:lang w:val="es-AR" w:eastAsia="en-US"/>
          </w:rPr>
          <w:t>infofid@bamegatone.com</w:t>
        </w:r>
      </w:hyperlink>
      <w:r w:rsidR="00161D3F" w:rsidRPr="00506990">
        <w:rPr>
          <w:rFonts w:ascii="Times New Roman" w:hAnsi="Times New Roman" w:cs="Times New Roman"/>
          <w:color w:val="0D0D0D" w:themeColor="text1" w:themeTint="F2"/>
          <w:sz w:val="22"/>
          <w:szCs w:val="22"/>
          <w:lang w:val="es-AR" w:eastAsia="en-US"/>
        </w:rPr>
        <w:t>.</w:t>
      </w:r>
    </w:p>
    <w:p w14:paraId="460CC369" w14:textId="32FADB13" w:rsidR="0030646A" w:rsidRPr="00506990" w:rsidRDefault="0030646A"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Se encuentra inscripta en el Banco Central de la República Argentina como “Proveedor no financiero” bajo el código 55100.</w:t>
      </w:r>
    </w:p>
    <w:p w14:paraId="77750323" w14:textId="77777777" w:rsidR="00F74B80" w:rsidRPr="00506990" w:rsidRDefault="00F74B80" w:rsidP="00546BED">
      <w:pPr>
        <w:shd w:val="clear" w:color="auto" w:fill="D9D9D9"/>
        <w:rPr>
          <w:rFonts w:ascii="Times New Roman" w:hAnsi="Times New Roman" w:cs="Times New Roman"/>
          <w:b/>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ORGANIZACIÓN</w:t>
      </w:r>
    </w:p>
    <w:p w14:paraId="5F06485B" w14:textId="77777777" w:rsidR="00F74B80" w:rsidRPr="00506990" w:rsidRDefault="00F74B80" w:rsidP="00BA443A">
      <w:pPr>
        <w:rPr>
          <w:rFonts w:ascii="Times New Roman" w:hAnsi="Times New Roman" w:cs="Times New Roman"/>
          <w:color w:val="0D0D0D" w:themeColor="text1" w:themeTint="F2"/>
          <w:sz w:val="22"/>
          <w:szCs w:val="22"/>
          <w:lang w:val="es-AR"/>
        </w:rPr>
      </w:pPr>
    </w:p>
    <w:p w14:paraId="0F12A19B" w14:textId="77777777" w:rsidR="00F74B80" w:rsidRPr="00506990" w:rsidRDefault="00F74B80">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A continuación la composición del Directorio de Bazar Avenida S.A. y la estructura organizativa vigente.</w:t>
      </w:r>
    </w:p>
    <w:p w14:paraId="58CE62EA" w14:textId="77777777" w:rsidR="00F74B80" w:rsidRPr="00506990" w:rsidRDefault="00F74B80">
      <w:pPr>
        <w:rPr>
          <w:rFonts w:ascii="Times New Roman" w:hAnsi="Times New Roman" w:cs="Times New Roman"/>
          <w:color w:val="0D0D0D" w:themeColor="text1" w:themeTint="F2"/>
          <w:sz w:val="22"/>
          <w:szCs w:val="22"/>
          <w:lang w:val="es-AR"/>
        </w:rPr>
      </w:pPr>
    </w:p>
    <w:p w14:paraId="00B5A046" w14:textId="534A74D2" w:rsidR="00F74B80" w:rsidRPr="00506990" w:rsidRDefault="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Directorio </w:t>
      </w:r>
    </w:p>
    <w:p w14:paraId="52D25B2B" w14:textId="77777777" w:rsidR="00F74B80" w:rsidRPr="00506990" w:rsidRDefault="00F74B80">
      <w:pPr>
        <w:rPr>
          <w:rFonts w:ascii="Times New Roman" w:hAnsi="Times New Roman" w:cs="Times New Roman"/>
          <w:color w:val="0D0D0D" w:themeColor="text1" w:themeTint="F2"/>
          <w:sz w:val="22"/>
          <w:szCs w:val="22"/>
          <w:lang w:val="es-AR"/>
        </w:rPr>
      </w:pPr>
    </w:p>
    <w:tbl>
      <w:tblPr>
        <w:tblW w:w="7506" w:type="dxa"/>
        <w:jc w:val="center"/>
        <w:tblCellMar>
          <w:left w:w="70" w:type="dxa"/>
          <w:right w:w="70" w:type="dxa"/>
        </w:tblCellMar>
        <w:tblLook w:val="04A0" w:firstRow="1" w:lastRow="0" w:firstColumn="1" w:lastColumn="0" w:noHBand="0" w:noVBand="1"/>
      </w:tblPr>
      <w:tblGrid>
        <w:gridCol w:w="1836"/>
        <w:gridCol w:w="2595"/>
        <w:gridCol w:w="3075"/>
      </w:tblGrid>
      <w:tr w:rsidR="00F74B80" w:rsidRPr="00506990" w14:paraId="08C762E3" w14:textId="77777777" w:rsidTr="006F15A1">
        <w:trPr>
          <w:trHeight w:val="300"/>
          <w:jc w:val="center"/>
        </w:trPr>
        <w:tc>
          <w:tcPr>
            <w:tcW w:w="1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B00743C"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CARGO</w:t>
            </w:r>
          </w:p>
        </w:tc>
        <w:tc>
          <w:tcPr>
            <w:tcW w:w="259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B781185"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NOMBRE Y APELLIDO</w:t>
            </w:r>
          </w:p>
        </w:tc>
        <w:tc>
          <w:tcPr>
            <w:tcW w:w="3075" w:type="dxa"/>
            <w:tcBorders>
              <w:top w:val="single" w:sz="4" w:space="0" w:color="auto"/>
              <w:left w:val="nil"/>
              <w:bottom w:val="single" w:sz="4" w:space="0" w:color="auto"/>
              <w:right w:val="single" w:sz="4" w:space="0" w:color="auto"/>
            </w:tcBorders>
            <w:shd w:val="clear" w:color="auto" w:fill="BFBFBF" w:themeFill="background1" w:themeFillShade="BF"/>
          </w:tcPr>
          <w:p w14:paraId="1844C834"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VENCIMIENTO</w:t>
            </w:r>
          </w:p>
          <w:p w14:paraId="21C11ECD" w14:textId="77777777" w:rsidR="00F74B80" w:rsidRPr="00506990" w:rsidRDefault="00F74B80">
            <w:pPr>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DE MANDATO</w:t>
            </w:r>
          </w:p>
        </w:tc>
      </w:tr>
      <w:tr w:rsidR="00F74B80" w:rsidRPr="00506990" w14:paraId="56E51C7A"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64294BB8"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Presidente</w:t>
            </w:r>
          </w:p>
        </w:tc>
        <w:tc>
          <w:tcPr>
            <w:tcW w:w="2595" w:type="dxa"/>
            <w:tcBorders>
              <w:top w:val="nil"/>
              <w:left w:val="nil"/>
              <w:bottom w:val="single" w:sz="4" w:space="0" w:color="auto"/>
              <w:right w:val="single" w:sz="4" w:space="0" w:color="auto"/>
            </w:tcBorders>
            <w:shd w:val="clear" w:color="auto" w:fill="auto"/>
            <w:noWrap/>
            <w:vAlign w:val="bottom"/>
            <w:hideMark/>
          </w:tcPr>
          <w:p w14:paraId="1F4AC6F6"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Sergio Juan Luis</w:t>
            </w:r>
          </w:p>
        </w:tc>
        <w:tc>
          <w:tcPr>
            <w:tcW w:w="3075" w:type="dxa"/>
            <w:tcBorders>
              <w:top w:val="nil"/>
              <w:left w:val="nil"/>
              <w:bottom w:val="single" w:sz="4" w:space="0" w:color="auto"/>
              <w:right w:val="single" w:sz="4" w:space="0" w:color="auto"/>
            </w:tcBorders>
            <w:vAlign w:val="bottom"/>
          </w:tcPr>
          <w:p w14:paraId="12BF7B2D" w14:textId="774E4FB1" w:rsidR="00F74B80" w:rsidRPr="00506990" w:rsidRDefault="00F74B80" w:rsidP="00316E37">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30/06/20</w:t>
            </w:r>
            <w:r w:rsidR="009B6349" w:rsidRPr="00506990">
              <w:rPr>
                <w:rFonts w:ascii="Times New Roman" w:hAnsi="Times New Roman" w:cs="Times New Roman"/>
                <w:color w:val="0D0D0D" w:themeColor="text1" w:themeTint="F2"/>
                <w:sz w:val="22"/>
                <w:szCs w:val="22"/>
              </w:rPr>
              <w:t>20</w:t>
            </w:r>
          </w:p>
        </w:tc>
      </w:tr>
      <w:tr w:rsidR="00F74B80" w:rsidRPr="00506990" w14:paraId="0D083490"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2E8257D4"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Vicepresidente</w:t>
            </w:r>
          </w:p>
        </w:tc>
        <w:tc>
          <w:tcPr>
            <w:tcW w:w="2595" w:type="dxa"/>
            <w:tcBorders>
              <w:top w:val="nil"/>
              <w:left w:val="nil"/>
              <w:bottom w:val="single" w:sz="4" w:space="0" w:color="auto"/>
              <w:right w:val="single" w:sz="4" w:space="0" w:color="auto"/>
            </w:tcBorders>
            <w:shd w:val="clear" w:color="auto" w:fill="auto"/>
            <w:noWrap/>
            <w:vAlign w:val="bottom"/>
            <w:hideMark/>
          </w:tcPr>
          <w:p w14:paraId="59701BE2"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Jorge Ramón</w:t>
            </w:r>
          </w:p>
        </w:tc>
        <w:tc>
          <w:tcPr>
            <w:tcW w:w="3075" w:type="dxa"/>
            <w:tcBorders>
              <w:top w:val="nil"/>
              <w:left w:val="nil"/>
              <w:bottom w:val="single" w:sz="4" w:space="0" w:color="auto"/>
              <w:right w:val="single" w:sz="4" w:space="0" w:color="auto"/>
            </w:tcBorders>
            <w:vAlign w:val="bottom"/>
          </w:tcPr>
          <w:p w14:paraId="3CEA8BF6" w14:textId="5A232615" w:rsidR="00F74B80" w:rsidRPr="00506990" w:rsidRDefault="00F74B80" w:rsidP="00316E37">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30/06/20</w:t>
            </w:r>
            <w:r w:rsidR="00310D77">
              <w:rPr>
                <w:rFonts w:ascii="Times New Roman" w:hAnsi="Times New Roman" w:cs="Times New Roman"/>
                <w:color w:val="0D0D0D" w:themeColor="text1" w:themeTint="F2"/>
                <w:sz w:val="22"/>
                <w:szCs w:val="22"/>
              </w:rPr>
              <w:t>20</w:t>
            </w:r>
          </w:p>
        </w:tc>
      </w:tr>
      <w:tr w:rsidR="00F74B80" w:rsidRPr="00506990" w14:paraId="592560D9"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ED523C6"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Titular</w:t>
            </w:r>
          </w:p>
        </w:tc>
        <w:tc>
          <w:tcPr>
            <w:tcW w:w="2595" w:type="dxa"/>
            <w:tcBorders>
              <w:top w:val="nil"/>
              <w:left w:val="nil"/>
              <w:bottom w:val="single" w:sz="4" w:space="0" w:color="auto"/>
              <w:right w:val="single" w:sz="4" w:space="0" w:color="auto"/>
            </w:tcBorders>
            <w:shd w:val="clear" w:color="auto" w:fill="auto"/>
            <w:noWrap/>
            <w:vAlign w:val="bottom"/>
            <w:hideMark/>
          </w:tcPr>
          <w:p w14:paraId="21CA23E5"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Fregona, José Omar</w:t>
            </w:r>
          </w:p>
        </w:tc>
        <w:tc>
          <w:tcPr>
            <w:tcW w:w="3075" w:type="dxa"/>
            <w:tcBorders>
              <w:top w:val="nil"/>
              <w:left w:val="nil"/>
              <w:bottom w:val="single" w:sz="4" w:space="0" w:color="auto"/>
              <w:right w:val="single" w:sz="4" w:space="0" w:color="auto"/>
            </w:tcBorders>
            <w:vAlign w:val="bottom"/>
          </w:tcPr>
          <w:p w14:paraId="62CFCE2C" w14:textId="125439CE" w:rsidR="00F74B80" w:rsidRPr="00506990" w:rsidRDefault="00F74B80" w:rsidP="00316E37">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30/06/20</w:t>
            </w:r>
            <w:r w:rsidR="009B6349" w:rsidRPr="00506990">
              <w:rPr>
                <w:rFonts w:ascii="Times New Roman" w:hAnsi="Times New Roman" w:cs="Times New Roman"/>
                <w:color w:val="0D0D0D" w:themeColor="text1" w:themeTint="F2"/>
                <w:sz w:val="22"/>
                <w:szCs w:val="22"/>
              </w:rPr>
              <w:t>20</w:t>
            </w:r>
          </w:p>
        </w:tc>
      </w:tr>
      <w:tr w:rsidR="00F74B80" w:rsidRPr="00506990" w14:paraId="3962D45B"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0A015022"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bottom"/>
            <w:hideMark/>
          </w:tcPr>
          <w:p w14:paraId="6F6BE005"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Daniel Alejandro</w:t>
            </w:r>
          </w:p>
        </w:tc>
        <w:tc>
          <w:tcPr>
            <w:tcW w:w="3075" w:type="dxa"/>
            <w:tcBorders>
              <w:top w:val="nil"/>
              <w:left w:val="nil"/>
              <w:bottom w:val="single" w:sz="4" w:space="0" w:color="auto"/>
              <w:right w:val="single" w:sz="4" w:space="0" w:color="auto"/>
            </w:tcBorders>
            <w:vAlign w:val="bottom"/>
          </w:tcPr>
          <w:p w14:paraId="187E1E73" w14:textId="443A5B18" w:rsidR="00F74B80" w:rsidRPr="00506990" w:rsidRDefault="00F74B80" w:rsidP="00316E37">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30/06/20</w:t>
            </w:r>
            <w:r w:rsidR="009B6349" w:rsidRPr="00506990">
              <w:rPr>
                <w:rFonts w:ascii="Times New Roman" w:hAnsi="Times New Roman" w:cs="Times New Roman"/>
                <w:color w:val="0D0D0D" w:themeColor="text1" w:themeTint="F2"/>
                <w:sz w:val="22"/>
                <w:szCs w:val="22"/>
              </w:rPr>
              <w:t>20</w:t>
            </w:r>
          </w:p>
        </w:tc>
      </w:tr>
      <w:tr w:rsidR="00F74B80" w:rsidRPr="00506990" w14:paraId="4EE77756"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1F7971D7"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bottom"/>
            <w:hideMark/>
          </w:tcPr>
          <w:p w14:paraId="11110339"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Micaela</w:t>
            </w:r>
          </w:p>
        </w:tc>
        <w:tc>
          <w:tcPr>
            <w:tcW w:w="3075" w:type="dxa"/>
            <w:tcBorders>
              <w:top w:val="nil"/>
              <w:left w:val="nil"/>
              <w:bottom w:val="single" w:sz="4" w:space="0" w:color="auto"/>
              <w:right w:val="single" w:sz="4" w:space="0" w:color="auto"/>
            </w:tcBorders>
            <w:vAlign w:val="bottom"/>
          </w:tcPr>
          <w:p w14:paraId="54B56B6F" w14:textId="0DC57798" w:rsidR="00F74B80" w:rsidRPr="00506990" w:rsidRDefault="00F74B80" w:rsidP="00316E37">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30/06/20</w:t>
            </w:r>
            <w:r w:rsidR="009B6349" w:rsidRPr="00506990">
              <w:rPr>
                <w:rFonts w:ascii="Times New Roman" w:hAnsi="Times New Roman" w:cs="Times New Roman"/>
                <w:color w:val="0D0D0D" w:themeColor="text1" w:themeTint="F2"/>
                <w:sz w:val="22"/>
                <w:szCs w:val="22"/>
              </w:rPr>
              <w:t>20</w:t>
            </w:r>
          </w:p>
        </w:tc>
      </w:tr>
      <w:tr w:rsidR="00F74B80" w:rsidRPr="00506990" w14:paraId="475FF4BB" w14:textId="77777777" w:rsidTr="006F15A1">
        <w:trPr>
          <w:trHeight w:val="300"/>
          <w:jc w:val="center"/>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14:paraId="20D9FB4E" w14:textId="77777777" w:rsidR="00F74B80" w:rsidRPr="00506990" w:rsidRDefault="00F74B80" w:rsidP="00546BE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Director Suplente</w:t>
            </w:r>
          </w:p>
        </w:tc>
        <w:tc>
          <w:tcPr>
            <w:tcW w:w="2595" w:type="dxa"/>
            <w:tcBorders>
              <w:top w:val="nil"/>
              <w:left w:val="nil"/>
              <w:bottom w:val="single" w:sz="4" w:space="0" w:color="auto"/>
              <w:right w:val="single" w:sz="4" w:space="0" w:color="auto"/>
            </w:tcBorders>
            <w:shd w:val="clear" w:color="auto" w:fill="auto"/>
            <w:noWrap/>
            <w:vAlign w:val="bottom"/>
            <w:hideMark/>
          </w:tcPr>
          <w:p w14:paraId="658AA9BD" w14:textId="77777777"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Santi, Javier Hernán</w:t>
            </w:r>
          </w:p>
        </w:tc>
        <w:tc>
          <w:tcPr>
            <w:tcW w:w="3075" w:type="dxa"/>
            <w:tcBorders>
              <w:top w:val="nil"/>
              <w:left w:val="nil"/>
              <w:bottom w:val="single" w:sz="4" w:space="0" w:color="auto"/>
              <w:right w:val="single" w:sz="4" w:space="0" w:color="auto"/>
            </w:tcBorders>
            <w:vAlign w:val="bottom"/>
          </w:tcPr>
          <w:p w14:paraId="139E9FAA" w14:textId="6B89CDD2" w:rsidR="00F74B80" w:rsidRPr="00506990" w:rsidRDefault="00F74B80" w:rsidP="00316E37">
            <w:pPr>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Hasta la Asamblea que trate los EECC al 30/06/20</w:t>
            </w:r>
            <w:r w:rsidR="009B6349" w:rsidRPr="00506990">
              <w:rPr>
                <w:rFonts w:ascii="Times New Roman" w:hAnsi="Times New Roman" w:cs="Times New Roman"/>
                <w:color w:val="0D0D0D" w:themeColor="text1" w:themeTint="F2"/>
                <w:sz w:val="22"/>
                <w:szCs w:val="22"/>
              </w:rPr>
              <w:t>20</w:t>
            </w:r>
          </w:p>
        </w:tc>
      </w:tr>
    </w:tbl>
    <w:p w14:paraId="473C77B6" w14:textId="77777777" w:rsidR="00F74B80" w:rsidRPr="00506990" w:rsidRDefault="00F74B80" w:rsidP="00546BED">
      <w:pPr>
        <w:rPr>
          <w:rFonts w:ascii="Times New Roman" w:hAnsi="Times New Roman" w:cs="Times New Roman"/>
          <w:color w:val="0D0D0D" w:themeColor="text1" w:themeTint="F2"/>
          <w:sz w:val="22"/>
          <w:szCs w:val="22"/>
        </w:rPr>
      </w:pPr>
    </w:p>
    <w:p w14:paraId="5FB7CC2C" w14:textId="20A9D5B2" w:rsidR="00E40497" w:rsidRPr="00506990" w:rsidRDefault="00E40497"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mandatos se mantienen en sus funciones hasta la celebración de asamblea que trate los estados contables al 30/06/20</w:t>
      </w:r>
      <w:r w:rsidR="009B6349" w:rsidRPr="00506990">
        <w:rPr>
          <w:rFonts w:ascii="Times New Roman" w:hAnsi="Times New Roman" w:cs="Times New Roman"/>
          <w:color w:val="0D0D0D" w:themeColor="text1" w:themeTint="F2"/>
          <w:sz w:val="22"/>
          <w:szCs w:val="22"/>
        </w:rPr>
        <w:t>20</w:t>
      </w:r>
      <w:r w:rsidRPr="00506990">
        <w:rPr>
          <w:rFonts w:ascii="Times New Roman" w:hAnsi="Times New Roman" w:cs="Times New Roman"/>
          <w:color w:val="0D0D0D" w:themeColor="text1" w:themeTint="F2"/>
          <w:sz w:val="22"/>
          <w:szCs w:val="22"/>
        </w:rPr>
        <w:t>. A la fecha del presente Suplemento de Prospecto la misma no se ha convocado.</w:t>
      </w:r>
    </w:p>
    <w:p w14:paraId="3B29388F" w14:textId="77777777" w:rsidR="00E40497" w:rsidRPr="00506990" w:rsidRDefault="00E40497" w:rsidP="00BA443A">
      <w:pPr>
        <w:rPr>
          <w:rFonts w:ascii="Times New Roman" w:hAnsi="Times New Roman" w:cs="Times New Roman"/>
          <w:color w:val="0D0D0D" w:themeColor="text1" w:themeTint="F2"/>
          <w:sz w:val="22"/>
          <w:szCs w:val="22"/>
        </w:rPr>
      </w:pPr>
    </w:p>
    <w:p w14:paraId="75C9496C" w14:textId="370BEE0A" w:rsidR="00F74B80" w:rsidRPr="00506990" w:rsidRDefault="00F74B80"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Sociedad prescinde de Sindicatura, conforme lo autoriza el artículo 284 de la Ley General de Sociedades.</w:t>
      </w:r>
    </w:p>
    <w:p w14:paraId="461298F0" w14:textId="77777777" w:rsidR="00F74B80" w:rsidRPr="00506990" w:rsidRDefault="00F74B80">
      <w:pPr>
        <w:rPr>
          <w:rFonts w:ascii="Times New Roman" w:hAnsi="Times New Roman" w:cs="Times New Roman"/>
          <w:color w:val="0D0D0D" w:themeColor="text1" w:themeTint="F2"/>
          <w:sz w:val="22"/>
          <w:szCs w:val="22"/>
        </w:rPr>
      </w:pPr>
    </w:p>
    <w:p w14:paraId="41B22E7F" w14:textId="77777777" w:rsidR="00F74B80" w:rsidRPr="00506990" w:rsidRDefault="00F74B80">
      <w:pPr>
        <w:shd w:val="clear" w:color="auto" w:fill="D9D9D9"/>
        <w:rPr>
          <w:rFonts w:ascii="Times New Roman" w:hAnsi="Times New Roman" w:cs="Times New Roman"/>
          <w:b/>
          <w:color w:val="0D0D0D" w:themeColor="text1" w:themeTint="F2"/>
          <w:sz w:val="22"/>
          <w:szCs w:val="22"/>
        </w:rPr>
      </w:pPr>
    </w:p>
    <w:p w14:paraId="69E7D0CF" w14:textId="77777777" w:rsidR="00F74B80" w:rsidRPr="00506990" w:rsidRDefault="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EVOLUCIÓN DE LA EMPRESA</w:t>
      </w:r>
    </w:p>
    <w:p w14:paraId="7D427302" w14:textId="77777777" w:rsidR="00F74B80" w:rsidRPr="00506990" w:rsidRDefault="00F74B80"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S.A. es una empresa de origen familiar que nació en la ciudad de Rafaela (provincia de Santa Fe) en Octubre de 1951, dedicándose a la venta de artículos de Bazar.</w:t>
      </w:r>
    </w:p>
    <w:p w14:paraId="64BFFBA9"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Basada desde sus inicios en la administración personal de sus propietarios-accionistas, inició su expansión en la región central del país llegando inicialmente a ciudades de la provincia de Santa Fe y Córdoba, para luego alcanzar cobertura nacional. </w:t>
      </w:r>
    </w:p>
    <w:p w14:paraId="403709C0"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Su evolución en el tiempo le permitió incorporar distintos rubros: electrodomésticos, TV, audio, video, computación, muebles, motos, adaptándose a las innovaciones en tecnología y a las necesidades del mercado.</w:t>
      </w:r>
    </w:p>
    <w:p w14:paraId="6C46D48C"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la década del 90 comenzó a operar bajo la marca MEGATONE, potenciando su desarrollo institucional y comercial, profesionalizando sus áreas de actividad para adecuarlas a las exigencias de competitividad y desarrollo, contando con un staff de personal que permitió acompañar el crecimiento de la compañía.</w:t>
      </w:r>
    </w:p>
    <w:p w14:paraId="7C1D36BB"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Este crecimiento siempre fue apuntalado con inversiones en equipamiento y sistemas que le permitieron solventar correctamente las operaciones clave. Ejemplos de ello son la implementación del ERP SAP para sus funciones contables y logísticas; y el sistema de scoring para el proceso de otorgamiento de créditos, proporcionado por SPSS –IBM.</w:t>
      </w:r>
    </w:p>
    <w:p w14:paraId="5CF2ACBD"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logística en una empresa de retail con amplia cobertura geográfica se convierte en uno de los procesos estratégicos del negocio. Entendido de esa manera, además de los sistemas incorporados, en 2006 se inaugura en el Parque Industrial de Campana un Centro de Distribución modelo de más de 15.000 metros cuadrados, siendo ésta localización óptima por su cercanía a los proveedores de mercaderías, a los puertos importantes y a las principales vías de comunicación del país, lo que permite lograr las mayores eficiencias en el abastecimiento de todas sus sucursales.</w:t>
      </w:r>
    </w:p>
    <w:p w14:paraId="0D642533"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siempre ha ofrecido a sus clientes las mejores condiciones comerciales, incorporando la facilidad de financiación de los productos, resultando este canal uno de los ejes fundamentales del crecimiento de la empresa.</w:t>
      </w:r>
    </w:p>
    <w:p w14:paraId="076CBAC4"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Dentro del negocio financiero, la empresa fue pionera en la comercialización de créditos personales en efectivo dentro de los mismos locales de retail.</w:t>
      </w:r>
    </w:p>
    <w:p w14:paraId="1ACAF65B"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Comprendiendo la importancia estratégica de este esquema comercial, la empresa incorporó avanzadas herramientas y procesos de análisis de riesgo aplicados tanto en la generación del crédito como en su posterior etapa de cobranza. Cada cliente potencial pasa por un estricto control de tipo predictivo, que implica la interacción con diferentes bases de datos comerciales, bancarias y financieras. De esta manera, no solamente se simplifica el proceso de otorgamiento, sino que además se logra cumplir con los más exigentes estándares de calidad.</w:t>
      </w:r>
    </w:p>
    <w:p w14:paraId="4935E902" w14:textId="2C7214BF"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rPr>
        <w:t xml:space="preserve">Durante 2008/2009, la crisis económica complicó su situación financiera, </w:t>
      </w:r>
      <w:r w:rsidR="002B5951" w:rsidRPr="00506990">
        <w:rPr>
          <w:rFonts w:ascii="Times New Roman" w:hAnsi="Times New Roman" w:cs="Times New Roman"/>
          <w:color w:val="0D0D0D" w:themeColor="text1" w:themeTint="F2"/>
          <w:sz w:val="22"/>
          <w:szCs w:val="22"/>
          <w:lang w:val="es-AR"/>
        </w:rPr>
        <w:t xml:space="preserve">y con fecha 29 de diciembre de 2009 la Compañía solicitó su concurso preventivo ante el Juzgado de Primera Instancia en lo Civil, Comercial y del Trabajo del Distrito Judicial Nro. 5 y de la Tercera Nominación de Rafaela (Provincia de Santa Fe). </w:t>
      </w:r>
      <w:r w:rsidR="002B5951" w:rsidRPr="00506990">
        <w:rPr>
          <w:rFonts w:ascii="Times New Roman" w:hAnsi="Times New Roman" w:cs="Times New Roman"/>
          <w:color w:val="0D0D0D" w:themeColor="text1" w:themeTint="F2"/>
          <w:sz w:val="22"/>
          <w:szCs w:val="22"/>
          <w:lang w:val="pt-BR"/>
        </w:rPr>
        <w:t>Caratulado: “EXPTE. N°2067- AÑO: 2.009- BAZAR AVENIDA S.A S/ CONCURSO PREVENTIVO”.</w:t>
      </w:r>
    </w:p>
    <w:p w14:paraId="07349670" w14:textId="6050A2AB" w:rsidR="00392297"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El acuerdo concursal fue homologado mediante resolución </w:t>
      </w:r>
      <w:r w:rsidR="00454629" w:rsidRPr="00506990">
        <w:rPr>
          <w:rFonts w:ascii="Times New Roman" w:hAnsi="Times New Roman" w:cs="Times New Roman"/>
          <w:color w:val="0D0D0D" w:themeColor="text1" w:themeTint="F2"/>
          <w:sz w:val="22"/>
          <w:szCs w:val="22"/>
        </w:rPr>
        <w:t xml:space="preserve">N° </w:t>
      </w:r>
      <w:r w:rsidRPr="00506990">
        <w:rPr>
          <w:rFonts w:ascii="Times New Roman" w:hAnsi="Times New Roman" w:cs="Times New Roman"/>
          <w:color w:val="0D0D0D" w:themeColor="text1" w:themeTint="F2"/>
          <w:sz w:val="22"/>
          <w:szCs w:val="22"/>
        </w:rPr>
        <w:t>549 del 26/08/2013</w:t>
      </w:r>
      <w:r w:rsidR="00454629" w:rsidRPr="00506990">
        <w:rPr>
          <w:rFonts w:ascii="Times New Roman" w:hAnsi="Times New Roman" w:cs="Times New Roman"/>
          <w:color w:val="0D0D0D" w:themeColor="text1" w:themeTint="F2"/>
          <w:sz w:val="22"/>
          <w:szCs w:val="22"/>
        </w:rPr>
        <w:t>, resolución judicial integradora de la anterior N° 277 de fecha 13/05/2013</w:t>
      </w:r>
      <w:r w:rsidRPr="00506990">
        <w:rPr>
          <w:rFonts w:ascii="Times New Roman" w:hAnsi="Times New Roman" w:cs="Times New Roman"/>
          <w:color w:val="0D0D0D" w:themeColor="text1" w:themeTint="F2"/>
          <w:sz w:val="22"/>
          <w:szCs w:val="22"/>
        </w:rPr>
        <w:t>. Bazar Avenida inició los pagos en octubre de 2013, con perfecto cumplimiento de los compromisos asumidos</w:t>
      </w:r>
      <w:r w:rsidR="00970F2D" w:rsidRPr="00506990">
        <w:rPr>
          <w:rFonts w:ascii="Times New Roman" w:hAnsi="Times New Roman" w:cs="Times New Roman"/>
          <w:color w:val="0D0D0D" w:themeColor="text1" w:themeTint="F2"/>
          <w:sz w:val="22"/>
          <w:szCs w:val="22"/>
        </w:rPr>
        <w:t xml:space="preserve"> según</w:t>
      </w:r>
      <w:r w:rsidR="00454629" w:rsidRPr="00506990">
        <w:rPr>
          <w:rFonts w:ascii="Times New Roman" w:hAnsi="Times New Roman" w:cs="Times New Roman"/>
          <w:color w:val="0D0D0D" w:themeColor="text1" w:themeTint="F2"/>
          <w:sz w:val="22"/>
          <w:szCs w:val="22"/>
        </w:rPr>
        <w:t xml:space="preserve"> surge de la opinión legal de los abogados del concurso</w:t>
      </w:r>
      <w:r w:rsidRPr="00506990">
        <w:rPr>
          <w:rFonts w:ascii="Times New Roman" w:hAnsi="Times New Roman" w:cs="Times New Roman"/>
          <w:color w:val="0D0D0D" w:themeColor="text1" w:themeTint="F2"/>
          <w:sz w:val="22"/>
          <w:szCs w:val="22"/>
        </w:rPr>
        <w:t>.</w:t>
      </w:r>
      <w:r w:rsidR="0005762D" w:rsidRPr="00506990">
        <w:rPr>
          <w:rFonts w:ascii="Times New Roman" w:hAnsi="Times New Roman" w:cs="Times New Roman"/>
          <w:color w:val="0D0D0D" w:themeColor="text1" w:themeTint="F2"/>
          <w:sz w:val="22"/>
          <w:szCs w:val="22"/>
        </w:rPr>
        <w:t xml:space="preserve"> </w:t>
      </w:r>
      <w:r w:rsidR="009F05CF" w:rsidRPr="00506990">
        <w:rPr>
          <w:rFonts w:ascii="Times New Roman" w:hAnsi="Times New Roman" w:cs="Times New Roman"/>
          <w:color w:val="0D0D0D" w:themeColor="text1" w:themeTint="F2"/>
          <w:sz w:val="22"/>
          <w:szCs w:val="22"/>
        </w:rPr>
        <w:t xml:space="preserve">Al </w:t>
      </w:r>
      <w:r w:rsidR="004103D3" w:rsidRPr="00506990">
        <w:rPr>
          <w:rFonts w:ascii="Times New Roman" w:hAnsi="Times New Roman" w:cs="Times New Roman"/>
          <w:color w:val="0D0D0D" w:themeColor="text1" w:themeTint="F2"/>
          <w:sz w:val="22"/>
          <w:szCs w:val="22"/>
        </w:rPr>
        <w:t>3</w:t>
      </w:r>
      <w:r w:rsidR="00B05E74">
        <w:rPr>
          <w:rFonts w:ascii="Times New Roman" w:hAnsi="Times New Roman" w:cs="Times New Roman"/>
          <w:color w:val="0D0D0D" w:themeColor="text1" w:themeTint="F2"/>
          <w:sz w:val="22"/>
          <w:szCs w:val="22"/>
        </w:rPr>
        <w:t>0</w:t>
      </w:r>
      <w:r w:rsidR="003C3041" w:rsidRPr="00506990">
        <w:rPr>
          <w:rFonts w:ascii="Times New Roman" w:hAnsi="Times New Roman" w:cs="Times New Roman"/>
          <w:color w:val="0D0D0D" w:themeColor="text1" w:themeTint="F2"/>
          <w:sz w:val="22"/>
          <w:szCs w:val="22"/>
        </w:rPr>
        <w:t>/</w:t>
      </w:r>
      <w:r w:rsidR="000E1209">
        <w:rPr>
          <w:rFonts w:ascii="Times New Roman" w:hAnsi="Times New Roman" w:cs="Times New Roman"/>
          <w:color w:val="0D0D0D" w:themeColor="text1" w:themeTint="F2"/>
          <w:sz w:val="22"/>
          <w:szCs w:val="22"/>
        </w:rPr>
        <w:t>1</w:t>
      </w:r>
      <w:r w:rsidR="00B05E74">
        <w:rPr>
          <w:rFonts w:ascii="Times New Roman" w:hAnsi="Times New Roman" w:cs="Times New Roman"/>
          <w:color w:val="0D0D0D" w:themeColor="text1" w:themeTint="F2"/>
          <w:sz w:val="22"/>
          <w:szCs w:val="22"/>
        </w:rPr>
        <w:t>1</w:t>
      </w:r>
      <w:r w:rsidR="002B48F2" w:rsidRPr="00506990">
        <w:rPr>
          <w:rFonts w:ascii="Times New Roman" w:hAnsi="Times New Roman" w:cs="Times New Roman"/>
          <w:color w:val="0D0D0D" w:themeColor="text1" w:themeTint="F2"/>
          <w:sz w:val="22"/>
          <w:szCs w:val="22"/>
        </w:rPr>
        <w:t>/2019</w:t>
      </w:r>
      <w:r w:rsidR="009F05CF" w:rsidRPr="00506990">
        <w:rPr>
          <w:rFonts w:ascii="Times New Roman" w:hAnsi="Times New Roman" w:cs="Times New Roman"/>
          <w:color w:val="0D0D0D" w:themeColor="text1" w:themeTint="F2"/>
          <w:sz w:val="22"/>
          <w:szCs w:val="22"/>
        </w:rPr>
        <w:t xml:space="preserve"> el monto de capital pendiente de cancelación asciende a $</w:t>
      </w:r>
      <w:r w:rsidR="00392297" w:rsidRPr="00506990">
        <w:rPr>
          <w:rFonts w:ascii="Times New Roman" w:hAnsi="Times New Roman" w:cs="Times New Roman"/>
          <w:color w:val="0D0D0D" w:themeColor="text1" w:themeTint="F2"/>
          <w:sz w:val="22"/>
          <w:szCs w:val="22"/>
        </w:rPr>
        <w:t xml:space="preserve"> </w:t>
      </w:r>
      <w:r w:rsidR="004103D3" w:rsidRPr="00506990">
        <w:rPr>
          <w:rFonts w:ascii="Times New Roman" w:hAnsi="Times New Roman" w:cs="Times New Roman"/>
          <w:color w:val="0D0D0D" w:themeColor="text1" w:themeTint="F2"/>
          <w:sz w:val="22"/>
          <w:szCs w:val="22"/>
        </w:rPr>
        <w:t>1</w:t>
      </w:r>
      <w:r w:rsidR="00B05E74">
        <w:rPr>
          <w:rFonts w:ascii="Times New Roman" w:hAnsi="Times New Roman" w:cs="Times New Roman"/>
          <w:color w:val="0D0D0D" w:themeColor="text1" w:themeTint="F2"/>
          <w:sz w:val="22"/>
          <w:szCs w:val="22"/>
        </w:rPr>
        <w:t>07</w:t>
      </w:r>
      <w:r w:rsidR="004103D3" w:rsidRPr="00506990">
        <w:rPr>
          <w:rFonts w:ascii="Times New Roman" w:hAnsi="Times New Roman" w:cs="Times New Roman"/>
          <w:color w:val="0D0D0D" w:themeColor="text1" w:themeTint="F2"/>
          <w:sz w:val="22"/>
          <w:szCs w:val="22"/>
        </w:rPr>
        <w:t>.</w:t>
      </w:r>
      <w:r w:rsidR="00B05E74">
        <w:rPr>
          <w:rFonts w:ascii="Times New Roman" w:hAnsi="Times New Roman" w:cs="Times New Roman"/>
          <w:color w:val="0D0D0D" w:themeColor="text1" w:themeTint="F2"/>
          <w:sz w:val="22"/>
          <w:szCs w:val="22"/>
        </w:rPr>
        <w:t>030</w:t>
      </w:r>
      <w:r w:rsidR="009F05CF" w:rsidRPr="00506990">
        <w:rPr>
          <w:rFonts w:ascii="Times New Roman" w:hAnsi="Times New Roman" w:cs="Times New Roman"/>
          <w:color w:val="0D0D0D" w:themeColor="text1" w:themeTint="F2"/>
          <w:sz w:val="22"/>
          <w:szCs w:val="22"/>
        </w:rPr>
        <w:t xml:space="preserve">- y USD </w:t>
      </w:r>
      <w:r w:rsidR="004103D3" w:rsidRPr="00506990">
        <w:rPr>
          <w:rFonts w:ascii="Times New Roman" w:hAnsi="Times New Roman" w:cs="Times New Roman"/>
          <w:color w:val="0D0D0D" w:themeColor="text1" w:themeTint="F2"/>
          <w:sz w:val="22"/>
          <w:szCs w:val="22"/>
        </w:rPr>
        <w:t>1.</w:t>
      </w:r>
      <w:r w:rsidR="00B05E74">
        <w:rPr>
          <w:rFonts w:ascii="Times New Roman" w:hAnsi="Times New Roman" w:cs="Times New Roman"/>
          <w:color w:val="0D0D0D" w:themeColor="text1" w:themeTint="F2"/>
          <w:sz w:val="22"/>
          <w:szCs w:val="22"/>
        </w:rPr>
        <w:t>279</w:t>
      </w:r>
      <w:r w:rsidR="009F05CF" w:rsidRPr="00506990">
        <w:rPr>
          <w:rFonts w:ascii="Times New Roman" w:hAnsi="Times New Roman" w:cs="Times New Roman"/>
          <w:color w:val="0D0D0D" w:themeColor="text1" w:themeTint="F2"/>
          <w:sz w:val="22"/>
          <w:szCs w:val="22"/>
        </w:rPr>
        <w:t>.-:</w:t>
      </w:r>
    </w:p>
    <w:p w14:paraId="1DC24717" w14:textId="6EA3D719" w:rsidR="008F460C" w:rsidRPr="0098446E" w:rsidRDefault="008F460C" w:rsidP="00047454">
      <w:pPr>
        <w:spacing w:after="200" w:line="276" w:lineRule="auto"/>
        <w:jc w:val="center"/>
        <w:rPr>
          <w:rFonts w:ascii="Times New Roman" w:hAnsi="Times New Roman" w:cs="Times New Roman"/>
          <w:color w:val="0D0D0D" w:themeColor="text1" w:themeTint="F2"/>
          <w:sz w:val="22"/>
          <w:szCs w:val="22"/>
          <w:lang w:val="es-AR"/>
        </w:rPr>
      </w:pPr>
    </w:p>
    <w:p w14:paraId="01FD4A51" w14:textId="3335F41A" w:rsidR="0057621D" w:rsidRPr="00506990" w:rsidRDefault="00454629" w:rsidP="00807C83">
      <w:pPr>
        <w:spacing w:after="200" w:line="276" w:lineRule="auto"/>
        <w:ind w:left="36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 xml:space="preserve">Detalle del Estado de la Deuda Concursal al </w:t>
      </w:r>
      <w:r w:rsidR="0081564B" w:rsidRPr="00506990">
        <w:rPr>
          <w:rFonts w:ascii="Times New Roman" w:hAnsi="Times New Roman" w:cs="Times New Roman"/>
          <w:b/>
          <w:color w:val="0D0D0D" w:themeColor="text1" w:themeTint="F2"/>
          <w:sz w:val="22"/>
          <w:szCs w:val="22"/>
          <w:u w:val="single"/>
        </w:rPr>
        <w:t>3</w:t>
      </w:r>
      <w:r w:rsidR="00D66F1A">
        <w:rPr>
          <w:rFonts w:ascii="Times New Roman" w:hAnsi="Times New Roman" w:cs="Times New Roman"/>
          <w:b/>
          <w:color w:val="0D0D0D" w:themeColor="text1" w:themeTint="F2"/>
          <w:sz w:val="22"/>
          <w:szCs w:val="22"/>
          <w:u w:val="single"/>
        </w:rPr>
        <w:t>0</w:t>
      </w:r>
      <w:r w:rsidR="0081564B" w:rsidRPr="00506990">
        <w:rPr>
          <w:rFonts w:ascii="Times New Roman" w:hAnsi="Times New Roman" w:cs="Times New Roman"/>
          <w:b/>
          <w:color w:val="0D0D0D" w:themeColor="text1" w:themeTint="F2"/>
          <w:sz w:val="22"/>
          <w:szCs w:val="22"/>
          <w:u w:val="single"/>
        </w:rPr>
        <w:t>/</w:t>
      </w:r>
      <w:r w:rsidR="00E05B63" w:rsidRPr="00506990">
        <w:rPr>
          <w:rFonts w:ascii="Times New Roman" w:hAnsi="Times New Roman" w:cs="Times New Roman"/>
          <w:b/>
          <w:color w:val="0D0D0D" w:themeColor="text1" w:themeTint="F2"/>
          <w:sz w:val="22"/>
          <w:szCs w:val="22"/>
          <w:u w:val="single"/>
        </w:rPr>
        <w:t>1</w:t>
      </w:r>
      <w:r w:rsidR="00D66F1A">
        <w:rPr>
          <w:rFonts w:ascii="Times New Roman" w:hAnsi="Times New Roman" w:cs="Times New Roman"/>
          <w:b/>
          <w:color w:val="0D0D0D" w:themeColor="text1" w:themeTint="F2"/>
          <w:sz w:val="22"/>
          <w:szCs w:val="22"/>
          <w:u w:val="single"/>
        </w:rPr>
        <w:t>1</w:t>
      </w:r>
      <w:r w:rsidR="0081564B" w:rsidRPr="00506990">
        <w:rPr>
          <w:rFonts w:ascii="Times New Roman" w:hAnsi="Times New Roman" w:cs="Times New Roman"/>
          <w:b/>
          <w:color w:val="0D0D0D" w:themeColor="text1" w:themeTint="F2"/>
          <w:sz w:val="22"/>
          <w:szCs w:val="22"/>
          <w:u w:val="single"/>
        </w:rPr>
        <w:t>/</w:t>
      </w:r>
      <w:r w:rsidR="000C1F01" w:rsidRPr="00506990">
        <w:rPr>
          <w:rFonts w:ascii="Times New Roman" w:hAnsi="Times New Roman" w:cs="Times New Roman"/>
          <w:b/>
          <w:color w:val="0D0D0D" w:themeColor="text1" w:themeTint="F2"/>
          <w:sz w:val="22"/>
          <w:szCs w:val="22"/>
          <w:u w:val="single"/>
        </w:rPr>
        <w:t>201</w:t>
      </w:r>
      <w:r w:rsidR="002B48F2" w:rsidRPr="00506990">
        <w:rPr>
          <w:rFonts w:ascii="Times New Roman" w:hAnsi="Times New Roman" w:cs="Times New Roman"/>
          <w:b/>
          <w:color w:val="0D0D0D" w:themeColor="text1" w:themeTint="F2"/>
          <w:sz w:val="22"/>
          <w:szCs w:val="22"/>
          <w:u w:val="single"/>
        </w:rPr>
        <w:t>9</w:t>
      </w:r>
      <w:r w:rsidR="00CC47F5" w:rsidRPr="00506990">
        <w:rPr>
          <w:rFonts w:ascii="Times New Roman" w:hAnsi="Times New Roman" w:cs="Times New Roman"/>
          <w:b/>
          <w:color w:val="0D0D0D" w:themeColor="text1" w:themeTint="F2"/>
          <w:sz w:val="22"/>
          <w:szCs w:val="22"/>
          <w:u w:val="single"/>
        </w:rPr>
        <w:t xml:space="preserve"> </w:t>
      </w:r>
    </w:p>
    <w:p w14:paraId="126BAFC3" w14:textId="733AEAC2" w:rsidR="00295635" w:rsidRPr="00506990" w:rsidRDefault="00295635" w:rsidP="00502438">
      <w:pPr>
        <w:spacing w:after="200" w:line="276" w:lineRule="auto"/>
        <w:ind w:left="360"/>
        <w:jc w:val="center"/>
        <w:rPr>
          <w:rFonts w:ascii="Times New Roman" w:hAnsi="Times New Roman" w:cs="Times New Roman"/>
          <w:b/>
          <w:color w:val="0D0D0D" w:themeColor="text1" w:themeTint="F2"/>
          <w:sz w:val="22"/>
          <w:szCs w:val="22"/>
          <w:u w:val="single"/>
        </w:rPr>
      </w:pPr>
    </w:p>
    <w:p w14:paraId="6CD78F10" w14:textId="66DD99C3" w:rsidR="00295635" w:rsidRPr="00506990" w:rsidRDefault="00295635" w:rsidP="00C65E4E">
      <w:pPr>
        <w:spacing w:after="200" w:line="276" w:lineRule="auto"/>
        <w:ind w:left="360"/>
        <w:jc w:val="center"/>
        <w:rPr>
          <w:rFonts w:ascii="Times New Roman" w:hAnsi="Times New Roman" w:cs="Times New Roman"/>
          <w:b/>
          <w:color w:val="0D0D0D" w:themeColor="text1" w:themeTint="F2"/>
          <w:sz w:val="22"/>
          <w:szCs w:val="22"/>
          <w:u w:val="single"/>
        </w:rPr>
      </w:pPr>
    </w:p>
    <w:p w14:paraId="7653BCA7" w14:textId="79531D66" w:rsidR="00C65E4E" w:rsidRPr="00506990" w:rsidRDefault="00D66F1A" w:rsidP="00502438">
      <w:pPr>
        <w:spacing w:after="200" w:line="276" w:lineRule="auto"/>
        <w:ind w:left="360"/>
        <w:jc w:val="center"/>
        <w:rPr>
          <w:rFonts w:ascii="Times New Roman" w:hAnsi="Times New Roman" w:cs="Times New Roman"/>
          <w:b/>
          <w:color w:val="0D0D0D" w:themeColor="text1" w:themeTint="F2"/>
          <w:sz w:val="22"/>
          <w:szCs w:val="22"/>
          <w:u w:val="single"/>
        </w:rPr>
      </w:pPr>
      <w:r>
        <w:rPr>
          <w:noProof/>
          <w:lang w:val="es-AR" w:eastAsia="es-AR"/>
        </w:rPr>
        <w:drawing>
          <wp:inline distT="0" distB="0" distL="0" distR="0" wp14:anchorId="42B64667" wp14:editId="65B7B42F">
            <wp:extent cx="5534025" cy="1143000"/>
            <wp:effectExtent l="0" t="0" r="9525"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4025"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4CDB3C5" w14:textId="41ADEC0F" w:rsidR="00295635" w:rsidRPr="00506990" w:rsidRDefault="00295635" w:rsidP="00502438">
      <w:pPr>
        <w:spacing w:after="200" w:line="276" w:lineRule="auto"/>
        <w:ind w:left="360"/>
        <w:jc w:val="center"/>
        <w:rPr>
          <w:rFonts w:ascii="Times New Roman" w:hAnsi="Times New Roman" w:cs="Times New Roman"/>
          <w:b/>
          <w:color w:val="0D0D0D" w:themeColor="text1" w:themeTint="F2"/>
          <w:sz w:val="22"/>
          <w:szCs w:val="22"/>
          <w:u w:val="single"/>
        </w:rPr>
      </w:pPr>
    </w:p>
    <w:p w14:paraId="055158EF" w14:textId="7390A467" w:rsidR="008F460C" w:rsidRPr="00506990" w:rsidRDefault="00D66F1A" w:rsidP="00557525">
      <w:pPr>
        <w:spacing w:after="200" w:line="276" w:lineRule="auto"/>
        <w:ind w:left="360"/>
        <w:jc w:val="center"/>
        <w:rPr>
          <w:rFonts w:ascii="Times New Roman" w:hAnsi="Times New Roman" w:cs="Times New Roman"/>
          <w:color w:val="0D0D0D" w:themeColor="text1" w:themeTint="F2"/>
          <w:sz w:val="22"/>
          <w:szCs w:val="22"/>
          <w:u w:val="single"/>
          <w:lang w:val="es-AR"/>
        </w:rPr>
      </w:pPr>
      <w:r>
        <w:rPr>
          <w:noProof/>
          <w:lang w:val="es-AR" w:eastAsia="es-AR"/>
        </w:rPr>
        <w:drawing>
          <wp:inline distT="0" distB="0" distL="0" distR="0" wp14:anchorId="2CFDA93B" wp14:editId="0F2E3A87">
            <wp:extent cx="5613400" cy="2637790"/>
            <wp:effectExtent l="0" t="0" r="0" b="0"/>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3400" cy="2637790"/>
                    </a:xfrm>
                    <a:prstGeom prst="rect">
                      <a:avLst/>
                    </a:prstGeom>
                    <a:noFill/>
                    <a:extLst/>
                  </pic:spPr>
                </pic:pic>
              </a:graphicData>
            </a:graphic>
          </wp:inline>
        </w:drawing>
      </w:r>
    </w:p>
    <w:p w14:paraId="10428048" w14:textId="2FB47756" w:rsidR="00402333" w:rsidRPr="00506990" w:rsidRDefault="00402333" w:rsidP="00F77F79">
      <w:pPr>
        <w:spacing w:after="200"/>
        <w:ind w:left="36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Fix SCR monitorear</w:t>
      </w:r>
      <w:r w:rsidR="00FB0098" w:rsidRPr="00506990">
        <w:rPr>
          <w:rFonts w:ascii="Times New Roman" w:hAnsi="Times New Roman" w:cs="Times New Roman"/>
          <w:color w:val="0D0D0D" w:themeColor="text1" w:themeTint="F2"/>
          <w:sz w:val="22"/>
          <w:szCs w:val="22"/>
          <w:lang w:val="es-AR"/>
        </w:rPr>
        <w:t>á</w:t>
      </w:r>
      <w:r w:rsidRPr="00506990">
        <w:rPr>
          <w:rFonts w:ascii="Times New Roman" w:hAnsi="Times New Roman" w:cs="Times New Roman"/>
          <w:color w:val="0D0D0D" w:themeColor="text1" w:themeTint="F2"/>
          <w:sz w:val="22"/>
          <w:szCs w:val="22"/>
          <w:lang w:val="es-AR"/>
        </w:rPr>
        <w:t xml:space="preserve"> </w:t>
      </w:r>
      <w:r w:rsidR="00484187" w:rsidRPr="00506990">
        <w:rPr>
          <w:rFonts w:ascii="Times New Roman" w:hAnsi="Times New Roman" w:cs="Times New Roman"/>
          <w:color w:val="0D0D0D" w:themeColor="text1" w:themeTint="F2"/>
          <w:sz w:val="22"/>
          <w:szCs w:val="22"/>
          <w:lang w:val="es-AR"/>
        </w:rPr>
        <w:t>su cumplimiento</w:t>
      </w:r>
      <w:r w:rsidRPr="00506990">
        <w:rPr>
          <w:rFonts w:ascii="Times New Roman" w:hAnsi="Times New Roman" w:cs="Times New Roman"/>
          <w:color w:val="0D0D0D" w:themeColor="text1" w:themeTint="F2"/>
          <w:sz w:val="22"/>
          <w:szCs w:val="22"/>
          <w:lang w:val="es-AR"/>
        </w:rPr>
        <w:t xml:space="preserve"> y evolución. </w:t>
      </w:r>
    </w:p>
    <w:p w14:paraId="6937FF0E" w14:textId="6B3D9C64"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rPr>
        <w:t>Desde 200</w:t>
      </w:r>
      <w:r w:rsidR="00896868" w:rsidRPr="00506990">
        <w:rPr>
          <w:rFonts w:ascii="Times New Roman" w:hAnsi="Times New Roman" w:cs="Times New Roman"/>
          <w:color w:val="0D0D0D" w:themeColor="text1" w:themeTint="F2"/>
          <w:sz w:val="22"/>
          <w:szCs w:val="22"/>
        </w:rPr>
        <w:t>3</w:t>
      </w:r>
      <w:r w:rsidR="00F55B6C" w:rsidRPr="00506990">
        <w:rPr>
          <w:rFonts w:ascii="Times New Roman" w:hAnsi="Times New Roman" w:cs="Times New Roman"/>
          <w:color w:val="0D0D0D" w:themeColor="text1" w:themeTint="F2"/>
          <w:sz w:val="22"/>
          <w:szCs w:val="22"/>
        </w:rPr>
        <w:t xml:space="preserve"> y hasta </w:t>
      </w:r>
      <w:r w:rsidR="00F55B6C" w:rsidRPr="00506990">
        <w:rPr>
          <w:rFonts w:ascii="Times New Roman" w:hAnsi="Times New Roman" w:cs="Times New Roman"/>
          <w:color w:val="0D0D0D" w:themeColor="text1" w:themeTint="F2"/>
          <w:sz w:val="22"/>
          <w:szCs w:val="22"/>
          <w:lang w:val="es-AR"/>
        </w:rPr>
        <w:t>2009</w:t>
      </w:r>
      <w:r w:rsidRPr="00506990">
        <w:rPr>
          <w:rFonts w:ascii="Times New Roman" w:hAnsi="Times New Roman" w:cs="Times New Roman"/>
          <w:color w:val="0D0D0D" w:themeColor="text1" w:themeTint="F2"/>
          <w:sz w:val="22"/>
          <w:szCs w:val="22"/>
        </w:rPr>
        <w:t xml:space="preserve">, Bazar Avenida emitió </w:t>
      </w:r>
      <w:r w:rsidR="00A27AE4" w:rsidRPr="00506990">
        <w:rPr>
          <w:rFonts w:ascii="Times New Roman" w:hAnsi="Times New Roman" w:cs="Times New Roman"/>
          <w:color w:val="0D0D0D" w:themeColor="text1" w:themeTint="F2"/>
          <w:sz w:val="22"/>
          <w:szCs w:val="22"/>
        </w:rPr>
        <w:t xml:space="preserve">42 </w:t>
      </w:r>
      <w:r w:rsidRPr="00506990">
        <w:rPr>
          <w:rFonts w:ascii="Times New Roman" w:hAnsi="Times New Roman" w:cs="Times New Roman"/>
          <w:color w:val="0D0D0D" w:themeColor="text1" w:themeTint="F2"/>
          <w:sz w:val="22"/>
          <w:szCs w:val="22"/>
        </w:rPr>
        <w:t>series de fideicomisos financieros. Todas las series fueron canceladas en su totalidad de acuerdo con las condiciones originalmente previstas</w:t>
      </w:r>
      <w:r w:rsidR="00A27AE4" w:rsidRPr="00506990">
        <w:rPr>
          <w:rFonts w:ascii="Times New Roman" w:hAnsi="Times New Roman" w:cs="Times New Roman"/>
          <w:color w:val="0D0D0D" w:themeColor="text1" w:themeTint="F2"/>
          <w:sz w:val="22"/>
          <w:szCs w:val="22"/>
        </w:rPr>
        <w:t xml:space="preserve">. </w:t>
      </w:r>
      <w:r w:rsidR="00A27AE4" w:rsidRPr="00506990">
        <w:rPr>
          <w:rFonts w:ascii="Times New Roman" w:hAnsi="Times New Roman" w:cs="Times New Roman"/>
          <w:color w:val="0D0D0D" w:themeColor="text1" w:themeTint="F2"/>
          <w:sz w:val="22"/>
          <w:szCs w:val="22"/>
          <w:lang w:val="es-AR"/>
        </w:rPr>
        <w:t xml:space="preserve">Al momento de la presentación en concurso preventivo, la sociedad se encontraba en las etapas iniciales de dos series (CONFIBONO XLIII y CONFIBONO XLIV) las cuales fueron canceladas en el ámbito privado. Desde noviembre 2017 y hasta la fecha, Bazar Avenida lleva emitidas </w:t>
      </w:r>
      <w:r w:rsidR="00C322B8" w:rsidRPr="0098446E">
        <w:rPr>
          <w:rFonts w:ascii="Times New Roman" w:hAnsi="Times New Roman" w:cs="Times New Roman"/>
          <w:color w:val="0D0D0D" w:themeColor="text1" w:themeTint="F2"/>
          <w:sz w:val="22"/>
          <w:szCs w:val="22"/>
          <w:lang w:val="es-AR"/>
        </w:rPr>
        <w:t>8</w:t>
      </w:r>
      <w:r w:rsidR="009F05CF" w:rsidRPr="00506990">
        <w:rPr>
          <w:rFonts w:ascii="Times New Roman" w:hAnsi="Times New Roman" w:cs="Times New Roman"/>
          <w:color w:val="0D0D0D" w:themeColor="text1" w:themeTint="F2"/>
          <w:sz w:val="22"/>
          <w:szCs w:val="22"/>
          <w:lang w:val="es-AR"/>
        </w:rPr>
        <w:t xml:space="preserve"> </w:t>
      </w:r>
      <w:r w:rsidR="00A27AE4" w:rsidRPr="00506990">
        <w:rPr>
          <w:rFonts w:ascii="Times New Roman" w:hAnsi="Times New Roman" w:cs="Times New Roman"/>
          <w:color w:val="0D0D0D" w:themeColor="text1" w:themeTint="F2"/>
          <w:sz w:val="22"/>
          <w:szCs w:val="22"/>
          <w:lang w:val="es-AR"/>
        </w:rPr>
        <w:t>series de fideicomisos financieros.</w:t>
      </w:r>
    </w:p>
    <w:p w14:paraId="5FA455A9" w14:textId="77777777" w:rsidR="0057621D" w:rsidRPr="00506990" w:rsidRDefault="0057621D" w:rsidP="00270AFD">
      <w:pPr>
        <w:numPr>
          <w:ilvl w:val="1"/>
          <w:numId w:val="4"/>
        </w:numPr>
        <w:tabs>
          <w:tab w:val="clear" w:pos="1080"/>
          <w:tab w:val="num" w:pos="360"/>
        </w:tabs>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Luego de reorganizar sus operaciones, desde 2010 la empresa experimenta un proceso de consolidación comercial y patrimonial.</w:t>
      </w:r>
    </w:p>
    <w:p w14:paraId="7B388522" w14:textId="77777777" w:rsidR="0057621D" w:rsidRPr="00506990" w:rsidRDefault="0057621D" w:rsidP="00546BED">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BAZAR AVENIDA EN LA ACTUALIDAD</w:t>
      </w:r>
    </w:p>
    <w:p w14:paraId="0E99C3E1" w14:textId="77777777" w:rsidR="00E30376" w:rsidRPr="00506990" w:rsidRDefault="00E30376" w:rsidP="00F77F79">
      <w:pPr>
        <w:spacing w:after="200"/>
        <w:ind w:left="1080"/>
        <w:rPr>
          <w:rFonts w:ascii="Times New Roman" w:hAnsi="Times New Roman" w:cs="Times New Roman"/>
          <w:color w:val="0D0D0D" w:themeColor="text1" w:themeTint="F2"/>
          <w:sz w:val="22"/>
          <w:szCs w:val="22"/>
        </w:rPr>
      </w:pPr>
    </w:p>
    <w:p w14:paraId="0D5ADDEC"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Bazar Avenida es una de las principales cadenas de electrodomésticos del país.</w:t>
      </w:r>
    </w:p>
    <w:p w14:paraId="7200515E"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 xml:space="preserve">Tiene presencia en </w:t>
      </w:r>
      <w:r w:rsidRPr="00506990">
        <w:rPr>
          <w:rFonts w:ascii="Times New Roman" w:hAnsi="Times New Roman" w:cs="Times New Roman"/>
          <w:b/>
          <w:bCs/>
          <w:color w:val="000000" w:themeColor="text1"/>
          <w:sz w:val="22"/>
          <w:szCs w:val="22"/>
        </w:rPr>
        <w:t>14 provincias</w:t>
      </w:r>
      <w:r w:rsidRPr="00506990">
        <w:rPr>
          <w:rFonts w:ascii="Times New Roman" w:hAnsi="Times New Roman" w:cs="Times New Roman"/>
          <w:color w:val="000000" w:themeColor="text1"/>
          <w:sz w:val="22"/>
          <w:szCs w:val="22"/>
        </w:rPr>
        <w:t xml:space="preserve"> del territorio nacional.</w:t>
      </w:r>
      <w:r w:rsidRPr="00506990">
        <w:rPr>
          <w:rFonts w:ascii="Times New Roman" w:hAnsi="Times New Roman" w:cs="Times New Roman"/>
          <w:b/>
          <w:bCs/>
          <w:color w:val="000000" w:themeColor="text1"/>
          <w:sz w:val="22"/>
          <w:szCs w:val="22"/>
        </w:rPr>
        <w:t xml:space="preserve"> </w:t>
      </w:r>
      <w:r w:rsidRPr="00506990">
        <w:rPr>
          <w:rFonts w:ascii="Times New Roman" w:hAnsi="Times New Roman" w:cs="Times New Roman"/>
          <w:color w:val="000000" w:themeColor="text1"/>
          <w:sz w:val="22"/>
          <w:szCs w:val="22"/>
        </w:rPr>
        <w:t>Cuenta con 43 sucursales de venta, cuarenta y dos de ellas ubicadas estratégicamente en las principales ciudades de las provincias de Santa Fe, Córdoba, San Luis, Catamarca, La Rioja, Santiago del Estero, Neuquén, Río Negro, La Pampa, Salta, Buenos Aires, Tucumán, Corrientes y Chaco; más una sucursal virtual.</w:t>
      </w:r>
    </w:p>
    <w:p w14:paraId="113E6A8D"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Ha ido fortaleciendo la comercialización de diversos servicios que acompañan a las ventas de electrodomésticos (extensión de garantía y otros), como una forma de agregar valor, mejorar la rentabilidad de las operaciones, y como estrategia de diferenciación apuntando a la gestión de las experiencias del consumidor.</w:t>
      </w:r>
    </w:p>
    <w:p w14:paraId="228A702D" w14:textId="77777777" w:rsidR="00DB0223" w:rsidRPr="00506990" w:rsidRDefault="00DB0223" w:rsidP="00DB0223">
      <w:pPr>
        <w:spacing w:before="100" w:beforeAutospacing="1" w:after="200"/>
        <w:rPr>
          <w:rFonts w:ascii="Times New Roman" w:hAnsi="Times New Roman" w:cs="Times New Roman"/>
          <w:color w:val="000000" w:themeColor="text1"/>
        </w:rPr>
      </w:pPr>
      <w:r w:rsidRPr="00506990">
        <w:rPr>
          <w:rFonts w:ascii="Times New Roman" w:hAnsi="Times New Roman" w:cs="Times New Roman"/>
          <w:color w:val="000000" w:themeColor="text1"/>
          <w:sz w:val="22"/>
          <w:szCs w:val="22"/>
        </w:rPr>
        <w:t>Se encuentra a la vanguardia de los avances en canales de comercialización no tradicionales, como son la venta telefónica y por Internet, representando este medio una porción significativa y creciente dentro de la facturación total.</w:t>
      </w:r>
    </w:p>
    <w:p w14:paraId="33FE36BB" w14:textId="77777777" w:rsidR="00DB0223" w:rsidRPr="00506990" w:rsidRDefault="00DB0223" w:rsidP="00DB0223">
      <w:pPr>
        <w:spacing w:before="100" w:beforeAutospacing="1" w:after="200"/>
        <w:rPr>
          <w:rFonts w:ascii="Times New Roman" w:hAnsi="Times New Roman" w:cs="Times New Roman"/>
          <w:color w:val="000000" w:themeColor="text1"/>
          <w:sz w:val="22"/>
          <w:szCs w:val="22"/>
        </w:rPr>
      </w:pPr>
      <w:r w:rsidRPr="00506990">
        <w:rPr>
          <w:rFonts w:ascii="Times New Roman" w:hAnsi="Times New Roman" w:cs="Times New Roman"/>
          <w:color w:val="000000" w:themeColor="text1"/>
          <w:sz w:val="22"/>
          <w:szCs w:val="22"/>
        </w:rPr>
        <w:t>Es firme la decisión de Bazar Avenida por ganar mercados, ampliando y diversificando su presencia geográfica en localidades con potencial de negocios, con un fuerte posicionamiento como referentes en el interior del país, con políticas de financiación competitivas y accesibles y acompañando los cambios que se operan en el mercado en relación a canales de venta no tradicionales.</w:t>
      </w:r>
    </w:p>
    <w:p w14:paraId="3A86693E" w14:textId="77777777" w:rsidR="00DB0223" w:rsidRPr="00506990" w:rsidRDefault="00DB0223" w:rsidP="00DB0223">
      <w:pPr>
        <w:spacing w:before="100" w:beforeAutospacing="1" w:after="200"/>
        <w:rPr>
          <w:rFonts w:ascii="Times New Roman" w:hAnsi="Times New Roman" w:cs="Times New Roman"/>
          <w:color w:val="000000" w:themeColor="text1"/>
          <w:sz w:val="22"/>
          <w:szCs w:val="22"/>
        </w:rPr>
      </w:pPr>
      <w:r w:rsidRPr="00506990">
        <w:rPr>
          <w:rFonts w:ascii="Times New Roman" w:hAnsi="Times New Roman" w:cs="Times New Roman"/>
          <w:color w:val="000000" w:themeColor="text1"/>
          <w:sz w:val="22"/>
          <w:szCs w:val="22"/>
        </w:rPr>
        <w:t>Dado el actual contexto de crisis, en los últimos meses se han ido tomando diversas medidas tendientes a mitigar sus efectos en la rentabilidad de la compañía:</w:t>
      </w:r>
    </w:p>
    <w:p w14:paraId="51804A09" w14:textId="77777777" w:rsidR="00DB0223" w:rsidRPr="00506990" w:rsidRDefault="00DB0223" w:rsidP="00270AFD">
      <w:pPr>
        <w:pStyle w:val="Prrafodelista"/>
        <w:numPr>
          <w:ilvl w:val="0"/>
          <w:numId w:val="26"/>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Decisión política de no tomar Deuda Bancaria y de cancelar la existente, lo cual significa que Bazar Avenida SA no tiene deuda bancaria en la actualidad.</w:t>
      </w:r>
    </w:p>
    <w:p w14:paraId="41A5254B" w14:textId="77777777" w:rsidR="00DB0223" w:rsidRPr="00506990" w:rsidRDefault="00DB0223" w:rsidP="00270AFD">
      <w:pPr>
        <w:pStyle w:val="Prrafodelista"/>
        <w:numPr>
          <w:ilvl w:val="0"/>
          <w:numId w:val="26"/>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Férreo control de Gastos de Estructura, y adecuación de dotaciones de personal a los nuevos niveles de Actividad. Como resultado de esto, en el ejercicio finalizado el 30/06/2019 estos gastos se incrementaron un 10.2% en relación al ejercicio fiscal anterior (en términos nominales), muy por debajo de la inflación registrada en el período (aproximadamente 55%).</w:t>
      </w:r>
    </w:p>
    <w:p w14:paraId="779488E8" w14:textId="77777777" w:rsidR="00DB0223" w:rsidRPr="00506990" w:rsidRDefault="00DB0223" w:rsidP="00270AFD">
      <w:pPr>
        <w:pStyle w:val="Prrafodelista"/>
        <w:numPr>
          <w:ilvl w:val="0"/>
          <w:numId w:val="26"/>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Se ha trabajado en hacer más eficiente el manejo de stocks, mejorando fuertemente los niveles de rotación del mismo.</w:t>
      </w:r>
    </w:p>
    <w:p w14:paraId="1855243F" w14:textId="77777777" w:rsidR="00DB0223" w:rsidRPr="00506990" w:rsidRDefault="00DB0223" w:rsidP="00270AFD">
      <w:pPr>
        <w:pStyle w:val="Prrafodelista"/>
        <w:numPr>
          <w:ilvl w:val="0"/>
          <w:numId w:val="26"/>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Control sobre las cobranzas y restricciones en el otorgamiento de créditos (endurecimiento del scoring crediticio). Esto se traduce en que en la actualidad, Bazar Avenida SA tiene uno de los porcentajes más altos de cartera en situación 1 y por encima de la media del mercado (considerando cartera hasta 180 días en zona de influencia - fuente Central de Deudores BCRA).</w:t>
      </w:r>
    </w:p>
    <w:p w14:paraId="155C3106" w14:textId="77777777" w:rsidR="00DB0223" w:rsidRPr="00506990" w:rsidRDefault="00DB0223" w:rsidP="00270AFD">
      <w:pPr>
        <w:pStyle w:val="Prrafodelista"/>
        <w:numPr>
          <w:ilvl w:val="0"/>
          <w:numId w:val="26"/>
        </w:numPr>
        <w:spacing w:before="100" w:beforeAutospacing="1" w:after="200"/>
        <w:jc w:val="both"/>
        <w:rPr>
          <w:color w:val="000000" w:themeColor="text1"/>
          <w:sz w:val="22"/>
          <w:szCs w:val="22"/>
          <w:lang w:val="es-ES_tradnl"/>
        </w:rPr>
      </w:pPr>
      <w:r w:rsidRPr="00506990">
        <w:rPr>
          <w:color w:val="000000" w:themeColor="text1"/>
          <w:sz w:val="22"/>
          <w:szCs w:val="22"/>
          <w:lang w:val="es-ES_tradnl"/>
        </w:rPr>
        <w:t>Se ha desarrollado una nueva Unidad de Negocio, Megatone Express, que explota el modelo de venta por cercanía.</w:t>
      </w:r>
    </w:p>
    <w:p w14:paraId="0CD16622" w14:textId="77777777" w:rsidR="00DB0223" w:rsidRPr="00506990" w:rsidRDefault="00DB0223" w:rsidP="00DB0223">
      <w:pPr>
        <w:pStyle w:val="Prrafodelista"/>
        <w:spacing w:before="100" w:beforeAutospacing="1" w:after="200"/>
        <w:jc w:val="both"/>
        <w:rPr>
          <w:color w:val="000000" w:themeColor="text1"/>
          <w:sz w:val="22"/>
          <w:szCs w:val="22"/>
          <w:lang w:val="es-ES_tradnl"/>
        </w:rPr>
      </w:pPr>
      <w:r w:rsidRPr="00506990">
        <w:rPr>
          <w:color w:val="000000" w:themeColor="text1"/>
          <w:sz w:val="22"/>
          <w:szCs w:val="22"/>
          <w:lang w:val="es-ES_tradnl"/>
        </w:rPr>
        <w:t>Mediante una alianza estratégica con Cobro Express, a través de sus agentes adheridos (que a la fecha totalizan alrededor de 2.000), y con el respaldo de la cadena de electrodomésticos y tecnología Megatone, se brinda al usuario la posibilidad de acceder a precios y promociones diferenciales, obteniendo su producto para el hogar en un comercio de su localidad de residencia.</w:t>
      </w:r>
    </w:p>
    <w:p w14:paraId="5847ED9B" w14:textId="77777777" w:rsidR="00DB0223" w:rsidRPr="00506990" w:rsidRDefault="00DB0223" w:rsidP="00DB0223">
      <w:pPr>
        <w:pStyle w:val="Prrafodelista"/>
        <w:spacing w:before="100" w:beforeAutospacing="1" w:after="200"/>
        <w:jc w:val="both"/>
        <w:rPr>
          <w:color w:val="000000" w:themeColor="text1"/>
          <w:sz w:val="22"/>
          <w:szCs w:val="22"/>
          <w:lang w:val="es-ES_tradnl"/>
        </w:rPr>
      </w:pPr>
      <w:r w:rsidRPr="00506990">
        <w:rPr>
          <w:color w:val="000000" w:themeColor="text1"/>
          <w:sz w:val="22"/>
          <w:szCs w:val="22"/>
          <w:lang w:val="es-ES_tradnl"/>
        </w:rPr>
        <w:t>Hoy se cuenta con más de 450 agentes activos distribuidos en todo el país, y se continúa en el proceso de activación con miras a alcanzar a los 2.000 potenciales.</w:t>
      </w:r>
    </w:p>
    <w:p w14:paraId="477AFB7A" w14:textId="77777777" w:rsidR="0057621D" w:rsidRPr="00506990" w:rsidRDefault="0057621D" w:rsidP="0057621D">
      <w:pPr>
        <w:rPr>
          <w:rFonts w:ascii="Times New Roman" w:hAnsi="Times New Roman" w:cs="Times New Roman"/>
          <w:b/>
          <w:color w:val="0D0D0D" w:themeColor="text1" w:themeTint="F2"/>
          <w:sz w:val="22"/>
          <w:szCs w:val="22"/>
        </w:rPr>
      </w:pPr>
    </w:p>
    <w:p w14:paraId="0DDC1BA8" w14:textId="77777777" w:rsidR="00421B8D" w:rsidRPr="00506990" w:rsidRDefault="00421B8D" w:rsidP="00B05AB6">
      <w:pPr>
        <w:rPr>
          <w:rFonts w:ascii="Times New Roman" w:hAnsi="Times New Roman" w:cs="Times New Roman"/>
          <w:color w:val="0D0D0D" w:themeColor="text1" w:themeTint="F2"/>
          <w:sz w:val="22"/>
          <w:szCs w:val="22"/>
        </w:rPr>
      </w:pPr>
    </w:p>
    <w:p w14:paraId="53D6717C" w14:textId="1697021A"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Avenida A.C.E.:</w:t>
      </w:r>
      <w:r w:rsidRPr="00506990">
        <w:rPr>
          <w:rFonts w:ascii="Times New Roman" w:hAnsi="Times New Roman" w:cs="Times New Roman"/>
          <w:color w:val="0D0D0D" w:themeColor="text1" w:themeTint="F2"/>
          <w:sz w:val="22"/>
          <w:szCs w:val="22"/>
        </w:rPr>
        <w:t xml:space="preserve"> Es una agrupación de colaboración empresaria dedicada a brindar asesoramiento corporativo integral en diversas áreas de trabajo: marketing y comunicación, recursos humanos, administración</w:t>
      </w:r>
      <w:r w:rsidR="00FF1602" w:rsidRPr="00506990">
        <w:rPr>
          <w:rFonts w:ascii="Times New Roman" w:hAnsi="Times New Roman" w:cs="Times New Roman"/>
          <w:color w:val="0D0D0D" w:themeColor="text1" w:themeTint="F2"/>
          <w:sz w:val="22"/>
          <w:szCs w:val="22"/>
        </w:rPr>
        <w:t xml:space="preserve"> e impuestos, finanzas y </w:t>
      </w:r>
      <w:r w:rsidRPr="00506990">
        <w:rPr>
          <w:rFonts w:ascii="Times New Roman" w:hAnsi="Times New Roman" w:cs="Times New Roman"/>
          <w:color w:val="0D0D0D" w:themeColor="text1" w:themeTint="F2"/>
          <w:sz w:val="22"/>
          <w:szCs w:val="22"/>
        </w:rPr>
        <w:t>auditoría.</w:t>
      </w:r>
      <w:r w:rsidR="003A3FE8" w:rsidRPr="00506990">
        <w:rPr>
          <w:rFonts w:ascii="Times New Roman" w:hAnsi="Times New Roman" w:cs="Times New Roman"/>
          <w:color w:val="0D0D0D" w:themeColor="text1" w:themeTint="F2"/>
          <w:sz w:val="22"/>
          <w:szCs w:val="22"/>
        </w:rPr>
        <w:t xml:space="preserve"> </w:t>
      </w:r>
      <w:r w:rsidR="000B696A" w:rsidRPr="00506990">
        <w:rPr>
          <w:rFonts w:ascii="Times New Roman" w:hAnsi="Times New Roman" w:cs="Times New Roman"/>
          <w:color w:val="0D0D0D" w:themeColor="text1" w:themeTint="F2"/>
          <w:sz w:val="22"/>
          <w:szCs w:val="22"/>
        </w:rPr>
        <w:t xml:space="preserve">Se debe tener presente que </w:t>
      </w:r>
      <w:r w:rsidR="003A3FE8" w:rsidRPr="00506990">
        <w:rPr>
          <w:rFonts w:ascii="Times New Roman" w:hAnsi="Times New Roman" w:cs="Times New Roman"/>
          <w:color w:val="0D0D0D" w:themeColor="text1" w:themeTint="F2"/>
          <w:sz w:val="22"/>
          <w:szCs w:val="22"/>
        </w:rPr>
        <w:t xml:space="preserve">Bazar Avenida S.A. </w:t>
      </w:r>
      <w:r w:rsidR="0064635C" w:rsidRPr="00506990">
        <w:rPr>
          <w:rFonts w:ascii="Times New Roman" w:hAnsi="Times New Roman" w:cs="Times New Roman"/>
          <w:color w:val="0D0D0D" w:themeColor="text1" w:themeTint="F2"/>
          <w:sz w:val="22"/>
          <w:szCs w:val="22"/>
        </w:rPr>
        <w:t>no delega en Avenida A.C.E la administración y cobranza de los Créditos que genera por su actividad comercial.</w:t>
      </w:r>
    </w:p>
    <w:p w14:paraId="64CC8759"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Nacida para dar soporte a las restantes empresas participantes, está preparada para asistirlas con profesionales altamente capacitados y en constante formación.</w:t>
      </w:r>
    </w:p>
    <w:p w14:paraId="1571515A"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relación con el fiduciante surge del contrato de colaboración empresaria de fecha 01/12/2001, inscripto en el Registro Público el 29/04/2002 bajo el N° 19, a folios 17, 18, 19 y 20 del Libro I de Agrupación de Colaboración.</w:t>
      </w:r>
    </w:p>
    <w:p w14:paraId="374AB260"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participantes que surgen de la última modificación al contrato según acta del 17/07/2015 son: Bazar Avenida SA, Consumo SA, Tinsa SA, Total Support SA y Logme S.A.</w:t>
      </w:r>
    </w:p>
    <w:p w14:paraId="47A9EE0F" w14:textId="77777777"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501DBFFE" w14:textId="5D1E7F7A" w:rsidR="00421B8D" w:rsidRPr="00506990" w:rsidRDefault="00421B8D" w:rsidP="00421B8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6989FBB9" w14:textId="77777777" w:rsidR="00225858" w:rsidRPr="00506990" w:rsidRDefault="00225858" w:rsidP="00225858">
      <w:pPr>
        <w:rPr>
          <w:rFonts w:ascii="Times New Roman" w:hAnsi="Times New Roman" w:cs="Times New Roman"/>
          <w:b/>
          <w:color w:val="0D0D0D" w:themeColor="text1" w:themeTint="F2"/>
          <w:sz w:val="22"/>
          <w:szCs w:val="22"/>
        </w:rPr>
      </w:pPr>
    </w:p>
    <w:p w14:paraId="0A93BFC8" w14:textId="4BF0A22A" w:rsidR="00225858" w:rsidRPr="00506990" w:rsidRDefault="00225858" w:rsidP="00225858">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Logme S.A.:</w:t>
      </w:r>
      <w:r w:rsidRPr="00506990">
        <w:rPr>
          <w:rFonts w:ascii="Times New Roman" w:hAnsi="Times New Roman" w:cs="Times New Roman"/>
          <w:color w:val="0D0D0D" w:themeColor="text1" w:themeTint="F2"/>
          <w:sz w:val="22"/>
          <w:szCs w:val="22"/>
        </w:rPr>
        <w:t xml:space="preserve"> Es una empresa dedicada a la Logística retail.</w:t>
      </w:r>
    </w:p>
    <w:p w14:paraId="613110C7" w14:textId="32981B37" w:rsidR="00225858" w:rsidRPr="00506990" w:rsidRDefault="00225858" w:rsidP="00225858">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En el Centro de Operaciones Logísticas ubicado en Parque Industrial Campana, nuclea las actividades de recepción desde proveedores, almacenamiento, despacho y logística inversa (comercial y de posventa); de bienes de cambio, bienes de uso, insumos, repuestos, material promocional y POP, para sucursales </w:t>
      </w:r>
      <w:r w:rsidR="00193D89" w:rsidRPr="00506990">
        <w:rPr>
          <w:rFonts w:ascii="Times New Roman" w:hAnsi="Times New Roman" w:cs="Times New Roman"/>
          <w:color w:val="0D0D0D" w:themeColor="text1" w:themeTint="F2"/>
          <w:sz w:val="22"/>
          <w:szCs w:val="22"/>
        </w:rPr>
        <w:t xml:space="preserve">de Bazar Avenida </w:t>
      </w:r>
      <w:r w:rsidRPr="00506990">
        <w:rPr>
          <w:rFonts w:ascii="Times New Roman" w:hAnsi="Times New Roman" w:cs="Times New Roman"/>
          <w:color w:val="0D0D0D" w:themeColor="text1" w:themeTint="F2"/>
          <w:sz w:val="22"/>
          <w:szCs w:val="22"/>
        </w:rPr>
        <w:t xml:space="preserve">y </w:t>
      </w:r>
      <w:r w:rsidR="00193D89" w:rsidRPr="00506990">
        <w:rPr>
          <w:rFonts w:ascii="Times New Roman" w:hAnsi="Times New Roman" w:cs="Times New Roman"/>
          <w:color w:val="0D0D0D" w:themeColor="text1" w:themeTint="F2"/>
          <w:sz w:val="22"/>
          <w:szCs w:val="22"/>
        </w:rPr>
        <w:t xml:space="preserve">su </w:t>
      </w:r>
      <w:r w:rsidRPr="00506990">
        <w:rPr>
          <w:rFonts w:ascii="Times New Roman" w:hAnsi="Times New Roman" w:cs="Times New Roman"/>
          <w:color w:val="0D0D0D" w:themeColor="text1" w:themeTint="F2"/>
          <w:sz w:val="22"/>
          <w:szCs w:val="22"/>
        </w:rPr>
        <w:t>Casa Central.</w:t>
      </w:r>
    </w:p>
    <w:p w14:paraId="5AFF0047" w14:textId="3544A3F9" w:rsidR="0057621D" w:rsidRPr="00506990" w:rsidRDefault="00225858" w:rsidP="00375AFE">
      <w:pPr>
        <w:rPr>
          <w:rFonts w:ascii="Times New Roman" w:hAnsi="Times New Roman" w:cs="Times New Roman"/>
          <w:b/>
          <w:color w:val="0D0D0D" w:themeColor="text1" w:themeTint="F2"/>
          <w:sz w:val="22"/>
          <w:szCs w:val="22"/>
        </w:rPr>
      </w:pPr>
      <w:r w:rsidRPr="00506990">
        <w:rPr>
          <w:rFonts w:ascii="Times New Roman" w:hAnsi="Times New Roman" w:cs="Times New Roman"/>
          <w:color w:val="0D0D0D" w:themeColor="text1" w:themeTint="F2"/>
          <w:sz w:val="22"/>
          <w:szCs w:val="22"/>
        </w:rPr>
        <w:t>Bazar Avenida S.A. y Logme S.A. se encuentran vinculadas ya que los accionistas de Logme S.A., Fideicomiso MARSAN (50%) y Fideicomiso WISECONSOL (50%), son a su vez accionistas de Bazar Avenida S.A. en un 31,25% cada uno.</w:t>
      </w:r>
      <w:r w:rsidR="003A3FE8" w:rsidRPr="00506990">
        <w:rPr>
          <w:rFonts w:ascii="Times New Roman" w:hAnsi="Times New Roman" w:cs="Times New Roman"/>
          <w:color w:val="0D0D0D" w:themeColor="text1" w:themeTint="F2"/>
          <w:sz w:val="22"/>
          <w:szCs w:val="22"/>
        </w:rPr>
        <w:t xml:space="preserve"> </w:t>
      </w:r>
      <w:r w:rsidR="003A3FE8" w:rsidRPr="00506990">
        <w:rPr>
          <w:rFonts w:ascii="Times New Roman" w:hAnsi="Times New Roman" w:cs="Times New Roman"/>
          <w:color w:val="0D0D0D" w:themeColor="text1" w:themeTint="F2"/>
          <w:sz w:val="22"/>
          <w:szCs w:val="22"/>
          <w:lang w:val="es-ES"/>
        </w:rPr>
        <w:t>Asimismo, ambas empresas comparten los miembros de sus directorios.</w:t>
      </w:r>
    </w:p>
    <w:p w14:paraId="60B0FB42" w14:textId="77777777" w:rsidR="00421B8D" w:rsidRPr="00506990" w:rsidRDefault="00421B8D" w:rsidP="00375AFE">
      <w:pPr>
        <w:rPr>
          <w:rFonts w:ascii="Times New Roman" w:hAnsi="Times New Roman" w:cs="Times New Roman"/>
          <w:b/>
          <w:color w:val="0D0D0D" w:themeColor="text1" w:themeTint="F2"/>
          <w:sz w:val="22"/>
          <w:szCs w:val="22"/>
          <w:lang w:val="es-ES"/>
        </w:rPr>
      </w:pPr>
    </w:p>
    <w:p w14:paraId="5EE6D751" w14:textId="56AA0B6C" w:rsidR="001C14D0" w:rsidRPr="00506990" w:rsidRDefault="001C14D0" w:rsidP="001C14D0">
      <w:pPr>
        <w:shd w:val="clear" w:color="auto" w:fill="D9D9D9"/>
        <w:spacing w:after="200" w:line="276" w:lineRule="auto"/>
        <w:jc w:val="left"/>
        <w:rPr>
          <w:rFonts w:ascii="Times New Roman" w:hAnsi="Times New Roman" w:cs="Times New Roman"/>
          <w:b/>
          <w:color w:val="0D0D0D"/>
          <w:sz w:val="22"/>
          <w:szCs w:val="22"/>
          <w:lang w:val="es-AR" w:eastAsia="en-US"/>
        </w:rPr>
      </w:pPr>
      <w:r w:rsidRPr="00506990">
        <w:rPr>
          <w:rFonts w:ascii="Times New Roman" w:hAnsi="Times New Roman" w:cs="Times New Roman"/>
          <w:b/>
          <w:color w:val="0D0D0D"/>
          <w:sz w:val="22"/>
          <w:szCs w:val="22"/>
          <w:lang w:val="es-AR" w:eastAsia="en-US"/>
        </w:rPr>
        <w:t>COMPOSICIÓN DEL GRUPO ECONÓMICO</w:t>
      </w:r>
    </w:p>
    <w:tbl>
      <w:tblPr>
        <w:tblStyle w:val="Tablaconcuadrcula1"/>
        <w:tblW w:w="8897" w:type="dxa"/>
        <w:tblLook w:val="04A0" w:firstRow="1" w:lastRow="0" w:firstColumn="1" w:lastColumn="0" w:noHBand="0" w:noVBand="1"/>
      </w:tblPr>
      <w:tblGrid>
        <w:gridCol w:w="1765"/>
        <w:gridCol w:w="2454"/>
        <w:gridCol w:w="1559"/>
        <w:gridCol w:w="1560"/>
        <w:gridCol w:w="1559"/>
      </w:tblGrid>
      <w:tr w:rsidR="001C14D0" w:rsidRPr="00506990" w14:paraId="1FF2115D" w14:textId="77777777" w:rsidTr="0068122C">
        <w:tc>
          <w:tcPr>
            <w:tcW w:w="1765" w:type="dxa"/>
          </w:tcPr>
          <w:p w14:paraId="58DF2CDE" w14:textId="77777777" w:rsidR="001C14D0" w:rsidRPr="00506990" w:rsidRDefault="001C14D0" w:rsidP="00F77F79">
            <w:pPr>
              <w:autoSpaceDE w:val="0"/>
              <w:autoSpaceDN w:val="0"/>
              <w:adjustRightInd w:val="0"/>
              <w:spacing w:after="160"/>
              <w:jc w:val="left"/>
              <w:rPr>
                <w:rFonts w:ascii="Times New Roman" w:hAnsi="Times New Roman" w:cs="Times New Roman"/>
                <w:bCs/>
                <w:iCs/>
                <w:color w:val="0D0D0D"/>
                <w:sz w:val="22"/>
                <w:szCs w:val="22"/>
                <w:lang w:val="es-AR" w:eastAsia="en-US"/>
              </w:rPr>
            </w:pPr>
          </w:p>
        </w:tc>
        <w:tc>
          <w:tcPr>
            <w:tcW w:w="2454" w:type="dxa"/>
          </w:tcPr>
          <w:p w14:paraId="04C936D0" w14:textId="77777777" w:rsidR="001C14D0" w:rsidRPr="00506990" w:rsidRDefault="001C14D0" w:rsidP="00F77F79">
            <w:pPr>
              <w:spacing w:after="160"/>
              <w:jc w:val="center"/>
              <w:rPr>
                <w:rFonts w:ascii="Times New Roman" w:hAnsi="Times New Roman" w:cs="Times New Roman"/>
                <w:b/>
                <w:sz w:val="22"/>
                <w:szCs w:val="22"/>
                <w:lang w:val="es-AR" w:eastAsia="en-US"/>
              </w:rPr>
            </w:pPr>
          </w:p>
          <w:p w14:paraId="36488E33" w14:textId="77777777" w:rsidR="001C14D0" w:rsidRPr="00506990" w:rsidRDefault="001C14D0" w:rsidP="00F77F79">
            <w:pPr>
              <w:spacing w:after="160"/>
              <w:jc w:val="center"/>
              <w:rPr>
                <w:rFonts w:ascii="Times New Roman" w:hAnsi="Times New Roman" w:cs="Times New Roman"/>
                <w:b/>
                <w:sz w:val="22"/>
                <w:szCs w:val="22"/>
                <w:lang w:val="es-AR" w:eastAsia="en-US"/>
              </w:rPr>
            </w:pPr>
            <w:r w:rsidRPr="00506990">
              <w:rPr>
                <w:rFonts w:ascii="Times New Roman" w:hAnsi="Times New Roman" w:cs="Times New Roman"/>
                <w:b/>
                <w:sz w:val="22"/>
                <w:szCs w:val="22"/>
                <w:lang w:val="es-AR" w:eastAsia="en-US"/>
              </w:rPr>
              <w:t>Actividad Principal</w:t>
            </w:r>
          </w:p>
        </w:tc>
        <w:tc>
          <w:tcPr>
            <w:tcW w:w="1559" w:type="dxa"/>
          </w:tcPr>
          <w:p w14:paraId="1883FCB1" w14:textId="77777777" w:rsidR="001C14D0" w:rsidRPr="00506990" w:rsidRDefault="001C14D0" w:rsidP="00F77F79">
            <w:pPr>
              <w:spacing w:after="160"/>
              <w:jc w:val="center"/>
              <w:rPr>
                <w:rFonts w:ascii="Times New Roman" w:hAnsi="Times New Roman" w:cs="Times New Roman"/>
                <w:b/>
                <w:sz w:val="22"/>
                <w:szCs w:val="22"/>
                <w:lang w:val="es-AR" w:eastAsia="en-US"/>
              </w:rPr>
            </w:pPr>
            <w:r w:rsidRPr="00506990">
              <w:rPr>
                <w:rFonts w:ascii="Times New Roman" w:hAnsi="Times New Roman" w:cs="Times New Roman"/>
                <w:b/>
                <w:sz w:val="22"/>
                <w:szCs w:val="22"/>
                <w:lang w:val="es-AR" w:eastAsia="en-US"/>
              </w:rPr>
              <w:t>% de Participación Fideicomiso Marsan</w:t>
            </w:r>
          </w:p>
        </w:tc>
        <w:tc>
          <w:tcPr>
            <w:tcW w:w="1560" w:type="dxa"/>
          </w:tcPr>
          <w:p w14:paraId="1A81D4B1" w14:textId="77777777" w:rsidR="001C14D0" w:rsidRPr="00506990" w:rsidRDefault="001C14D0" w:rsidP="00F77F79">
            <w:pPr>
              <w:spacing w:after="160"/>
              <w:jc w:val="center"/>
              <w:rPr>
                <w:rFonts w:ascii="Times New Roman" w:hAnsi="Times New Roman" w:cs="Times New Roman"/>
                <w:b/>
                <w:sz w:val="22"/>
                <w:szCs w:val="22"/>
                <w:lang w:val="es-AR" w:eastAsia="en-US"/>
              </w:rPr>
            </w:pPr>
            <w:r w:rsidRPr="00506990">
              <w:rPr>
                <w:rFonts w:ascii="Times New Roman" w:hAnsi="Times New Roman" w:cs="Times New Roman"/>
                <w:b/>
                <w:sz w:val="22"/>
                <w:szCs w:val="22"/>
                <w:lang w:val="es-AR" w:eastAsia="en-US"/>
              </w:rPr>
              <w:t>% de Participación Fideicomiso Wiseconsol</w:t>
            </w:r>
          </w:p>
        </w:tc>
        <w:tc>
          <w:tcPr>
            <w:tcW w:w="1559" w:type="dxa"/>
          </w:tcPr>
          <w:p w14:paraId="01C93B3C" w14:textId="77777777" w:rsidR="001C14D0" w:rsidRPr="00506990" w:rsidRDefault="001C14D0" w:rsidP="00F77F79">
            <w:pPr>
              <w:spacing w:after="160"/>
              <w:jc w:val="center"/>
              <w:rPr>
                <w:rFonts w:ascii="Times New Roman" w:hAnsi="Times New Roman" w:cs="Times New Roman"/>
                <w:b/>
                <w:sz w:val="22"/>
                <w:szCs w:val="22"/>
                <w:lang w:val="es-AR" w:eastAsia="en-US"/>
              </w:rPr>
            </w:pPr>
            <w:r w:rsidRPr="00506990">
              <w:rPr>
                <w:rFonts w:ascii="Times New Roman" w:hAnsi="Times New Roman" w:cs="Times New Roman"/>
                <w:b/>
                <w:sz w:val="22"/>
                <w:szCs w:val="22"/>
                <w:lang w:val="es-AR" w:eastAsia="en-US"/>
              </w:rPr>
              <w:t>% de Participación Consumo</w:t>
            </w:r>
          </w:p>
        </w:tc>
      </w:tr>
      <w:tr w:rsidR="001C14D0" w:rsidRPr="00506990" w14:paraId="56D2D692" w14:textId="77777777" w:rsidTr="0068122C">
        <w:tc>
          <w:tcPr>
            <w:tcW w:w="1765" w:type="dxa"/>
          </w:tcPr>
          <w:p w14:paraId="2490E8D7" w14:textId="77777777" w:rsidR="001C14D0" w:rsidRPr="00506990" w:rsidRDefault="001C14D0" w:rsidP="00F77F79">
            <w:pPr>
              <w:spacing w:after="160"/>
              <w:jc w:val="left"/>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Bazar Avenida S.A.</w:t>
            </w:r>
          </w:p>
        </w:tc>
        <w:tc>
          <w:tcPr>
            <w:tcW w:w="2454" w:type="dxa"/>
          </w:tcPr>
          <w:p w14:paraId="66415898" w14:textId="77777777" w:rsidR="001C14D0" w:rsidRPr="00506990" w:rsidRDefault="001C14D0" w:rsidP="00F77F79">
            <w:pPr>
              <w:spacing w:after="160"/>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Retail dedicado a la comercialización de electrodomésticos.</w:t>
            </w:r>
          </w:p>
        </w:tc>
        <w:tc>
          <w:tcPr>
            <w:tcW w:w="1559" w:type="dxa"/>
          </w:tcPr>
          <w:p w14:paraId="73F0ACE9"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31,25%</w:t>
            </w:r>
          </w:p>
        </w:tc>
        <w:tc>
          <w:tcPr>
            <w:tcW w:w="1560" w:type="dxa"/>
          </w:tcPr>
          <w:p w14:paraId="732663D9"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31,25%</w:t>
            </w:r>
            <w:r w:rsidRPr="00506990">
              <w:rPr>
                <w:rFonts w:ascii="Times New Roman" w:hAnsi="Times New Roman" w:cs="Times New Roman"/>
                <w:bCs/>
                <w:iCs/>
                <w:color w:val="0D0D0D"/>
                <w:sz w:val="22"/>
                <w:szCs w:val="22"/>
                <w:lang w:val="es-AR" w:eastAsia="en-US"/>
              </w:rPr>
              <w:br/>
            </w:r>
          </w:p>
        </w:tc>
        <w:tc>
          <w:tcPr>
            <w:tcW w:w="1559" w:type="dxa"/>
          </w:tcPr>
          <w:p w14:paraId="22D169C1"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37,5%</w:t>
            </w:r>
          </w:p>
        </w:tc>
      </w:tr>
      <w:tr w:rsidR="001C14D0" w:rsidRPr="00506990" w14:paraId="43566044" w14:textId="77777777" w:rsidTr="0068122C">
        <w:tc>
          <w:tcPr>
            <w:tcW w:w="1765" w:type="dxa"/>
          </w:tcPr>
          <w:p w14:paraId="717E877D" w14:textId="77777777" w:rsidR="001C14D0" w:rsidRPr="00506990" w:rsidRDefault="001C14D0" w:rsidP="00F77F79">
            <w:pPr>
              <w:spacing w:after="160"/>
              <w:jc w:val="left"/>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Consumo S.A.</w:t>
            </w:r>
          </w:p>
        </w:tc>
        <w:tc>
          <w:tcPr>
            <w:tcW w:w="2454" w:type="dxa"/>
          </w:tcPr>
          <w:p w14:paraId="1E20A832" w14:textId="77777777" w:rsidR="001C14D0" w:rsidRPr="00506990" w:rsidRDefault="001C14D0" w:rsidP="00F77F79">
            <w:pPr>
              <w:spacing w:after="160"/>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Empresa dedicada al otorgamiento de préstamos personales de dinero.</w:t>
            </w:r>
          </w:p>
        </w:tc>
        <w:tc>
          <w:tcPr>
            <w:tcW w:w="1559" w:type="dxa"/>
          </w:tcPr>
          <w:p w14:paraId="65E13B49"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60" w:type="dxa"/>
          </w:tcPr>
          <w:p w14:paraId="0CAC5769"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59" w:type="dxa"/>
          </w:tcPr>
          <w:p w14:paraId="4AA1FC3C"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p>
        </w:tc>
      </w:tr>
      <w:tr w:rsidR="001C14D0" w:rsidRPr="00506990" w14:paraId="75406C36" w14:textId="77777777" w:rsidTr="0068122C">
        <w:tc>
          <w:tcPr>
            <w:tcW w:w="1765" w:type="dxa"/>
          </w:tcPr>
          <w:p w14:paraId="63B7DBB4" w14:textId="77777777" w:rsidR="001C14D0" w:rsidRPr="00506990" w:rsidRDefault="001C14D0" w:rsidP="00F77F79">
            <w:pPr>
              <w:spacing w:after="160"/>
              <w:jc w:val="left"/>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Total Support S.A.</w:t>
            </w:r>
          </w:p>
        </w:tc>
        <w:tc>
          <w:tcPr>
            <w:tcW w:w="2454" w:type="dxa"/>
          </w:tcPr>
          <w:p w14:paraId="1F7481C7" w14:textId="77777777" w:rsidR="001C14D0" w:rsidRPr="00506990" w:rsidRDefault="001C14D0" w:rsidP="00F77F79">
            <w:pPr>
              <w:spacing w:after="160"/>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Empresa especializada en la gestión integral de cobranza de carteras de clientes en mora.</w:t>
            </w:r>
          </w:p>
        </w:tc>
        <w:tc>
          <w:tcPr>
            <w:tcW w:w="1559" w:type="dxa"/>
          </w:tcPr>
          <w:p w14:paraId="53A36CA9"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60" w:type="dxa"/>
          </w:tcPr>
          <w:p w14:paraId="3F8C602B"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59" w:type="dxa"/>
          </w:tcPr>
          <w:p w14:paraId="0752241F"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p>
        </w:tc>
      </w:tr>
      <w:tr w:rsidR="001C14D0" w:rsidRPr="00506990" w14:paraId="3AB7CCFE" w14:textId="77777777" w:rsidTr="0068122C">
        <w:tc>
          <w:tcPr>
            <w:tcW w:w="1765" w:type="dxa"/>
          </w:tcPr>
          <w:p w14:paraId="4384413D" w14:textId="77777777" w:rsidR="001C14D0" w:rsidRPr="00506990" w:rsidRDefault="001C14D0" w:rsidP="00F77F79">
            <w:pPr>
              <w:spacing w:after="160"/>
              <w:jc w:val="left"/>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Tinsa S.A.</w:t>
            </w:r>
          </w:p>
        </w:tc>
        <w:tc>
          <w:tcPr>
            <w:tcW w:w="2454" w:type="dxa"/>
          </w:tcPr>
          <w:p w14:paraId="43C7911C" w14:textId="77777777" w:rsidR="001C14D0" w:rsidRPr="00506990" w:rsidRDefault="001C14D0" w:rsidP="00F77F79">
            <w:pPr>
              <w:spacing w:after="160"/>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Empresa dedicada al cobro extrabancario de impuestos y servicios y recarga virtual de crédito prepago de telefonía celular y fija.</w:t>
            </w:r>
          </w:p>
        </w:tc>
        <w:tc>
          <w:tcPr>
            <w:tcW w:w="1559" w:type="dxa"/>
          </w:tcPr>
          <w:p w14:paraId="5A16B1BE"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60" w:type="dxa"/>
          </w:tcPr>
          <w:p w14:paraId="33ADA64F"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59" w:type="dxa"/>
          </w:tcPr>
          <w:p w14:paraId="27D1E7D6"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p>
        </w:tc>
      </w:tr>
      <w:tr w:rsidR="001C14D0" w:rsidRPr="00506990" w14:paraId="7328F906" w14:textId="77777777" w:rsidTr="0068122C">
        <w:tc>
          <w:tcPr>
            <w:tcW w:w="1765" w:type="dxa"/>
          </w:tcPr>
          <w:p w14:paraId="383FF45B" w14:textId="77777777" w:rsidR="001C14D0" w:rsidRPr="00506990" w:rsidRDefault="001C14D0" w:rsidP="00F77F79">
            <w:pPr>
              <w:spacing w:after="160"/>
              <w:jc w:val="left"/>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Logme S.A.</w:t>
            </w:r>
          </w:p>
        </w:tc>
        <w:tc>
          <w:tcPr>
            <w:tcW w:w="2454" w:type="dxa"/>
          </w:tcPr>
          <w:p w14:paraId="088E16DC" w14:textId="77777777" w:rsidR="001C14D0" w:rsidRPr="00506990" w:rsidRDefault="001C14D0" w:rsidP="00F77F79">
            <w:pPr>
              <w:spacing w:after="160"/>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Empresa dedicada a la logística retail.</w:t>
            </w:r>
          </w:p>
        </w:tc>
        <w:tc>
          <w:tcPr>
            <w:tcW w:w="1559" w:type="dxa"/>
          </w:tcPr>
          <w:p w14:paraId="4E0FBA8E"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60" w:type="dxa"/>
          </w:tcPr>
          <w:p w14:paraId="4C74C21C"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59" w:type="dxa"/>
          </w:tcPr>
          <w:p w14:paraId="364794EC"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p>
        </w:tc>
      </w:tr>
      <w:tr w:rsidR="001C14D0" w:rsidRPr="00506990" w14:paraId="35D8845A" w14:textId="77777777" w:rsidTr="0068122C">
        <w:tc>
          <w:tcPr>
            <w:tcW w:w="1765" w:type="dxa"/>
          </w:tcPr>
          <w:p w14:paraId="05E64C7A" w14:textId="77777777" w:rsidR="001C14D0" w:rsidRPr="00506990" w:rsidRDefault="001C14D0" w:rsidP="00F77F79">
            <w:pPr>
              <w:spacing w:after="160"/>
              <w:jc w:val="left"/>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Avenida A.C.E.</w:t>
            </w:r>
          </w:p>
        </w:tc>
        <w:tc>
          <w:tcPr>
            <w:tcW w:w="2454" w:type="dxa"/>
          </w:tcPr>
          <w:p w14:paraId="6F108A02" w14:textId="77777777" w:rsidR="001C14D0" w:rsidRPr="00506990" w:rsidRDefault="001C14D0" w:rsidP="00F77F79">
            <w:pPr>
              <w:spacing w:after="160"/>
              <w:rPr>
                <w:rFonts w:ascii="Times New Roman" w:hAnsi="Times New Roman" w:cs="Times New Roman"/>
                <w:sz w:val="22"/>
                <w:szCs w:val="22"/>
                <w:lang w:val="es-AR" w:eastAsia="en-US"/>
              </w:rPr>
            </w:pPr>
            <w:r w:rsidRPr="00506990">
              <w:rPr>
                <w:rFonts w:ascii="Times New Roman" w:hAnsi="Times New Roman" w:cs="Times New Roman"/>
                <w:sz w:val="22"/>
                <w:szCs w:val="22"/>
                <w:lang w:val="es-AR" w:eastAsia="en-US"/>
              </w:rPr>
              <w:t>Administración de las empresas del grupo.</w:t>
            </w:r>
          </w:p>
        </w:tc>
        <w:tc>
          <w:tcPr>
            <w:tcW w:w="1559" w:type="dxa"/>
          </w:tcPr>
          <w:p w14:paraId="688B5693"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60" w:type="dxa"/>
          </w:tcPr>
          <w:p w14:paraId="44853C2A"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r w:rsidRPr="00506990">
              <w:rPr>
                <w:rFonts w:ascii="Times New Roman" w:hAnsi="Times New Roman" w:cs="Times New Roman"/>
                <w:bCs/>
                <w:iCs/>
                <w:color w:val="0D0D0D"/>
                <w:sz w:val="22"/>
                <w:szCs w:val="22"/>
                <w:lang w:val="es-AR" w:eastAsia="en-US"/>
              </w:rPr>
              <w:t>50%</w:t>
            </w:r>
          </w:p>
        </w:tc>
        <w:tc>
          <w:tcPr>
            <w:tcW w:w="1559" w:type="dxa"/>
          </w:tcPr>
          <w:p w14:paraId="4661ED47" w14:textId="77777777" w:rsidR="001C14D0" w:rsidRPr="00506990" w:rsidRDefault="001C14D0" w:rsidP="00F77F79">
            <w:pPr>
              <w:autoSpaceDE w:val="0"/>
              <w:autoSpaceDN w:val="0"/>
              <w:adjustRightInd w:val="0"/>
              <w:spacing w:after="160"/>
              <w:jc w:val="center"/>
              <w:rPr>
                <w:rFonts w:ascii="Times New Roman" w:hAnsi="Times New Roman" w:cs="Times New Roman"/>
                <w:bCs/>
                <w:iCs/>
                <w:color w:val="0D0D0D"/>
                <w:sz w:val="22"/>
                <w:szCs w:val="22"/>
                <w:lang w:val="es-AR" w:eastAsia="en-US"/>
              </w:rPr>
            </w:pPr>
          </w:p>
        </w:tc>
      </w:tr>
    </w:tbl>
    <w:p w14:paraId="1C2D92F2" w14:textId="77777777" w:rsidR="00664287" w:rsidRPr="00506990" w:rsidRDefault="00664287" w:rsidP="00901B41">
      <w:pPr>
        <w:shd w:val="clear" w:color="auto" w:fill="D9D9D9"/>
        <w:rPr>
          <w:rFonts w:ascii="Times New Roman" w:hAnsi="Times New Roman" w:cs="Times New Roman"/>
          <w:b/>
          <w:color w:val="0D0D0D" w:themeColor="text1" w:themeTint="F2"/>
          <w:sz w:val="22"/>
          <w:szCs w:val="22"/>
        </w:rPr>
      </w:pPr>
    </w:p>
    <w:p w14:paraId="4B8B4157" w14:textId="06BEFD05" w:rsidR="0057621D" w:rsidRPr="00506990" w:rsidRDefault="000210CD" w:rsidP="00901B41">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POLÍTICA DE PROTECCIÓN DEL MEDIO AMBIENTE</w:t>
      </w:r>
    </w:p>
    <w:p w14:paraId="46D96C64" w14:textId="77777777" w:rsidR="000210CD" w:rsidRPr="00506990" w:rsidRDefault="000210CD" w:rsidP="0057621D">
      <w:pPr>
        <w:spacing w:before="60"/>
        <w:rPr>
          <w:rFonts w:ascii="Times New Roman" w:hAnsi="Times New Roman" w:cs="Times New Roman"/>
          <w:color w:val="0D0D0D" w:themeColor="text1" w:themeTint="F2"/>
          <w:sz w:val="22"/>
          <w:szCs w:val="22"/>
        </w:rPr>
      </w:pPr>
    </w:p>
    <w:p w14:paraId="3856785A" w14:textId="77777777" w:rsidR="0057621D" w:rsidRPr="00506990" w:rsidRDefault="0057621D" w:rsidP="00546BED">
      <w:pPr>
        <w:spacing w:before="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empresa no posee al presente una política ambiental establecida formalmente, dado que las actividades desarrolladas no acarrean un fuerte grado de riesgo en este sentido.</w:t>
      </w:r>
    </w:p>
    <w:p w14:paraId="6853F50D" w14:textId="77777777" w:rsidR="0057621D" w:rsidRPr="00506990" w:rsidRDefault="0057621D" w:rsidP="00546BED">
      <w:pPr>
        <w:spacing w:before="60"/>
        <w:rPr>
          <w:rFonts w:ascii="Times New Roman" w:hAnsi="Times New Roman" w:cs="Times New Roman"/>
          <w:color w:val="0D0D0D" w:themeColor="text1" w:themeTint="F2"/>
          <w:sz w:val="22"/>
          <w:szCs w:val="22"/>
        </w:rPr>
      </w:pPr>
    </w:p>
    <w:p w14:paraId="18062DEB" w14:textId="7E65B3EE" w:rsidR="0057621D" w:rsidRPr="00506990" w:rsidRDefault="0057621D" w:rsidP="00BA443A">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No obstante ello, dentro del marco de las </w:t>
      </w:r>
      <w:r w:rsidRPr="00506990">
        <w:rPr>
          <w:rFonts w:ascii="Times New Roman" w:hAnsi="Times New Roman" w:cs="Times New Roman"/>
          <w:b/>
          <w:color w:val="0D0D0D" w:themeColor="text1" w:themeTint="F2"/>
          <w:sz w:val="22"/>
          <w:szCs w:val="22"/>
        </w:rPr>
        <w:t>políticas de Responsabilidad Social Empresaria</w:t>
      </w:r>
      <w:r w:rsidRPr="00506990">
        <w:rPr>
          <w:rFonts w:ascii="Times New Roman" w:hAnsi="Times New Roman" w:cs="Times New Roman"/>
          <w:color w:val="0D0D0D" w:themeColor="text1" w:themeTint="F2"/>
          <w:sz w:val="22"/>
          <w:szCs w:val="22"/>
        </w:rPr>
        <w:t>, existe el compromiso con el</w:t>
      </w:r>
      <w:r w:rsidRPr="00506990">
        <w:rPr>
          <w:rFonts w:ascii="Times New Roman" w:hAnsi="Times New Roman" w:cs="Times New Roman"/>
          <w:b/>
          <w:color w:val="0D0D0D" w:themeColor="text1" w:themeTint="F2"/>
          <w:sz w:val="22"/>
          <w:szCs w:val="22"/>
        </w:rPr>
        <w:t xml:space="preserve"> fomento de prácticas que aporten al desarrollo socio-ambiental de la comunidad</w:t>
      </w:r>
      <w:r w:rsidRPr="00506990">
        <w:rPr>
          <w:rFonts w:ascii="Times New Roman" w:hAnsi="Times New Roman" w:cs="Times New Roman"/>
          <w:color w:val="0D0D0D" w:themeColor="text1" w:themeTint="F2"/>
          <w:sz w:val="22"/>
          <w:szCs w:val="22"/>
        </w:rPr>
        <w:t xml:space="preserve"> en que se inserta el Grupo empresario, y se han generado acciones en pos de ese objetivo.</w:t>
      </w:r>
    </w:p>
    <w:p w14:paraId="46353AFC" w14:textId="77777777" w:rsidR="000210CD" w:rsidRPr="00506990" w:rsidRDefault="000210CD">
      <w:pPr>
        <w:rPr>
          <w:rFonts w:ascii="Times New Roman" w:hAnsi="Times New Roman" w:cs="Times New Roman"/>
          <w:color w:val="0D0D0D" w:themeColor="text1" w:themeTint="F2"/>
          <w:sz w:val="22"/>
          <w:szCs w:val="22"/>
        </w:rPr>
      </w:pPr>
    </w:p>
    <w:p w14:paraId="401C5CA6" w14:textId="77777777" w:rsidR="0057621D" w:rsidRPr="00506990" w:rsidRDefault="0057621D">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Algunos ejemplos son los siguientes:</w:t>
      </w:r>
    </w:p>
    <w:p w14:paraId="1B1B22B3" w14:textId="77777777" w:rsidR="0057621D" w:rsidRPr="00506990" w:rsidRDefault="0057621D" w:rsidP="00270AFD">
      <w:pPr>
        <w:pStyle w:val="Prrafodelista"/>
        <w:numPr>
          <w:ilvl w:val="0"/>
          <w:numId w:val="19"/>
        </w:numPr>
        <w:spacing w:before="60" w:after="200"/>
        <w:jc w:val="both"/>
        <w:rPr>
          <w:color w:val="0D0D0D" w:themeColor="text1" w:themeTint="F2"/>
          <w:sz w:val="22"/>
          <w:szCs w:val="22"/>
        </w:rPr>
      </w:pPr>
      <w:r w:rsidRPr="00506990">
        <w:rPr>
          <w:color w:val="0D0D0D" w:themeColor="text1" w:themeTint="F2"/>
          <w:sz w:val="22"/>
          <w:szCs w:val="22"/>
        </w:rPr>
        <w:t>Implementación gradual del uso de lámparas de bajo consumo, reemplazo de los tradicionales monitores tubo por pantallas LED, temporizadores para el apagado de luces en los locales comerciales, y correctores de factor de potencia (acciones orientadas a eficientizar el consumo energético).</w:t>
      </w:r>
    </w:p>
    <w:p w14:paraId="7B0EF10F" w14:textId="77777777" w:rsidR="0057621D" w:rsidRPr="00506990" w:rsidRDefault="0057621D" w:rsidP="00270AFD">
      <w:pPr>
        <w:pStyle w:val="Prrafodelista"/>
        <w:numPr>
          <w:ilvl w:val="0"/>
          <w:numId w:val="19"/>
        </w:numPr>
        <w:spacing w:before="60" w:after="200"/>
        <w:jc w:val="both"/>
        <w:rPr>
          <w:color w:val="0D0D0D" w:themeColor="text1" w:themeTint="F2"/>
          <w:sz w:val="22"/>
          <w:szCs w:val="22"/>
        </w:rPr>
      </w:pPr>
      <w:r w:rsidRPr="00506990">
        <w:rPr>
          <w:color w:val="0D0D0D" w:themeColor="text1" w:themeTint="F2"/>
          <w:sz w:val="22"/>
          <w:szCs w:val="22"/>
        </w:rPr>
        <w:t>Política de No Impresión en papel en el ámbito laboral (donde puede prescindirse). Reemplazo por escaneados y circuitos administrativos informatizados.</w:t>
      </w:r>
    </w:p>
    <w:p w14:paraId="0742C9F5" w14:textId="77777777" w:rsidR="0057621D" w:rsidRPr="00506990" w:rsidRDefault="0057621D" w:rsidP="00270AFD">
      <w:pPr>
        <w:pStyle w:val="Prrafodelista"/>
        <w:numPr>
          <w:ilvl w:val="0"/>
          <w:numId w:val="19"/>
        </w:numPr>
        <w:spacing w:before="60" w:after="200"/>
        <w:jc w:val="both"/>
        <w:rPr>
          <w:color w:val="0D0D0D" w:themeColor="text1" w:themeTint="F2"/>
          <w:sz w:val="22"/>
          <w:szCs w:val="22"/>
        </w:rPr>
      </w:pPr>
      <w:r w:rsidRPr="00506990">
        <w:rPr>
          <w:color w:val="0D0D0D" w:themeColor="text1" w:themeTint="F2"/>
          <w:sz w:val="22"/>
          <w:szCs w:val="22"/>
        </w:rPr>
        <w:t>Utilización de cartuchos de impresión remanufacturados en Casa Central y Sucursales.</w:t>
      </w:r>
    </w:p>
    <w:p w14:paraId="284A7912" w14:textId="77777777" w:rsidR="0057621D" w:rsidRPr="00506990" w:rsidRDefault="0057621D" w:rsidP="00270AFD">
      <w:pPr>
        <w:pStyle w:val="Prrafodelista"/>
        <w:numPr>
          <w:ilvl w:val="0"/>
          <w:numId w:val="19"/>
        </w:numPr>
        <w:spacing w:before="60" w:after="200"/>
        <w:jc w:val="both"/>
        <w:rPr>
          <w:color w:val="0D0D0D" w:themeColor="text1" w:themeTint="F2"/>
          <w:sz w:val="22"/>
          <w:szCs w:val="22"/>
        </w:rPr>
      </w:pPr>
      <w:r w:rsidRPr="00506990">
        <w:rPr>
          <w:color w:val="0D0D0D" w:themeColor="text1" w:themeTint="F2"/>
          <w:sz w:val="22"/>
          <w:szCs w:val="22"/>
        </w:rPr>
        <w:t>Adhesión al Programa Municipal “Rafaela + Sustentable”: recolección en Casa Central de papel utilizado, como residuo reciclable, en cajas para su disposición final al efecto.</w:t>
      </w:r>
    </w:p>
    <w:p w14:paraId="4C1382CD" w14:textId="77777777" w:rsidR="0057621D" w:rsidRPr="00506990" w:rsidRDefault="0057621D" w:rsidP="00270AFD">
      <w:pPr>
        <w:pStyle w:val="Prrafodelista"/>
        <w:numPr>
          <w:ilvl w:val="0"/>
          <w:numId w:val="19"/>
        </w:numPr>
        <w:spacing w:before="60" w:after="200"/>
        <w:jc w:val="both"/>
        <w:rPr>
          <w:color w:val="0D0D0D" w:themeColor="text1" w:themeTint="F2"/>
          <w:sz w:val="22"/>
          <w:szCs w:val="22"/>
        </w:rPr>
      </w:pPr>
      <w:r w:rsidRPr="00506990">
        <w:rPr>
          <w:color w:val="0D0D0D" w:themeColor="text1" w:themeTint="F2"/>
          <w:sz w:val="22"/>
          <w:szCs w:val="22"/>
        </w:rPr>
        <w:t>Adhesión a la Campaña de la Fundación Hospital de Pediatría Garrahan para el reciclado de tapitas plásticas (oportunamente comunicada a empleados de Casa Central y Sucursales, funcionando como centro de recolección).</w:t>
      </w:r>
    </w:p>
    <w:p w14:paraId="238DD574" w14:textId="77777777" w:rsidR="0057621D" w:rsidRPr="00506990" w:rsidRDefault="0057621D" w:rsidP="00270AFD">
      <w:pPr>
        <w:pStyle w:val="Prrafodelista"/>
        <w:numPr>
          <w:ilvl w:val="0"/>
          <w:numId w:val="19"/>
        </w:numPr>
        <w:spacing w:before="60" w:after="200"/>
        <w:jc w:val="both"/>
        <w:rPr>
          <w:color w:val="0D0D0D" w:themeColor="text1" w:themeTint="F2"/>
          <w:sz w:val="22"/>
          <w:szCs w:val="22"/>
        </w:rPr>
      </w:pPr>
      <w:r w:rsidRPr="00506990">
        <w:rPr>
          <w:color w:val="0D0D0D" w:themeColor="text1" w:themeTint="F2"/>
          <w:sz w:val="22"/>
          <w:szCs w:val="22"/>
        </w:rPr>
        <w:t>Participación en la Campaña “Sacate las Pilas” de Municipalidad de Rafaela, para recolección de pilas en desuso, con destino al centro local de disposición final (oportunamente comunicada a empleados de Casa Central).</w:t>
      </w:r>
    </w:p>
    <w:p w14:paraId="13429AF6" w14:textId="77777777" w:rsidR="0057621D" w:rsidRPr="00506990" w:rsidRDefault="0057621D" w:rsidP="00270AFD">
      <w:pPr>
        <w:pStyle w:val="Prrafodelista"/>
        <w:numPr>
          <w:ilvl w:val="0"/>
          <w:numId w:val="19"/>
        </w:numPr>
        <w:spacing w:before="60" w:after="200"/>
        <w:jc w:val="both"/>
        <w:rPr>
          <w:color w:val="0D0D0D" w:themeColor="text1" w:themeTint="F2"/>
          <w:sz w:val="22"/>
          <w:szCs w:val="22"/>
        </w:rPr>
      </w:pPr>
      <w:r w:rsidRPr="00506990">
        <w:rPr>
          <w:color w:val="0D0D0D" w:themeColor="text1" w:themeTint="F2"/>
          <w:sz w:val="22"/>
          <w:szCs w:val="22"/>
        </w:rPr>
        <w:t>En el marco del trabajo de la ONG Red Solidaria, para asistir a las víctimas de las inundaciones ocurridas en La Plata y las zonas aledañas en abril 2013, Megatone puso a disposición todos sus locales de venta y su propia logística, para que los ciudadanos sumaran su donación en aquellas localidades donde tenemos presencia.</w:t>
      </w:r>
    </w:p>
    <w:p w14:paraId="7D3F7E58" w14:textId="77777777" w:rsidR="0057621D" w:rsidRPr="00506990" w:rsidRDefault="0057621D" w:rsidP="00270AFD">
      <w:pPr>
        <w:pStyle w:val="Prrafodelista"/>
        <w:numPr>
          <w:ilvl w:val="0"/>
          <w:numId w:val="19"/>
        </w:numPr>
        <w:spacing w:before="60" w:after="200"/>
        <w:jc w:val="both"/>
        <w:rPr>
          <w:color w:val="0D0D0D" w:themeColor="text1" w:themeTint="F2"/>
          <w:sz w:val="22"/>
          <w:szCs w:val="22"/>
        </w:rPr>
      </w:pPr>
      <w:r w:rsidRPr="00506990">
        <w:rPr>
          <w:color w:val="0D0D0D" w:themeColor="text1" w:themeTint="F2"/>
          <w:sz w:val="22"/>
          <w:szCs w:val="22"/>
        </w:rPr>
        <w:t>Otras campañas solidarias, como donación de vueltos a beneficio de Cáritas; y plan canje de electrodomésticos, con donación del equipo usado por parte del cliente a una institución sin fines de lucro.</w:t>
      </w:r>
    </w:p>
    <w:p w14:paraId="2FDFD553" w14:textId="77777777" w:rsidR="000210CD" w:rsidRPr="00506990" w:rsidRDefault="000210CD" w:rsidP="00F77F79">
      <w:pPr>
        <w:pStyle w:val="Prrafodelista"/>
        <w:spacing w:before="60" w:after="200"/>
        <w:ind w:left="360"/>
        <w:jc w:val="both"/>
        <w:rPr>
          <w:color w:val="0D0D0D" w:themeColor="text1" w:themeTint="F2"/>
          <w:sz w:val="22"/>
          <w:szCs w:val="22"/>
        </w:rPr>
      </w:pPr>
    </w:p>
    <w:p w14:paraId="07DEF1E7" w14:textId="77777777" w:rsidR="0057621D" w:rsidRPr="00506990" w:rsidRDefault="0057621D" w:rsidP="0057621D">
      <w:pPr>
        <w:pStyle w:val="Prrafodelista"/>
        <w:suppressLineNumbers/>
        <w:ind w:left="0"/>
        <w:rPr>
          <w:b/>
          <w:color w:val="0D0D0D" w:themeColor="text1" w:themeTint="F2"/>
          <w:sz w:val="22"/>
          <w:szCs w:val="22"/>
          <w:u w:val="single"/>
        </w:rPr>
      </w:pPr>
    </w:p>
    <w:p w14:paraId="57B20032" w14:textId="793A6FCF" w:rsidR="003C6A63" w:rsidRPr="00506990" w:rsidRDefault="0057621D" w:rsidP="00375AFE">
      <w:pPr>
        <w:shd w:val="clear" w:color="auto" w:fill="D9D9D9"/>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lang w:val="es-AR"/>
        </w:rPr>
        <w:t>Estados Contables</w:t>
      </w:r>
      <w:r w:rsidR="009F05CF" w:rsidRPr="00506990">
        <w:rPr>
          <w:rFonts w:ascii="Times New Roman" w:hAnsi="Times New Roman" w:cs="Times New Roman"/>
          <w:b/>
          <w:color w:val="0D0D0D" w:themeColor="text1" w:themeTint="F2"/>
          <w:sz w:val="22"/>
          <w:szCs w:val="22"/>
          <w:lang w:val="es-AR"/>
        </w:rPr>
        <w:t>*</w:t>
      </w:r>
    </w:p>
    <w:p w14:paraId="2C093316" w14:textId="77777777" w:rsidR="00E95CE0" w:rsidRPr="00506990" w:rsidRDefault="00E95CE0" w:rsidP="0057621D">
      <w:pPr>
        <w:rPr>
          <w:rFonts w:ascii="Times New Roman" w:hAnsi="Times New Roman" w:cs="Times New Roman"/>
          <w:b/>
          <w:noProof/>
          <w:color w:val="0D0D0D" w:themeColor="text1" w:themeTint="F2"/>
          <w:sz w:val="22"/>
          <w:szCs w:val="22"/>
          <w:u w:val="single"/>
          <w:lang w:val="es-AR" w:eastAsia="es-AR"/>
        </w:rPr>
      </w:pPr>
    </w:p>
    <w:p w14:paraId="0EF2EF2E" w14:textId="35A5A875" w:rsidR="0057621D" w:rsidRPr="00506990" w:rsidRDefault="0057621D" w:rsidP="0057621D">
      <w:pPr>
        <w:rPr>
          <w:rFonts w:ascii="Times New Roman" w:hAnsi="Times New Roman" w:cs="Times New Roman"/>
          <w:b/>
          <w:color w:val="0D0D0D" w:themeColor="text1" w:themeTint="F2"/>
          <w:sz w:val="22"/>
          <w:szCs w:val="22"/>
          <w:u w:val="single"/>
        </w:rPr>
      </w:pPr>
    </w:p>
    <w:p w14:paraId="18CE7D66" w14:textId="285966C4" w:rsidR="0057621D" w:rsidRPr="00506990" w:rsidRDefault="0057621D" w:rsidP="0057621D">
      <w:pPr>
        <w:rPr>
          <w:rFonts w:ascii="Times New Roman" w:hAnsi="Times New Roman" w:cs="Times New Roman"/>
          <w:b/>
          <w:color w:val="0D0D0D" w:themeColor="text1" w:themeTint="F2"/>
          <w:sz w:val="22"/>
          <w:szCs w:val="22"/>
          <w:u w:val="single"/>
        </w:rPr>
      </w:pPr>
    </w:p>
    <w:p w14:paraId="10626026" w14:textId="77777777" w:rsidR="005D2BAF" w:rsidRPr="00506990" w:rsidRDefault="005D2BAF" w:rsidP="0057621D">
      <w:pPr>
        <w:rPr>
          <w:rFonts w:ascii="Times New Roman" w:hAnsi="Times New Roman" w:cs="Times New Roman"/>
          <w:b/>
          <w:color w:val="0D0D0D" w:themeColor="text1" w:themeTint="F2"/>
          <w:sz w:val="22"/>
          <w:szCs w:val="22"/>
          <w:u w:val="single"/>
        </w:rPr>
      </w:pPr>
    </w:p>
    <w:p w14:paraId="0B437AFD" w14:textId="09E8AD85" w:rsidR="005D2BAF" w:rsidRPr="00506990" w:rsidRDefault="005D2BAF" w:rsidP="0057621D">
      <w:pPr>
        <w:rPr>
          <w:rFonts w:ascii="Times New Roman" w:hAnsi="Times New Roman" w:cs="Times New Roman"/>
          <w:b/>
          <w:color w:val="0D0D0D" w:themeColor="text1" w:themeTint="F2"/>
          <w:sz w:val="22"/>
          <w:szCs w:val="22"/>
          <w:u w:val="single"/>
        </w:rPr>
      </w:pPr>
      <w:r w:rsidRPr="0098446E">
        <w:rPr>
          <w:rFonts w:ascii="Times New Roman" w:hAnsi="Times New Roman" w:cs="Times New Roman"/>
          <w:noProof/>
          <w:lang w:val="es-AR" w:eastAsia="es-AR"/>
        </w:rPr>
        <w:drawing>
          <wp:inline distT="0" distB="0" distL="0" distR="0" wp14:anchorId="3E55753F" wp14:editId="2793A1EB">
            <wp:extent cx="5613400" cy="6099175"/>
            <wp:effectExtent l="0" t="0" r="6350" b="0"/>
            <wp:docPr id="4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3400" cy="6099175"/>
                    </a:xfrm>
                    <a:prstGeom prst="rect">
                      <a:avLst/>
                    </a:prstGeom>
                    <a:noFill/>
                    <a:extLst/>
                  </pic:spPr>
                </pic:pic>
              </a:graphicData>
            </a:graphic>
          </wp:inline>
        </w:drawing>
      </w:r>
    </w:p>
    <w:p w14:paraId="417FCABB" w14:textId="77777777" w:rsidR="002E7787" w:rsidRPr="00506990" w:rsidRDefault="002E7787" w:rsidP="0057621D">
      <w:pPr>
        <w:rPr>
          <w:rFonts w:ascii="Times New Roman" w:hAnsi="Times New Roman" w:cs="Times New Roman"/>
          <w:b/>
          <w:color w:val="0D0D0D" w:themeColor="text1" w:themeTint="F2"/>
          <w:sz w:val="22"/>
          <w:szCs w:val="22"/>
          <w:u w:val="single"/>
        </w:rPr>
      </w:pPr>
    </w:p>
    <w:p w14:paraId="5E91406C" w14:textId="77777777" w:rsidR="002E7787" w:rsidRPr="00506990" w:rsidRDefault="002E7787" w:rsidP="0057621D">
      <w:pPr>
        <w:rPr>
          <w:rFonts w:ascii="Times New Roman" w:hAnsi="Times New Roman" w:cs="Times New Roman"/>
          <w:b/>
          <w:color w:val="0D0D0D" w:themeColor="text1" w:themeTint="F2"/>
          <w:sz w:val="22"/>
          <w:szCs w:val="22"/>
          <w:u w:val="single"/>
        </w:rPr>
      </w:pPr>
    </w:p>
    <w:p w14:paraId="5A5CC9C0" w14:textId="77777777" w:rsidR="005D2BAF" w:rsidRPr="00506990" w:rsidRDefault="005D2BAF" w:rsidP="0057621D">
      <w:pPr>
        <w:rPr>
          <w:rFonts w:ascii="Times New Roman" w:hAnsi="Times New Roman" w:cs="Times New Roman"/>
          <w:b/>
          <w:color w:val="0D0D0D" w:themeColor="text1" w:themeTint="F2"/>
          <w:sz w:val="22"/>
          <w:szCs w:val="22"/>
          <w:u w:val="single"/>
        </w:rPr>
      </w:pPr>
    </w:p>
    <w:p w14:paraId="36A68F8D" w14:textId="3A9E7B01" w:rsidR="008C292B" w:rsidRPr="00506990" w:rsidRDefault="005D2BAF" w:rsidP="0057621D">
      <w:pPr>
        <w:rPr>
          <w:rFonts w:ascii="Times New Roman" w:hAnsi="Times New Roman" w:cs="Times New Roman"/>
          <w:b/>
          <w:color w:val="0D0D0D" w:themeColor="text1" w:themeTint="F2"/>
          <w:sz w:val="22"/>
          <w:szCs w:val="22"/>
          <w:u w:val="single"/>
        </w:rPr>
      </w:pPr>
      <w:r w:rsidRPr="0098446E">
        <w:rPr>
          <w:rFonts w:ascii="Times New Roman" w:hAnsi="Times New Roman" w:cs="Times New Roman"/>
          <w:noProof/>
          <w:lang w:val="es-AR" w:eastAsia="es-AR"/>
        </w:rPr>
        <w:drawing>
          <wp:inline distT="0" distB="0" distL="0" distR="0" wp14:anchorId="6CE1A276" wp14:editId="65B77542">
            <wp:extent cx="5613400" cy="3270885"/>
            <wp:effectExtent l="0" t="0" r="6350" b="5715"/>
            <wp:docPr id="4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3270885"/>
                    </a:xfrm>
                    <a:prstGeom prst="rect">
                      <a:avLst/>
                    </a:prstGeom>
                    <a:noFill/>
                    <a:extLst/>
                  </pic:spPr>
                </pic:pic>
              </a:graphicData>
            </a:graphic>
          </wp:inline>
        </w:drawing>
      </w:r>
    </w:p>
    <w:p w14:paraId="134042A4" w14:textId="77777777" w:rsidR="0057621D" w:rsidRPr="00506990" w:rsidRDefault="0057621D" w:rsidP="0057621D">
      <w:pPr>
        <w:rPr>
          <w:rFonts w:ascii="Times New Roman" w:hAnsi="Times New Roman" w:cs="Times New Roman"/>
          <w:b/>
          <w:noProof/>
          <w:color w:val="0D0D0D" w:themeColor="text1" w:themeTint="F2"/>
          <w:sz w:val="22"/>
          <w:szCs w:val="22"/>
          <w:lang w:val="es-AR" w:eastAsia="es-AR"/>
        </w:rPr>
      </w:pPr>
    </w:p>
    <w:p w14:paraId="23494E05" w14:textId="29D5D22C" w:rsidR="0057621D" w:rsidRPr="00506990" w:rsidRDefault="00901B41" w:rsidP="0057621D">
      <w:pPr>
        <w:rPr>
          <w:rFonts w:ascii="Times New Roman" w:hAnsi="Times New Roman" w:cs="Times New Roman"/>
          <w:b/>
          <w:noProof/>
          <w:color w:val="0D0D0D" w:themeColor="text1" w:themeTint="F2"/>
          <w:sz w:val="22"/>
          <w:szCs w:val="22"/>
          <w:u w:val="single"/>
          <w:lang w:val="es-AR" w:eastAsia="es-AR"/>
        </w:rPr>
      </w:pPr>
      <w:r w:rsidRPr="00506990">
        <w:rPr>
          <w:rFonts w:ascii="Times New Roman" w:hAnsi="Times New Roman" w:cs="Times New Roman"/>
          <w:b/>
          <w:noProof/>
          <w:color w:val="0D0D0D" w:themeColor="text1" w:themeTint="F2"/>
          <w:sz w:val="22"/>
          <w:szCs w:val="22"/>
          <w:u w:val="single"/>
          <w:lang w:val="es-AR" w:eastAsia="es-AR"/>
        </w:rPr>
        <w:t>Índices</w:t>
      </w:r>
    </w:p>
    <w:p w14:paraId="045B476B" w14:textId="523871E7" w:rsidR="002B48F2" w:rsidRPr="00506990" w:rsidRDefault="002B48F2" w:rsidP="00C516C3">
      <w:pPr>
        <w:pStyle w:val="Prrafodelista"/>
        <w:suppressLineNumbers/>
        <w:ind w:left="0"/>
        <w:rPr>
          <w:b/>
          <w:noProof/>
          <w:color w:val="0D0D0D" w:themeColor="text1" w:themeTint="F2"/>
          <w:sz w:val="22"/>
          <w:szCs w:val="22"/>
          <w:u w:val="single"/>
          <w:lang w:val="es-AR" w:eastAsia="es-AR"/>
        </w:rPr>
      </w:pPr>
    </w:p>
    <w:p w14:paraId="639B0426" w14:textId="77777777" w:rsidR="0026007C" w:rsidRPr="00506990" w:rsidRDefault="0026007C" w:rsidP="0057621D">
      <w:pPr>
        <w:rPr>
          <w:rFonts w:ascii="Times New Roman" w:hAnsi="Times New Roman" w:cs="Times New Roman"/>
          <w:b/>
          <w:noProof/>
          <w:color w:val="0D0D0D" w:themeColor="text1" w:themeTint="F2"/>
          <w:sz w:val="22"/>
          <w:szCs w:val="22"/>
          <w:lang w:val="es-AR" w:eastAsia="es-AR"/>
        </w:rPr>
      </w:pPr>
    </w:p>
    <w:p w14:paraId="4E42D162" w14:textId="42E266FD" w:rsidR="0057621D" w:rsidRPr="00506990" w:rsidRDefault="0057621D" w:rsidP="0057621D">
      <w:pPr>
        <w:rPr>
          <w:rFonts w:ascii="Times New Roman" w:hAnsi="Times New Roman" w:cs="Times New Roman"/>
          <w:b/>
          <w:noProof/>
          <w:color w:val="0D0D0D" w:themeColor="text1" w:themeTint="F2"/>
          <w:sz w:val="22"/>
          <w:szCs w:val="22"/>
          <w:lang w:val="es-AR" w:eastAsia="es-AR"/>
        </w:rPr>
      </w:pPr>
    </w:p>
    <w:p w14:paraId="66704869" w14:textId="77777777" w:rsidR="00594DD2" w:rsidRPr="00506990" w:rsidRDefault="00594DD2" w:rsidP="0057621D">
      <w:pPr>
        <w:rPr>
          <w:rFonts w:ascii="Times New Roman" w:hAnsi="Times New Roman" w:cs="Times New Roman"/>
          <w:b/>
          <w:noProof/>
          <w:color w:val="0D0D0D" w:themeColor="text1" w:themeTint="F2"/>
          <w:sz w:val="22"/>
          <w:szCs w:val="22"/>
          <w:lang w:val="es-AR" w:eastAsia="es-AR"/>
        </w:rPr>
      </w:pPr>
    </w:p>
    <w:p w14:paraId="20C81796" w14:textId="0342FDA4" w:rsidR="00594DD2" w:rsidRDefault="00594DD2" w:rsidP="0057621D">
      <w:pPr>
        <w:rPr>
          <w:rFonts w:ascii="Times New Roman" w:hAnsi="Times New Roman" w:cs="Times New Roman"/>
          <w:b/>
          <w:noProof/>
          <w:color w:val="0D0D0D" w:themeColor="text1" w:themeTint="F2"/>
          <w:sz w:val="22"/>
          <w:szCs w:val="22"/>
          <w:lang w:val="es-AR" w:eastAsia="es-AR"/>
        </w:rPr>
      </w:pPr>
    </w:p>
    <w:p w14:paraId="16C0E7E3" w14:textId="77777777" w:rsidR="00B709BB" w:rsidRDefault="00B709BB" w:rsidP="0057621D">
      <w:pPr>
        <w:rPr>
          <w:rFonts w:ascii="Times New Roman" w:hAnsi="Times New Roman" w:cs="Times New Roman"/>
          <w:b/>
          <w:noProof/>
          <w:color w:val="0D0D0D" w:themeColor="text1" w:themeTint="F2"/>
          <w:sz w:val="22"/>
          <w:szCs w:val="22"/>
          <w:lang w:val="es-AR" w:eastAsia="es-AR"/>
        </w:rPr>
      </w:pPr>
    </w:p>
    <w:p w14:paraId="10AEEC96" w14:textId="77777777" w:rsidR="00B709BB" w:rsidRPr="00506990" w:rsidRDefault="00B709BB" w:rsidP="0057621D">
      <w:pPr>
        <w:rPr>
          <w:rFonts w:ascii="Times New Roman" w:hAnsi="Times New Roman" w:cs="Times New Roman"/>
          <w:b/>
          <w:noProof/>
          <w:color w:val="0D0D0D" w:themeColor="text1" w:themeTint="F2"/>
          <w:sz w:val="22"/>
          <w:szCs w:val="22"/>
          <w:lang w:val="es-AR" w:eastAsia="es-AR"/>
        </w:rPr>
      </w:pPr>
    </w:p>
    <w:p w14:paraId="78E4597A" w14:textId="12C58F6F" w:rsidR="00781453" w:rsidRDefault="00B709BB" w:rsidP="0057621D">
      <w:pPr>
        <w:rPr>
          <w:rFonts w:ascii="Times New Roman" w:hAnsi="Times New Roman" w:cs="Times New Roman"/>
          <w:b/>
          <w:noProof/>
          <w:color w:val="0D0D0D" w:themeColor="text1" w:themeTint="F2"/>
          <w:sz w:val="22"/>
          <w:szCs w:val="22"/>
          <w:lang w:val="es-AR" w:eastAsia="es-AR"/>
        </w:rPr>
      </w:pPr>
      <w:r>
        <w:rPr>
          <w:noProof/>
          <w:lang w:val="es-AR" w:eastAsia="es-AR"/>
        </w:rPr>
        <w:drawing>
          <wp:inline distT="0" distB="0" distL="0" distR="0" wp14:anchorId="401C3FC6" wp14:editId="16C768BC">
            <wp:extent cx="4972794" cy="1140713"/>
            <wp:effectExtent l="0" t="0" r="0" b="254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2794" cy="11407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09AF56" w14:textId="77777777" w:rsidR="00B709BB" w:rsidRPr="00506990" w:rsidRDefault="00B709BB" w:rsidP="0057621D">
      <w:pPr>
        <w:rPr>
          <w:rFonts w:ascii="Times New Roman" w:hAnsi="Times New Roman" w:cs="Times New Roman"/>
          <w:b/>
          <w:noProof/>
          <w:color w:val="0D0D0D" w:themeColor="text1" w:themeTint="F2"/>
          <w:sz w:val="22"/>
          <w:szCs w:val="22"/>
          <w:lang w:val="es-AR" w:eastAsia="es-AR"/>
        </w:rPr>
      </w:pPr>
    </w:p>
    <w:p w14:paraId="5463AB79" w14:textId="19E6E740" w:rsidR="009F05CF" w:rsidRPr="00506990" w:rsidRDefault="009F05CF" w:rsidP="0057621D">
      <w:pPr>
        <w:rPr>
          <w:rFonts w:ascii="Times New Roman" w:hAnsi="Times New Roman" w:cs="Times New Roman"/>
          <w:noProof/>
          <w:color w:val="0D0D0D" w:themeColor="text1" w:themeTint="F2"/>
          <w:sz w:val="22"/>
          <w:szCs w:val="22"/>
          <w:lang w:val="es-AR" w:eastAsia="es-AR"/>
        </w:rPr>
      </w:pPr>
    </w:p>
    <w:p w14:paraId="73911F15" w14:textId="77777777" w:rsidR="00594DD2" w:rsidRPr="00506990" w:rsidRDefault="00594DD2" w:rsidP="00594DD2">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*Los EE.CC. del año fiscal 2019 se encuentran expresados en Moneda Homogénea.</w:t>
      </w:r>
    </w:p>
    <w:p w14:paraId="46D2F751" w14:textId="77777777" w:rsidR="00594DD2" w:rsidRPr="00506990" w:rsidRDefault="00594DD2" w:rsidP="0057621D">
      <w:pPr>
        <w:rPr>
          <w:rFonts w:ascii="Times New Roman" w:hAnsi="Times New Roman" w:cs="Times New Roman"/>
          <w:noProof/>
          <w:color w:val="0D0D0D" w:themeColor="text1" w:themeTint="F2"/>
          <w:sz w:val="22"/>
          <w:szCs w:val="22"/>
          <w:lang w:val="es-AR" w:eastAsia="es-AR"/>
        </w:rPr>
      </w:pPr>
    </w:p>
    <w:p w14:paraId="76E427C9" w14:textId="77777777" w:rsidR="000D7B9F" w:rsidRPr="00506990" w:rsidRDefault="000D7B9F" w:rsidP="0057621D">
      <w:pPr>
        <w:rPr>
          <w:rFonts w:ascii="Times New Roman" w:hAnsi="Times New Roman" w:cs="Times New Roman"/>
          <w:b/>
          <w:noProof/>
          <w:color w:val="0D0D0D" w:themeColor="text1" w:themeTint="F2"/>
          <w:sz w:val="22"/>
          <w:szCs w:val="22"/>
          <w:u w:val="single"/>
          <w:lang w:val="es-AR" w:eastAsia="es-AR"/>
        </w:rPr>
      </w:pPr>
    </w:p>
    <w:p w14:paraId="607F46AA" w14:textId="0922171F" w:rsidR="00F77E58" w:rsidRPr="00506990" w:rsidRDefault="00F77E58" w:rsidP="0057621D">
      <w:pPr>
        <w:rPr>
          <w:rFonts w:ascii="Times New Roman" w:hAnsi="Times New Roman" w:cs="Times New Roman"/>
          <w:b/>
          <w:noProof/>
          <w:color w:val="0D0D0D" w:themeColor="text1" w:themeTint="F2"/>
          <w:sz w:val="22"/>
          <w:szCs w:val="22"/>
          <w:u w:val="single"/>
          <w:lang w:val="es-AR" w:eastAsia="es-AR"/>
        </w:rPr>
      </w:pPr>
      <w:r w:rsidRPr="00506990">
        <w:rPr>
          <w:rFonts w:ascii="Times New Roman" w:hAnsi="Times New Roman" w:cs="Times New Roman"/>
          <w:b/>
          <w:noProof/>
          <w:color w:val="0D0D0D" w:themeColor="text1" w:themeTint="F2"/>
          <w:sz w:val="22"/>
          <w:szCs w:val="22"/>
          <w:u w:val="single"/>
          <w:lang w:val="es-AR" w:eastAsia="es-AR"/>
        </w:rPr>
        <w:t>PRINCIPALES RUBROS DE</w:t>
      </w:r>
      <w:r w:rsidR="00A017F9" w:rsidRPr="00506990">
        <w:rPr>
          <w:rFonts w:ascii="Times New Roman" w:hAnsi="Times New Roman" w:cs="Times New Roman"/>
          <w:b/>
          <w:noProof/>
          <w:color w:val="0D0D0D" w:themeColor="text1" w:themeTint="F2"/>
          <w:sz w:val="22"/>
          <w:szCs w:val="22"/>
          <w:u w:val="single"/>
          <w:lang w:val="es-AR" w:eastAsia="es-AR"/>
        </w:rPr>
        <w:t xml:space="preserve"> </w:t>
      </w:r>
      <w:r w:rsidRPr="00506990">
        <w:rPr>
          <w:rFonts w:ascii="Times New Roman" w:hAnsi="Times New Roman" w:cs="Times New Roman"/>
          <w:b/>
          <w:noProof/>
          <w:color w:val="0D0D0D" w:themeColor="text1" w:themeTint="F2"/>
          <w:sz w:val="22"/>
          <w:szCs w:val="22"/>
          <w:u w:val="single"/>
          <w:lang w:val="es-AR" w:eastAsia="es-AR"/>
        </w:rPr>
        <w:t>L</w:t>
      </w:r>
      <w:r w:rsidR="00A017F9" w:rsidRPr="00506990">
        <w:rPr>
          <w:rFonts w:ascii="Times New Roman" w:hAnsi="Times New Roman" w:cs="Times New Roman"/>
          <w:b/>
          <w:noProof/>
          <w:color w:val="0D0D0D" w:themeColor="text1" w:themeTint="F2"/>
          <w:sz w:val="22"/>
          <w:szCs w:val="22"/>
          <w:u w:val="single"/>
          <w:lang w:val="es-AR" w:eastAsia="es-AR"/>
        </w:rPr>
        <w:t>OS</w:t>
      </w:r>
      <w:r w:rsidRPr="00506990">
        <w:rPr>
          <w:rFonts w:ascii="Times New Roman" w:hAnsi="Times New Roman" w:cs="Times New Roman"/>
          <w:b/>
          <w:noProof/>
          <w:color w:val="0D0D0D" w:themeColor="text1" w:themeTint="F2"/>
          <w:sz w:val="22"/>
          <w:szCs w:val="22"/>
          <w:u w:val="single"/>
          <w:lang w:val="es-AR" w:eastAsia="es-AR"/>
        </w:rPr>
        <w:t xml:space="preserve"> ESTADO</w:t>
      </w:r>
      <w:r w:rsidR="00A017F9" w:rsidRPr="00506990">
        <w:rPr>
          <w:rFonts w:ascii="Times New Roman" w:hAnsi="Times New Roman" w:cs="Times New Roman"/>
          <w:b/>
          <w:noProof/>
          <w:color w:val="0D0D0D" w:themeColor="text1" w:themeTint="F2"/>
          <w:sz w:val="22"/>
          <w:szCs w:val="22"/>
          <w:u w:val="single"/>
          <w:lang w:val="es-AR" w:eastAsia="es-AR"/>
        </w:rPr>
        <w:t>S</w:t>
      </w:r>
      <w:r w:rsidRPr="00506990">
        <w:rPr>
          <w:rFonts w:ascii="Times New Roman" w:hAnsi="Times New Roman" w:cs="Times New Roman"/>
          <w:b/>
          <w:noProof/>
          <w:color w:val="0D0D0D" w:themeColor="text1" w:themeTint="F2"/>
          <w:sz w:val="22"/>
          <w:szCs w:val="22"/>
          <w:u w:val="single"/>
          <w:lang w:val="es-AR" w:eastAsia="es-AR"/>
        </w:rPr>
        <w:t xml:space="preserve"> </w:t>
      </w:r>
      <w:r w:rsidR="00A017F9" w:rsidRPr="00506990">
        <w:rPr>
          <w:rFonts w:ascii="Times New Roman" w:hAnsi="Times New Roman" w:cs="Times New Roman"/>
          <w:b/>
          <w:noProof/>
          <w:color w:val="0D0D0D" w:themeColor="text1" w:themeTint="F2"/>
          <w:sz w:val="22"/>
          <w:szCs w:val="22"/>
          <w:u w:val="single"/>
          <w:lang w:val="es-AR" w:eastAsia="es-AR"/>
        </w:rPr>
        <w:t>CONTABLES</w:t>
      </w:r>
    </w:p>
    <w:p w14:paraId="21A3E6B7" w14:textId="77777777" w:rsidR="00F77E58" w:rsidRPr="00506990" w:rsidRDefault="00F77E58" w:rsidP="0057621D">
      <w:pPr>
        <w:rPr>
          <w:rFonts w:ascii="Times New Roman" w:hAnsi="Times New Roman" w:cs="Times New Roman"/>
          <w:b/>
          <w:noProof/>
          <w:color w:val="0D0D0D" w:themeColor="text1" w:themeTint="F2"/>
          <w:sz w:val="22"/>
          <w:szCs w:val="22"/>
          <w:u w:val="single"/>
          <w:lang w:val="es-AR" w:eastAsia="es-AR"/>
        </w:rPr>
      </w:pPr>
    </w:p>
    <w:p w14:paraId="0A0BB7DC" w14:textId="3ADA4285" w:rsidR="00D877C1" w:rsidRPr="00506990" w:rsidRDefault="00D877C1" w:rsidP="00F77E58">
      <w:pPr>
        <w:rPr>
          <w:rFonts w:ascii="Times New Roman" w:hAnsi="Times New Roman" w:cs="Times New Roman"/>
          <w:noProof/>
          <w:color w:val="0D0D0D" w:themeColor="text1" w:themeTint="F2"/>
          <w:sz w:val="22"/>
          <w:szCs w:val="22"/>
          <w:lang w:val="es-AR" w:eastAsia="es-AR"/>
        </w:rPr>
      </w:pPr>
      <w:r w:rsidRPr="00506990">
        <w:rPr>
          <w:rFonts w:ascii="Times New Roman" w:hAnsi="Times New Roman" w:cs="Times New Roman"/>
          <w:b/>
          <w:noProof/>
          <w:color w:val="0D0D0D" w:themeColor="text1" w:themeTint="F2"/>
          <w:sz w:val="22"/>
          <w:szCs w:val="22"/>
          <w:lang w:val="es-AR" w:eastAsia="es-AR"/>
        </w:rPr>
        <w:t>Caja y Bancos</w:t>
      </w:r>
      <w:r w:rsidRPr="00506990">
        <w:rPr>
          <w:rFonts w:ascii="Times New Roman" w:hAnsi="Times New Roman" w:cs="Times New Roman"/>
          <w:noProof/>
          <w:color w:val="0D0D0D" w:themeColor="text1" w:themeTint="F2"/>
          <w:sz w:val="22"/>
          <w:szCs w:val="22"/>
          <w:lang w:val="es-AR" w:eastAsia="es-AR"/>
        </w:rPr>
        <w:t xml:space="preserve">: </w:t>
      </w:r>
    </w:p>
    <w:p w14:paraId="21236FA9" w14:textId="0A6D368D" w:rsidR="008C7104" w:rsidRPr="00506990" w:rsidRDefault="008C7104" w:rsidP="00F77E58">
      <w:pPr>
        <w:rPr>
          <w:rFonts w:ascii="Times New Roman" w:hAnsi="Times New Roman" w:cs="Times New Roman"/>
          <w:noProof/>
          <w:color w:val="0D0D0D" w:themeColor="text1" w:themeTint="F2"/>
          <w:sz w:val="22"/>
          <w:szCs w:val="22"/>
          <w:lang w:val="es-AR" w:eastAsia="es-AR"/>
        </w:rPr>
      </w:pPr>
      <w:r w:rsidRPr="00506990">
        <w:rPr>
          <w:rFonts w:ascii="Times New Roman" w:hAnsi="Times New Roman" w:cs="Times New Roman"/>
          <w:noProof/>
          <w:color w:val="0D0D0D" w:themeColor="text1" w:themeTint="F2"/>
          <w:sz w:val="22"/>
          <w:szCs w:val="22"/>
          <w:lang w:val="es-AR" w:eastAsia="es-AR"/>
        </w:rPr>
        <w:t xml:space="preserve">La </w:t>
      </w:r>
      <w:r w:rsidR="00C65E4E" w:rsidRPr="00506990">
        <w:rPr>
          <w:rFonts w:ascii="Times New Roman" w:hAnsi="Times New Roman" w:cs="Times New Roman"/>
          <w:noProof/>
          <w:color w:val="0D0D0D" w:themeColor="text1" w:themeTint="F2"/>
          <w:sz w:val="22"/>
          <w:szCs w:val="22"/>
          <w:lang w:val="es-AR" w:eastAsia="es-AR"/>
        </w:rPr>
        <w:t xml:space="preserve">mayor </w:t>
      </w:r>
      <w:r w:rsidRPr="00506990">
        <w:rPr>
          <w:rFonts w:ascii="Times New Roman" w:hAnsi="Times New Roman" w:cs="Times New Roman"/>
          <w:noProof/>
          <w:color w:val="0D0D0D" w:themeColor="text1" w:themeTint="F2"/>
          <w:sz w:val="22"/>
          <w:szCs w:val="22"/>
          <w:lang w:val="es-AR" w:eastAsia="es-AR"/>
        </w:rPr>
        <w:t xml:space="preserve">disminución </w:t>
      </w:r>
      <w:r w:rsidR="00C65E4E" w:rsidRPr="00506990">
        <w:rPr>
          <w:rFonts w:ascii="Times New Roman" w:hAnsi="Times New Roman" w:cs="Times New Roman"/>
          <w:noProof/>
          <w:color w:val="0D0D0D" w:themeColor="text1" w:themeTint="F2"/>
          <w:sz w:val="22"/>
          <w:szCs w:val="22"/>
          <w:lang w:val="es-AR" w:eastAsia="es-AR"/>
        </w:rPr>
        <w:t xml:space="preserve">se da en la línea “Valores a Depositar y Depósitos pendientes de acreditar”, lo que </w:t>
      </w:r>
      <w:r w:rsidRPr="00506990">
        <w:rPr>
          <w:rFonts w:ascii="Times New Roman" w:hAnsi="Times New Roman" w:cs="Times New Roman"/>
          <w:noProof/>
          <w:color w:val="0D0D0D" w:themeColor="text1" w:themeTint="F2"/>
          <w:sz w:val="22"/>
          <w:szCs w:val="22"/>
          <w:lang w:val="es-AR" w:eastAsia="es-AR"/>
        </w:rPr>
        <w:t>obedece principalmente a menor operatoria</w:t>
      </w:r>
      <w:r w:rsidR="00C65E4E" w:rsidRPr="00506990">
        <w:rPr>
          <w:rFonts w:ascii="Times New Roman" w:hAnsi="Times New Roman" w:cs="Times New Roman"/>
          <w:noProof/>
          <w:color w:val="0D0D0D" w:themeColor="text1" w:themeTint="F2"/>
          <w:sz w:val="22"/>
          <w:szCs w:val="22"/>
          <w:lang w:val="es-AR" w:eastAsia="es-AR"/>
        </w:rPr>
        <w:t xml:space="preserve">, </w:t>
      </w:r>
      <w:r w:rsidRPr="00506990">
        <w:rPr>
          <w:rFonts w:ascii="Times New Roman" w:hAnsi="Times New Roman" w:cs="Times New Roman"/>
          <w:noProof/>
          <w:color w:val="0D0D0D" w:themeColor="text1" w:themeTint="F2"/>
          <w:sz w:val="22"/>
          <w:szCs w:val="22"/>
          <w:lang w:val="es-AR" w:eastAsia="es-AR"/>
        </w:rPr>
        <w:t>respecto del año anterior</w:t>
      </w:r>
      <w:r w:rsidR="00C65E4E" w:rsidRPr="00506990">
        <w:rPr>
          <w:rFonts w:ascii="Times New Roman" w:hAnsi="Times New Roman" w:cs="Times New Roman"/>
          <w:noProof/>
          <w:color w:val="0D0D0D" w:themeColor="text1" w:themeTint="F2"/>
          <w:sz w:val="22"/>
          <w:szCs w:val="22"/>
          <w:lang w:val="es-AR" w:eastAsia="es-AR"/>
        </w:rPr>
        <w:t>, con tarjetas de crédito que nos abonan mediante entrega de valores diferidos.</w:t>
      </w:r>
      <w:r w:rsidRPr="00506990">
        <w:rPr>
          <w:rFonts w:ascii="Times New Roman" w:hAnsi="Times New Roman" w:cs="Times New Roman"/>
          <w:noProof/>
          <w:color w:val="0D0D0D" w:themeColor="text1" w:themeTint="F2"/>
          <w:sz w:val="22"/>
          <w:szCs w:val="22"/>
          <w:lang w:val="es-AR" w:eastAsia="es-AR"/>
        </w:rPr>
        <w:t>. También debe tenerse en cuenta que las cifras</w:t>
      </w:r>
      <w:r w:rsidR="00C65E4E" w:rsidRPr="00506990">
        <w:rPr>
          <w:rFonts w:ascii="Times New Roman" w:hAnsi="Times New Roman" w:cs="Times New Roman"/>
          <w:noProof/>
          <w:color w:val="0D0D0D" w:themeColor="text1" w:themeTint="F2"/>
          <w:sz w:val="22"/>
          <w:szCs w:val="22"/>
          <w:lang w:val="es-AR" w:eastAsia="es-AR"/>
        </w:rPr>
        <w:t xml:space="preserve"> comparativas</w:t>
      </w:r>
      <w:r w:rsidRPr="00506990">
        <w:rPr>
          <w:rFonts w:ascii="Times New Roman" w:hAnsi="Times New Roman" w:cs="Times New Roman"/>
          <w:noProof/>
          <w:color w:val="0D0D0D" w:themeColor="text1" w:themeTint="F2"/>
          <w:sz w:val="22"/>
          <w:szCs w:val="22"/>
          <w:lang w:val="es-AR" w:eastAsia="es-AR"/>
        </w:rPr>
        <w:t xml:space="preserve"> del año anterior están ajustadas por una inflación del 55%, con lo cuál la variación en términos nominales es menor a la que surge de comparar en términos reales.</w:t>
      </w:r>
    </w:p>
    <w:p w14:paraId="4B761901" w14:textId="77777777" w:rsidR="007038AC" w:rsidRPr="00506990" w:rsidRDefault="007038AC" w:rsidP="00F77E58">
      <w:pPr>
        <w:rPr>
          <w:rFonts w:ascii="Times New Roman" w:hAnsi="Times New Roman" w:cs="Times New Roman"/>
          <w:noProof/>
          <w:color w:val="0D0D0D" w:themeColor="text1" w:themeTint="F2"/>
          <w:sz w:val="22"/>
          <w:szCs w:val="22"/>
          <w:lang w:val="es-AR" w:eastAsia="es-AR"/>
        </w:rPr>
      </w:pPr>
    </w:p>
    <w:p w14:paraId="6F9E98AC" w14:textId="548A7025" w:rsidR="007038AC" w:rsidRPr="00506990" w:rsidRDefault="007038AC" w:rsidP="00F77E58">
      <w:pPr>
        <w:rPr>
          <w:rFonts w:ascii="Times New Roman" w:hAnsi="Times New Roman" w:cs="Times New Roman"/>
          <w:noProof/>
          <w:color w:val="0D0D0D" w:themeColor="text1" w:themeTint="F2"/>
          <w:sz w:val="22"/>
          <w:szCs w:val="22"/>
          <w:lang w:val="es-AR" w:eastAsia="es-AR"/>
        </w:rPr>
      </w:pPr>
      <w:r w:rsidRPr="00506990">
        <w:rPr>
          <w:rFonts w:ascii="Times New Roman" w:hAnsi="Times New Roman" w:cs="Times New Roman"/>
          <w:b/>
          <w:noProof/>
          <w:color w:val="0D0D0D" w:themeColor="text1" w:themeTint="F2"/>
          <w:sz w:val="22"/>
          <w:szCs w:val="22"/>
          <w:lang w:val="es-AR" w:eastAsia="es-AR"/>
        </w:rPr>
        <w:t xml:space="preserve">Otros Créditos (Corrientes): </w:t>
      </w:r>
    </w:p>
    <w:p w14:paraId="41C19195" w14:textId="27FDA7B8" w:rsidR="00A27434" w:rsidRPr="00506990" w:rsidRDefault="00A27434" w:rsidP="00F77E58">
      <w:pPr>
        <w:rPr>
          <w:rFonts w:ascii="Times New Roman" w:hAnsi="Times New Roman" w:cs="Times New Roman"/>
          <w:noProof/>
          <w:color w:val="0D0D0D" w:themeColor="text1" w:themeTint="F2"/>
          <w:sz w:val="22"/>
          <w:szCs w:val="22"/>
          <w:lang w:val="es-AR" w:eastAsia="es-AR"/>
        </w:rPr>
      </w:pPr>
      <w:r w:rsidRPr="00506990">
        <w:rPr>
          <w:rFonts w:ascii="Times New Roman" w:hAnsi="Times New Roman" w:cs="Times New Roman"/>
          <w:noProof/>
          <w:color w:val="0D0D0D" w:themeColor="text1" w:themeTint="F2"/>
          <w:sz w:val="22"/>
          <w:szCs w:val="22"/>
          <w:lang w:val="es-AR" w:eastAsia="es-AR"/>
        </w:rPr>
        <w:t>La fuerte caída en el saldo del rubro se</w:t>
      </w:r>
      <w:r w:rsidR="003E459B" w:rsidRPr="00506990">
        <w:rPr>
          <w:rFonts w:ascii="Times New Roman" w:hAnsi="Times New Roman" w:cs="Times New Roman"/>
          <w:noProof/>
          <w:color w:val="0D0D0D" w:themeColor="text1" w:themeTint="F2"/>
          <w:sz w:val="22"/>
          <w:szCs w:val="22"/>
          <w:lang w:val="es-AR" w:eastAsia="es-AR"/>
        </w:rPr>
        <w:t xml:space="preserve"> debe a que en Junio de 2018 había</w:t>
      </w:r>
      <w:r w:rsidRPr="00506990">
        <w:rPr>
          <w:rFonts w:ascii="Times New Roman" w:hAnsi="Times New Roman" w:cs="Times New Roman"/>
          <w:noProof/>
          <w:color w:val="0D0D0D" w:themeColor="text1" w:themeTint="F2"/>
          <w:sz w:val="22"/>
          <w:szCs w:val="22"/>
          <w:lang w:val="es-AR" w:eastAsia="es-AR"/>
        </w:rPr>
        <w:t xml:space="preserve"> $191,19 Millones a recibir en títulos del Confibono 46, por una operatoria de Pase Bursátil. Al cierre del presente ejercicio no había operaciones pendientes de este tipo, lo cuál explica la caída en el rubro.  A la fecha de cierre de ejercicio, </w:t>
      </w:r>
      <w:r w:rsidR="003E459B" w:rsidRPr="00506990">
        <w:rPr>
          <w:rFonts w:ascii="Times New Roman" w:hAnsi="Times New Roman" w:cs="Times New Roman"/>
          <w:noProof/>
          <w:color w:val="0D0D0D" w:themeColor="text1" w:themeTint="F2"/>
          <w:sz w:val="22"/>
          <w:szCs w:val="22"/>
          <w:lang w:val="es-AR" w:eastAsia="es-AR"/>
        </w:rPr>
        <w:t xml:space="preserve">se contaba con </w:t>
      </w:r>
      <w:r w:rsidRPr="00506990">
        <w:rPr>
          <w:rFonts w:ascii="Times New Roman" w:hAnsi="Times New Roman" w:cs="Times New Roman"/>
          <w:noProof/>
          <w:color w:val="0D0D0D" w:themeColor="text1" w:themeTint="F2"/>
          <w:sz w:val="22"/>
          <w:szCs w:val="22"/>
          <w:lang w:val="es-AR" w:eastAsia="es-AR"/>
        </w:rPr>
        <w:t xml:space="preserve">tenencias de títulos de los Confibonos 49,50 y 51, pero como ya </w:t>
      </w:r>
      <w:r w:rsidR="003E459B" w:rsidRPr="00506990">
        <w:rPr>
          <w:rFonts w:ascii="Times New Roman" w:hAnsi="Times New Roman" w:cs="Times New Roman"/>
          <w:noProof/>
          <w:color w:val="0D0D0D" w:themeColor="text1" w:themeTint="F2"/>
          <w:sz w:val="22"/>
          <w:szCs w:val="22"/>
          <w:lang w:val="es-AR" w:eastAsia="es-AR"/>
        </w:rPr>
        <w:t xml:space="preserve">estaban en </w:t>
      </w:r>
      <w:r w:rsidRPr="00506990">
        <w:rPr>
          <w:rFonts w:ascii="Times New Roman" w:hAnsi="Times New Roman" w:cs="Times New Roman"/>
          <w:noProof/>
          <w:color w:val="0D0D0D" w:themeColor="text1" w:themeTint="F2"/>
          <w:sz w:val="22"/>
          <w:szCs w:val="22"/>
          <w:lang w:val="es-AR" w:eastAsia="es-AR"/>
        </w:rPr>
        <w:t>poder</w:t>
      </w:r>
      <w:r w:rsidR="003E459B" w:rsidRPr="00506990">
        <w:rPr>
          <w:rFonts w:ascii="Times New Roman" w:hAnsi="Times New Roman" w:cs="Times New Roman"/>
          <w:noProof/>
          <w:color w:val="0D0D0D" w:themeColor="text1" w:themeTint="F2"/>
          <w:sz w:val="22"/>
          <w:szCs w:val="22"/>
          <w:lang w:val="es-AR" w:eastAsia="es-AR"/>
        </w:rPr>
        <w:t xml:space="preserve"> de la empresa</w:t>
      </w:r>
      <w:r w:rsidRPr="00506990">
        <w:rPr>
          <w:rFonts w:ascii="Times New Roman" w:hAnsi="Times New Roman" w:cs="Times New Roman"/>
          <w:noProof/>
          <w:color w:val="0D0D0D" w:themeColor="text1" w:themeTint="F2"/>
          <w:sz w:val="22"/>
          <w:szCs w:val="22"/>
          <w:lang w:val="es-AR" w:eastAsia="es-AR"/>
        </w:rPr>
        <w:t>, se expusieron en el rubro “Inversiones Temporarias”</w:t>
      </w:r>
    </w:p>
    <w:p w14:paraId="5AB1FF71" w14:textId="77777777" w:rsidR="007038AC" w:rsidRPr="00506990" w:rsidRDefault="007038AC" w:rsidP="00F77E58">
      <w:pPr>
        <w:rPr>
          <w:rFonts w:ascii="Times New Roman" w:hAnsi="Times New Roman" w:cs="Times New Roman"/>
          <w:noProof/>
          <w:color w:val="0D0D0D" w:themeColor="text1" w:themeTint="F2"/>
          <w:sz w:val="22"/>
          <w:szCs w:val="22"/>
          <w:lang w:val="es-AR" w:eastAsia="es-AR"/>
        </w:rPr>
      </w:pPr>
    </w:p>
    <w:p w14:paraId="0CAA1A13" w14:textId="5DFD0CE3" w:rsidR="007038AC" w:rsidRPr="00506990" w:rsidRDefault="007038AC" w:rsidP="00F77E58">
      <w:pPr>
        <w:rPr>
          <w:rFonts w:ascii="Times New Roman" w:hAnsi="Times New Roman" w:cs="Times New Roman"/>
          <w:noProof/>
          <w:color w:val="0D0D0D" w:themeColor="text1" w:themeTint="F2"/>
          <w:sz w:val="22"/>
          <w:szCs w:val="22"/>
          <w:lang w:val="es-AR" w:eastAsia="es-AR"/>
        </w:rPr>
      </w:pPr>
      <w:r w:rsidRPr="00506990">
        <w:rPr>
          <w:rFonts w:ascii="Times New Roman" w:hAnsi="Times New Roman" w:cs="Times New Roman"/>
          <w:b/>
          <w:noProof/>
          <w:color w:val="0D0D0D" w:themeColor="text1" w:themeTint="F2"/>
          <w:sz w:val="22"/>
          <w:szCs w:val="22"/>
          <w:lang w:val="es-AR" w:eastAsia="es-AR"/>
        </w:rPr>
        <w:t>Bienes de Uso:</w:t>
      </w:r>
      <w:r w:rsidRPr="00506990">
        <w:rPr>
          <w:rFonts w:ascii="Times New Roman" w:hAnsi="Times New Roman" w:cs="Times New Roman"/>
          <w:noProof/>
          <w:color w:val="0D0D0D" w:themeColor="text1" w:themeTint="F2"/>
          <w:sz w:val="22"/>
          <w:szCs w:val="22"/>
          <w:lang w:val="es-AR" w:eastAsia="es-AR"/>
        </w:rPr>
        <w:t xml:space="preserve"> </w:t>
      </w:r>
    </w:p>
    <w:p w14:paraId="292E0385" w14:textId="1EB2DECD" w:rsidR="00A27434" w:rsidRPr="00506990" w:rsidRDefault="00A27434" w:rsidP="00F77E58">
      <w:pPr>
        <w:rPr>
          <w:rFonts w:ascii="Times New Roman" w:hAnsi="Times New Roman" w:cs="Times New Roman"/>
          <w:noProof/>
          <w:color w:val="0D0D0D" w:themeColor="text1" w:themeTint="F2"/>
          <w:sz w:val="22"/>
          <w:szCs w:val="22"/>
          <w:lang w:val="es-AR" w:eastAsia="es-AR"/>
        </w:rPr>
      </w:pPr>
      <w:r w:rsidRPr="00506990">
        <w:rPr>
          <w:rFonts w:ascii="Times New Roman" w:hAnsi="Times New Roman" w:cs="Times New Roman"/>
          <w:noProof/>
          <w:color w:val="0D0D0D" w:themeColor="text1" w:themeTint="F2"/>
          <w:sz w:val="22"/>
          <w:szCs w:val="22"/>
          <w:lang w:val="es-AR" w:eastAsia="es-AR"/>
        </w:rPr>
        <w:t>El aumento que se observa en este rubro se debe al ajuste por inflación</w:t>
      </w:r>
      <w:r w:rsidR="000567E5" w:rsidRPr="00506990">
        <w:rPr>
          <w:rFonts w:ascii="Times New Roman" w:hAnsi="Times New Roman" w:cs="Times New Roman"/>
          <w:noProof/>
          <w:color w:val="0D0D0D" w:themeColor="text1" w:themeTint="F2"/>
          <w:sz w:val="22"/>
          <w:szCs w:val="22"/>
          <w:lang w:val="es-AR" w:eastAsia="es-AR"/>
        </w:rPr>
        <w:t>. Si la comparación se efectúa en términos reales , hay una disminución que se debe principalmente a haber reducido la aplicación de fondos hacia activos inmovilizados en función de haber priorizado el mantener líquida a la empresa ante el entorno fuertemente recesivo en el cuál se desenvolvió, lo cuál tiene correlato con una fuerte caída en el endeudamiento financiero.</w:t>
      </w:r>
    </w:p>
    <w:p w14:paraId="7E9928B8" w14:textId="77777777" w:rsidR="00D877C1" w:rsidRPr="00506990" w:rsidRDefault="00D877C1" w:rsidP="00F77E58">
      <w:pPr>
        <w:rPr>
          <w:rFonts w:ascii="Times New Roman" w:hAnsi="Times New Roman" w:cs="Times New Roman"/>
          <w:b/>
          <w:noProof/>
          <w:color w:val="0D0D0D" w:themeColor="text1" w:themeTint="F2"/>
          <w:sz w:val="22"/>
          <w:szCs w:val="22"/>
          <w:lang w:val="es-AR" w:eastAsia="es-AR"/>
        </w:rPr>
      </w:pPr>
    </w:p>
    <w:p w14:paraId="0748A8EF" w14:textId="6F8A6D70" w:rsidR="000567E5" w:rsidRPr="00C91547" w:rsidRDefault="00A017F9" w:rsidP="000567E5">
      <w:pPr>
        <w:rPr>
          <w:rFonts w:ascii="Times New Roman" w:hAnsi="Times New Roman" w:cs="Times New Roman"/>
          <w:noProof/>
          <w:sz w:val="22"/>
          <w:szCs w:val="22"/>
          <w:lang w:eastAsia="es-AR"/>
        </w:rPr>
      </w:pPr>
      <w:r w:rsidRPr="00506990">
        <w:rPr>
          <w:rFonts w:ascii="Times New Roman" w:hAnsi="Times New Roman" w:cs="Times New Roman"/>
          <w:b/>
          <w:noProof/>
          <w:color w:val="0D0D0D" w:themeColor="text1" w:themeTint="F2"/>
          <w:sz w:val="22"/>
          <w:szCs w:val="22"/>
          <w:lang w:eastAsia="es-AR"/>
        </w:rPr>
        <w:t>Deudas Financieras (Corrientes):</w:t>
      </w:r>
      <w:r w:rsidRPr="00506990">
        <w:rPr>
          <w:rFonts w:ascii="Times New Roman" w:hAnsi="Times New Roman" w:cs="Times New Roman"/>
          <w:noProof/>
          <w:color w:val="0D0D0D" w:themeColor="text1" w:themeTint="F2"/>
          <w:sz w:val="22"/>
          <w:szCs w:val="22"/>
          <w:lang w:eastAsia="es-AR"/>
        </w:rPr>
        <w:t xml:space="preserve"> </w:t>
      </w:r>
      <w:r w:rsidR="000567E5" w:rsidRPr="00506990">
        <w:rPr>
          <w:rFonts w:ascii="Times New Roman" w:hAnsi="Times New Roman" w:cs="Times New Roman"/>
          <w:noProof/>
          <w:color w:val="0D0D0D" w:themeColor="text1" w:themeTint="F2"/>
          <w:sz w:val="22"/>
          <w:szCs w:val="22"/>
          <w:lang w:eastAsia="es-AR"/>
        </w:rPr>
        <w:t xml:space="preserve">Vinculado al rubro anterior, </w:t>
      </w:r>
      <w:r w:rsidR="000567E5" w:rsidRPr="00C91547">
        <w:rPr>
          <w:rFonts w:ascii="Times New Roman" w:hAnsi="Times New Roman" w:cs="Times New Roman"/>
          <w:noProof/>
          <w:sz w:val="22"/>
          <w:szCs w:val="22"/>
          <w:lang w:eastAsia="es-AR"/>
        </w:rPr>
        <w:t xml:space="preserve">la disminución se vincula a la decisión  de reducir drásticamente el endeudamiento financiero para contener los gastos y mantener la empresa líquida. </w:t>
      </w:r>
    </w:p>
    <w:p w14:paraId="09859299" w14:textId="77777777" w:rsidR="000567E5" w:rsidRPr="00C91547" w:rsidRDefault="000567E5" w:rsidP="000567E5">
      <w:pPr>
        <w:rPr>
          <w:rFonts w:ascii="Times New Roman" w:hAnsi="Times New Roman" w:cs="Times New Roman"/>
          <w:noProof/>
          <w:sz w:val="22"/>
          <w:szCs w:val="22"/>
          <w:lang w:eastAsia="es-AR"/>
        </w:rPr>
      </w:pPr>
      <w:r w:rsidRPr="00C91547">
        <w:rPr>
          <w:rFonts w:ascii="Times New Roman" w:hAnsi="Times New Roman" w:cs="Times New Roman"/>
          <w:noProof/>
          <w:sz w:val="22"/>
          <w:szCs w:val="22"/>
          <w:lang w:eastAsia="es-AR"/>
        </w:rPr>
        <w:t xml:space="preserve">La deuda corresponde exclusivamente a leasing por la adquisisición de equipamiento. </w:t>
      </w:r>
    </w:p>
    <w:p w14:paraId="6ED7DBE1" w14:textId="77777777" w:rsidR="000567E5" w:rsidRPr="00506990" w:rsidRDefault="000567E5" w:rsidP="00A017F9">
      <w:pPr>
        <w:rPr>
          <w:rFonts w:ascii="Times New Roman" w:hAnsi="Times New Roman" w:cs="Times New Roman"/>
          <w:noProof/>
          <w:color w:val="0D0D0D" w:themeColor="text1" w:themeTint="F2"/>
          <w:sz w:val="22"/>
          <w:szCs w:val="22"/>
          <w:lang w:eastAsia="es-AR"/>
        </w:rPr>
      </w:pPr>
    </w:p>
    <w:p w14:paraId="7890D596" w14:textId="77777777" w:rsidR="00A017F9" w:rsidRPr="00506990" w:rsidRDefault="00A017F9" w:rsidP="00A017F9">
      <w:pPr>
        <w:rPr>
          <w:rFonts w:ascii="Times New Roman" w:hAnsi="Times New Roman" w:cs="Times New Roman"/>
          <w:noProof/>
          <w:color w:val="0D0D0D" w:themeColor="text1" w:themeTint="F2"/>
          <w:sz w:val="22"/>
          <w:szCs w:val="22"/>
          <w:lang w:eastAsia="es-AR"/>
        </w:rPr>
      </w:pPr>
    </w:p>
    <w:p w14:paraId="675EE6B5" w14:textId="56246D27" w:rsidR="00A017F9" w:rsidRPr="00506990" w:rsidRDefault="00A017F9" w:rsidP="00A017F9">
      <w:pPr>
        <w:rPr>
          <w:rFonts w:ascii="Times New Roman" w:hAnsi="Times New Roman" w:cs="Times New Roman"/>
          <w:noProof/>
          <w:color w:val="0D0D0D" w:themeColor="text1" w:themeTint="F2"/>
          <w:sz w:val="22"/>
          <w:szCs w:val="22"/>
          <w:lang w:eastAsia="es-AR"/>
        </w:rPr>
      </w:pPr>
      <w:r w:rsidRPr="00506990">
        <w:rPr>
          <w:rFonts w:ascii="Times New Roman" w:hAnsi="Times New Roman" w:cs="Times New Roman"/>
          <w:b/>
          <w:noProof/>
          <w:color w:val="0D0D0D" w:themeColor="text1" w:themeTint="F2"/>
          <w:sz w:val="22"/>
          <w:szCs w:val="22"/>
          <w:lang w:eastAsia="es-AR"/>
        </w:rPr>
        <w:t>Otras Deudas:</w:t>
      </w:r>
      <w:r w:rsidRPr="00506990">
        <w:rPr>
          <w:rFonts w:ascii="Times New Roman" w:eastAsia="Times New Roman" w:hAnsi="Times New Roman" w:cs="Times New Roman"/>
          <w:sz w:val="24"/>
          <w:szCs w:val="24"/>
          <w:lang w:val="es-AR" w:eastAsia="es-AR"/>
        </w:rPr>
        <w:t xml:space="preserve"> </w:t>
      </w:r>
      <w:r w:rsidRPr="00506990">
        <w:rPr>
          <w:rFonts w:ascii="Times New Roman" w:hAnsi="Times New Roman" w:cs="Times New Roman"/>
          <w:noProof/>
          <w:color w:val="0D0D0D" w:themeColor="text1" w:themeTint="F2"/>
          <w:sz w:val="22"/>
          <w:szCs w:val="22"/>
          <w:lang w:eastAsia="es-AR"/>
        </w:rPr>
        <w:t>aquí se muestran las deudas propias del giro del negocio con empresas relacionadas. Al cierre del EECC 201</w:t>
      </w:r>
      <w:r w:rsidR="000567E5" w:rsidRPr="00506990">
        <w:rPr>
          <w:rFonts w:ascii="Times New Roman" w:hAnsi="Times New Roman" w:cs="Times New Roman"/>
          <w:noProof/>
          <w:color w:val="0D0D0D" w:themeColor="text1" w:themeTint="F2"/>
          <w:sz w:val="22"/>
          <w:szCs w:val="22"/>
          <w:lang w:eastAsia="es-AR"/>
        </w:rPr>
        <w:t>9</w:t>
      </w:r>
      <w:r w:rsidRPr="00506990">
        <w:rPr>
          <w:rFonts w:ascii="Times New Roman" w:hAnsi="Times New Roman" w:cs="Times New Roman"/>
          <w:noProof/>
          <w:color w:val="0D0D0D" w:themeColor="text1" w:themeTint="F2"/>
          <w:sz w:val="22"/>
          <w:szCs w:val="22"/>
          <w:lang w:eastAsia="es-AR"/>
        </w:rPr>
        <w:t xml:space="preserve"> la deuda se registra en Bazar Avenida SA pero puede darse la situación inversa en el futuro.</w:t>
      </w:r>
      <w:r w:rsidR="000567E5" w:rsidRPr="00506990">
        <w:rPr>
          <w:rFonts w:ascii="Times New Roman" w:hAnsi="Times New Roman" w:cs="Times New Roman"/>
          <w:noProof/>
          <w:color w:val="0D0D0D" w:themeColor="text1" w:themeTint="F2"/>
          <w:sz w:val="22"/>
          <w:szCs w:val="22"/>
          <w:lang w:eastAsia="es-AR"/>
        </w:rPr>
        <w:t xml:space="preserve"> En términos reales disminuyó sensiblemente la posición deudora con firmas vinculadas.</w:t>
      </w:r>
    </w:p>
    <w:p w14:paraId="670DF3FA" w14:textId="77777777" w:rsidR="00A017F9" w:rsidRPr="00506990" w:rsidRDefault="00A017F9" w:rsidP="00F77E58">
      <w:pPr>
        <w:rPr>
          <w:rFonts w:ascii="Times New Roman" w:hAnsi="Times New Roman" w:cs="Times New Roman"/>
          <w:b/>
          <w:noProof/>
          <w:color w:val="0D0D0D" w:themeColor="text1" w:themeTint="F2"/>
          <w:sz w:val="22"/>
          <w:szCs w:val="22"/>
          <w:lang w:val="es-AR" w:eastAsia="es-AR"/>
        </w:rPr>
      </w:pPr>
    </w:p>
    <w:p w14:paraId="6352E516" w14:textId="77777777" w:rsidR="0065329F" w:rsidRPr="00506990" w:rsidRDefault="00F77E58" w:rsidP="00F77E58">
      <w:pPr>
        <w:rPr>
          <w:rFonts w:ascii="Times New Roman" w:hAnsi="Times New Roman" w:cs="Times New Roman"/>
          <w:noProof/>
          <w:color w:val="0D0D0D" w:themeColor="text1" w:themeTint="F2"/>
          <w:sz w:val="22"/>
          <w:szCs w:val="22"/>
          <w:lang w:val="es-AR" w:eastAsia="es-AR"/>
        </w:rPr>
      </w:pPr>
      <w:r w:rsidRPr="00506990">
        <w:rPr>
          <w:rFonts w:ascii="Times New Roman" w:hAnsi="Times New Roman" w:cs="Times New Roman"/>
          <w:b/>
          <w:noProof/>
          <w:color w:val="0D0D0D" w:themeColor="text1" w:themeTint="F2"/>
          <w:sz w:val="22"/>
          <w:szCs w:val="22"/>
          <w:lang w:val="es-AR" w:eastAsia="es-AR"/>
        </w:rPr>
        <w:t>Venta de Bienes:</w:t>
      </w:r>
      <w:r w:rsidRPr="00506990">
        <w:rPr>
          <w:rFonts w:ascii="Times New Roman" w:hAnsi="Times New Roman" w:cs="Times New Roman"/>
          <w:noProof/>
          <w:color w:val="0D0D0D" w:themeColor="text1" w:themeTint="F2"/>
          <w:sz w:val="22"/>
          <w:szCs w:val="22"/>
          <w:lang w:val="es-AR" w:eastAsia="es-AR"/>
        </w:rPr>
        <w:t xml:space="preserve"> Al tratarse de una compañía retail dedicada fundamentalmente a la comercialización de electrodomésticos, sus principales ingresos derivan de la venta de bienes. </w:t>
      </w:r>
    </w:p>
    <w:p w14:paraId="27874FCE" w14:textId="165B87AE" w:rsidR="0065329F" w:rsidRPr="00506990" w:rsidRDefault="0065329F" w:rsidP="0065329F">
      <w:pPr>
        <w:rPr>
          <w:rFonts w:ascii="Times New Roman" w:hAnsi="Times New Roman" w:cs="Times New Roman"/>
          <w:noProof/>
          <w:sz w:val="22"/>
          <w:szCs w:val="22"/>
          <w:lang w:val="es-AR" w:eastAsia="es-AR"/>
        </w:rPr>
      </w:pPr>
      <w:r w:rsidRPr="00506990">
        <w:rPr>
          <w:rFonts w:ascii="Times New Roman" w:hAnsi="Times New Roman" w:cs="Times New Roman"/>
          <w:noProof/>
          <w:sz w:val="22"/>
          <w:szCs w:val="22"/>
          <w:lang w:val="es-AR" w:eastAsia="es-AR"/>
        </w:rPr>
        <w:t xml:space="preserve">Dado que se trata del primer ejercicio en quince años donde </w:t>
      </w:r>
      <w:r w:rsidR="003E459B" w:rsidRPr="00506990">
        <w:rPr>
          <w:rFonts w:ascii="Times New Roman" w:hAnsi="Times New Roman" w:cs="Times New Roman"/>
          <w:noProof/>
          <w:sz w:val="22"/>
          <w:szCs w:val="22"/>
          <w:lang w:val="es-AR" w:eastAsia="es-AR"/>
        </w:rPr>
        <w:t>es</w:t>
      </w:r>
      <w:r w:rsidRPr="00506990">
        <w:rPr>
          <w:rFonts w:ascii="Times New Roman" w:hAnsi="Times New Roman" w:cs="Times New Roman"/>
          <w:noProof/>
          <w:sz w:val="22"/>
          <w:szCs w:val="22"/>
          <w:lang w:val="es-AR" w:eastAsia="es-AR"/>
        </w:rPr>
        <w:t xml:space="preserve"> retoma</w:t>
      </w:r>
      <w:r w:rsidR="003E459B" w:rsidRPr="00506990">
        <w:rPr>
          <w:rFonts w:ascii="Times New Roman" w:hAnsi="Times New Roman" w:cs="Times New Roman"/>
          <w:noProof/>
          <w:sz w:val="22"/>
          <w:szCs w:val="22"/>
          <w:lang w:val="es-AR" w:eastAsia="es-AR"/>
        </w:rPr>
        <w:t>do</w:t>
      </w:r>
      <w:r w:rsidRPr="00506990">
        <w:rPr>
          <w:rFonts w:ascii="Times New Roman" w:hAnsi="Times New Roman" w:cs="Times New Roman"/>
          <w:noProof/>
          <w:sz w:val="22"/>
          <w:szCs w:val="22"/>
          <w:lang w:val="es-AR" w:eastAsia="es-AR"/>
        </w:rPr>
        <w:t xml:space="preserve"> el ajuste contable por inflación, el Estado de Resultados no se</w:t>
      </w:r>
      <w:r w:rsidR="003E459B" w:rsidRPr="00506990">
        <w:rPr>
          <w:rFonts w:ascii="Times New Roman" w:hAnsi="Times New Roman" w:cs="Times New Roman"/>
          <w:noProof/>
          <w:sz w:val="22"/>
          <w:szCs w:val="22"/>
          <w:lang w:val="es-AR" w:eastAsia="es-AR"/>
        </w:rPr>
        <w:t xml:space="preserve"> presenta en forma comparativa </w:t>
      </w:r>
      <w:r w:rsidRPr="00506990">
        <w:rPr>
          <w:rFonts w:ascii="Times New Roman" w:hAnsi="Times New Roman" w:cs="Times New Roman"/>
          <w:noProof/>
          <w:sz w:val="22"/>
          <w:szCs w:val="22"/>
          <w:lang w:val="es-AR" w:eastAsia="es-AR"/>
        </w:rPr>
        <w:t>en virtud de la opción prevista por la Resuloción F.A.C.P.C.E. JG Nº 539/18, que para el primer ejercicio en que se retoma el ajuste por inflación habilita a no emitir Estado de Resultados de manera comparativa, ello en función de la fuerte dificultad que implica homogeneizar cifras de ambos ejercicios luego de no haberse practicado ajuste inflacionario durante un tiempo tan prolongado.</w:t>
      </w:r>
    </w:p>
    <w:p w14:paraId="0D0D549A" w14:textId="77777777" w:rsidR="0065329F" w:rsidRPr="00506990" w:rsidRDefault="0065329F" w:rsidP="0065329F">
      <w:pPr>
        <w:rPr>
          <w:rFonts w:ascii="Times New Roman" w:hAnsi="Times New Roman" w:cs="Times New Roman"/>
          <w:noProof/>
          <w:sz w:val="22"/>
          <w:szCs w:val="22"/>
          <w:lang w:val="es-AR" w:eastAsia="es-AR"/>
        </w:rPr>
      </w:pPr>
    </w:p>
    <w:p w14:paraId="5373455A" w14:textId="16DAD410" w:rsidR="0065329F" w:rsidRPr="00506990" w:rsidRDefault="003E459B" w:rsidP="0065329F">
      <w:pPr>
        <w:rPr>
          <w:rFonts w:ascii="Times New Roman" w:hAnsi="Times New Roman" w:cs="Times New Roman"/>
          <w:noProof/>
          <w:sz w:val="22"/>
          <w:szCs w:val="22"/>
          <w:lang w:val="es-AR" w:eastAsia="es-AR"/>
        </w:rPr>
      </w:pPr>
      <w:r w:rsidRPr="00506990">
        <w:rPr>
          <w:rFonts w:ascii="Times New Roman" w:hAnsi="Times New Roman" w:cs="Times New Roman"/>
          <w:noProof/>
          <w:sz w:val="22"/>
          <w:szCs w:val="22"/>
          <w:lang w:val="es-AR" w:eastAsia="es-AR"/>
        </w:rPr>
        <w:t xml:space="preserve">Por lo expuesto, </w:t>
      </w:r>
      <w:r w:rsidR="0065329F" w:rsidRPr="00506990">
        <w:rPr>
          <w:rFonts w:ascii="Times New Roman" w:hAnsi="Times New Roman" w:cs="Times New Roman"/>
          <w:noProof/>
          <w:sz w:val="22"/>
          <w:szCs w:val="22"/>
          <w:lang w:val="es-AR" w:eastAsia="es-AR"/>
        </w:rPr>
        <w:t xml:space="preserve">no se puede arribar a una cifra exacta de variación de las ventas en términos reales, las cuales sin duda son menores a las del ejercicio anterior. </w:t>
      </w:r>
    </w:p>
    <w:p w14:paraId="7ADCB8ED" w14:textId="77777777" w:rsidR="0065329F" w:rsidRPr="00506990" w:rsidRDefault="0065329F" w:rsidP="000F3859">
      <w:pPr>
        <w:rPr>
          <w:rFonts w:ascii="Times New Roman" w:hAnsi="Times New Roman" w:cs="Times New Roman"/>
          <w:noProof/>
          <w:color w:val="0D0D0D" w:themeColor="text1" w:themeTint="F2"/>
          <w:sz w:val="22"/>
          <w:szCs w:val="22"/>
          <w:lang w:val="es-AR" w:eastAsia="es-AR"/>
        </w:rPr>
      </w:pPr>
    </w:p>
    <w:p w14:paraId="0F0A14DC" w14:textId="71AFE4D7" w:rsidR="00CF1E0F" w:rsidRPr="00506990" w:rsidRDefault="00CF1E0F" w:rsidP="00D5206C">
      <w:pPr>
        <w:jc w:val="center"/>
        <w:rPr>
          <w:rFonts w:ascii="Times New Roman" w:hAnsi="Times New Roman" w:cs="Times New Roman"/>
          <w:b/>
          <w:noProof/>
          <w:color w:val="0D0D0D" w:themeColor="text1" w:themeTint="F2"/>
          <w:sz w:val="22"/>
          <w:szCs w:val="22"/>
          <w:lang w:val="es-AR" w:eastAsia="es-AR"/>
        </w:rPr>
      </w:pPr>
    </w:p>
    <w:p w14:paraId="009F5E25" w14:textId="0F4303AA" w:rsidR="009F05CF" w:rsidRPr="00506990" w:rsidRDefault="009F05CF" w:rsidP="00D5206C">
      <w:pPr>
        <w:jc w:val="center"/>
        <w:rPr>
          <w:rFonts w:ascii="Times New Roman" w:hAnsi="Times New Roman" w:cs="Times New Roman"/>
          <w:b/>
          <w:noProof/>
          <w:color w:val="0D0D0D" w:themeColor="text1" w:themeTint="F2"/>
          <w:sz w:val="22"/>
          <w:szCs w:val="22"/>
          <w:lang w:eastAsia="es-AR"/>
        </w:rPr>
      </w:pPr>
    </w:p>
    <w:p w14:paraId="7A653195" w14:textId="77777777" w:rsidR="009F05CF" w:rsidRPr="00506990" w:rsidRDefault="009F05CF" w:rsidP="00D5206C">
      <w:pPr>
        <w:jc w:val="center"/>
        <w:rPr>
          <w:rFonts w:ascii="Times New Roman" w:hAnsi="Times New Roman" w:cs="Times New Roman"/>
          <w:b/>
          <w:noProof/>
          <w:color w:val="0D0D0D" w:themeColor="text1" w:themeTint="F2"/>
          <w:sz w:val="22"/>
          <w:szCs w:val="22"/>
          <w:lang w:eastAsia="es-AR"/>
        </w:rPr>
      </w:pPr>
    </w:p>
    <w:p w14:paraId="10CEF1E0" w14:textId="31439464" w:rsidR="00CF1E0F" w:rsidRPr="00506990" w:rsidRDefault="00CF1E0F" w:rsidP="0057621D">
      <w:pPr>
        <w:rPr>
          <w:rFonts w:ascii="Times New Roman" w:hAnsi="Times New Roman" w:cs="Times New Roman"/>
          <w:b/>
          <w:noProof/>
          <w:color w:val="0D0D0D" w:themeColor="text1" w:themeTint="F2"/>
          <w:sz w:val="22"/>
          <w:szCs w:val="22"/>
          <w:lang w:eastAsia="es-AR"/>
        </w:rPr>
      </w:pPr>
    </w:p>
    <w:p w14:paraId="7A4B405A" w14:textId="7D1E3D04" w:rsidR="00F77E58" w:rsidRPr="00506990" w:rsidRDefault="00F77E58" w:rsidP="0057621D">
      <w:pPr>
        <w:rPr>
          <w:rFonts w:ascii="Times New Roman" w:hAnsi="Times New Roman" w:cs="Times New Roman"/>
          <w:noProof/>
          <w:color w:val="0D0D0D" w:themeColor="text1" w:themeTint="F2"/>
          <w:sz w:val="22"/>
          <w:szCs w:val="22"/>
          <w:lang w:eastAsia="es-AR"/>
        </w:rPr>
      </w:pPr>
      <w:r w:rsidRPr="00506990">
        <w:rPr>
          <w:rFonts w:ascii="Times New Roman" w:hAnsi="Times New Roman" w:cs="Times New Roman"/>
          <w:b/>
          <w:noProof/>
          <w:color w:val="0D0D0D" w:themeColor="text1" w:themeTint="F2"/>
          <w:sz w:val="22"/>
          <w:szCs w:val="22"/>
          <w:lang w:eastAsia="es-AR"/>
        </w:rPr>
        <w:t>Costos de los bienes vendidos:</w:t>
      </w:r>
      <w:r w:rsidRPr="00506990">
        <w:rPr>
          <w:rFonts w:ascii="Times New Roman" w:hAnsi="Times New Roman" w:cs="Times New Roman"/>
          <w:noProof/>
          <w:color w:val="0D0D0D" w:themeColor="text1" w:themeTint="F2"/>
          <w:sz w:val="22"/>
          <w:szCs w:val="22"/>
          <w:lang w:eastAsia="es-AR"/>
        </w:rPr>
        <w:t xml:space="preserve"> </w:t>
      </w:r>
    </w:p>
    <w:p w14:paraId="21412397" w14:textId="090303C8" w:rsidR="0065329F" w:rsidRPr="00506990" w:rsidRDefault="0065329F" w:rsidP="0065329F">
      <w:pPr>
        <w:rPr>
          <w:rFonts w:ascii="Times New Roman" w:hAnsi="Times New Roman" w:cs="Times New Roman"/>
          <w:noProof/>
          <w:sz w:val="22"/>
          <w:szCs w:val="22"/>
          <w:lang w:eastAsia="es-AR"/>
        </w:rPr>
      </w:pPr>
      <w:r w:rsidRPr="00506990">
        <w:rPr>
          <w:rFonts w:ascii="Times New Roman" w:hAnsi="Times New Roman" w:cs="Times New Roman"/>
          <w:noProof/>
          <w:sz w:val="22"/>
          <w:szCs w:val="22"/>
          <w:lang w:eastAsia="es-AR"/>
        </w:rPr>
        <w:t>Nuevamente, por lo explicado en las ventas, el pequeño aumento se da comparando en términos nominales, ya que no se presentan cifras del resultado del ejercicio anterior en términos reales. Esto permite inferir que si la comparación se hiciera en moneda homogénea, el costo de los bienes vendidos sería sensiblemente inferior.</w:t>
      </w:r>
    </w:p>
    <w:p w14:paraId="13A126CC" w14:textId="77777777" w:rsidR="0065329F" w:rsidRPr="00506990" w:rsidRDefault="0065329F" w:rsidP="0057621D">
      <w:pPr>
        <w:rPr>
          <w:rFonts w:ascii="Times New Roman" w:hAnsi="Times New Roman" w:cs="Times New Roman"/>
          <w:noProof/>
          <w:color w:val="0D0D0D" w:themeColor="text1" w:themeTint="F2"/>
          <w:sz w:val="22"/>
          <w:szCs w:val="22"/>
          <w:lang w:eastAsia="es-AR"/>
        </w:rPr>
      </w:pPr>
    </w:p>
    <w:p w14:paraId="5C08F863" w14:textId="3EEB2C6D" w:rsidR="000D6FBA" w:rsidRPr="00506990" w:rsidRDefault="000D6FBA" w:rsidP="000D6FBA">
      <w:pPr>
        <w:rPr>
          <w:rFonts w:ascii="Times New Roman" w:hAnsi="Times New Roman" w:cs="Times New Roman"/>
          <w:noProof/>
          <w:color w:val="0D0D0D" w:themeColor="text1" w:themeTint="F2"/>
          <w:sz w:val="22"/>
          <w:szCs w:val="22"/>
          <w:u w:val="single"/>
          <w:lang w:eastAsia="es-AR"/>
        </w:rPr>
      </w:pPr>
    </w:p>
    <w:p w14:paraId="25DD390D" w14:textId="3FA2B0B5" w:rsidR="00F77E58" w:rsidRPr="00C91547" w:rsidRDefault="00F77E58" w:rsidP="000D6FBA">
      <w:pPr>
        <w:rPr>
          <w:rFonts w:ascii="Times New Roman" w:hAnsi="Times New Roman" w:cs="Times New Roman"/>
          <w:noProof/>
          <w:sz w:val="22"/>
          <w:szCs w:val="22"/>
          <w:lang w:val="es-AR" w:eastAsia="es-AR"/>
        </w:rPr>
      </w:pPr>
      <w:r w:rsidRPr="00506990">
        <w:rPr>
          <w:rFonts w:ascii="Times New Roman" w:hAnsi="Times New Roman" w:cs="Times New Roman"/>
          <w:b/>
          <w:noProof/>
          <w:color w:val="0D0D0D" w:themeColor="text1" w:themeTint="F2"/>
          <w:sz w:val="22"/>
          <w:szCs w:val="22"/>
          <w:lang w:eastAsia="es-AR"/>
        </w:rPr>
        <w:t>Gastos de Comercialización:</w:t>
      </w:r>
      <w:r w:rsidRPr="00506990">
        <w:rPr>
          <w:rFonts w:ascii="Times New Roman" w:hAnsi="Times New Roman" w:cs="Times New Roman"/>
          <w:noProof/>
          <w:color w:val="0D0D0D" w:themeColor="text1" w:themeTint="F2"/>
          <w:sz w:val="22"/>
          <w:szCs w:val="22"/>
          <w:lang w:eastAsia="es-AR"/>
        </w:rPr>
        <w:t xml:space="preserve"> Las principales cuentas que se pueden identificar dentro de este rubro lo constituyen los sueldos y cargas sociales, los impuestos, tasas y contribuciones, los gastos en publicidad y propaganda y los alquileres</w:t>
      </w:r>
      <w:r w:rsidRPr="00C91547">
        <w:rPr>
          <w:rFonts w:ascii="Times New Roman" w:hAnsi="Times New Roman" w:cs="Times New Roman"/>
          <w:noProof/>
          <w:sz w:val="22"/>
          <w:szCs w:val="22"/>
          <w:lang w:eastAsia="es-AR"/>
        </w:rPr>
        <w:t xml:space="preserve">. </w:t>
      </w:r>
      <w:r w:rsidR="003E459B" w:rsidRPr="00C91547">
        <w:rPr>
          <w:rFonts w:ascii="Times New Roman" w:hAnsi="Times New Roman" w:cs="Times New Roman"/>
          <w:noProof/>
          <w:sz w:val="22"/>
          <w:szCs w:val="22"/>
          <w:lang w:val="es-AR" w:eastAsia="es-AR"/>
        </w:rPr>
        <w:t>Si se comparan</w:t>
      </w:r>
      <w:r w:rsidR="0065329F" w:rsidRPr="00C91547">
        <w:rPr>
          <w:rFonts w:ascii="Times New Roman" w:hAnsi="Times New Roman" w:cs="Times New Roman"/>
          <w:noProof/>
          <w:sz w:val="22"/>
          <w:szCs w:val="22"/>
          <w:lang w:val="es-AR" w:eastAsia="es-AR"/>
        </w:rPr>
        <w:t xml:space="preserve"> los gastos del ejercicio 2019 ajustados por inflación vs los mismos gastos del balance 2018 la evolución estuvo por debajo del 55% de inflación que hubo en el ejercicio. Es una muestra clara de la baja importante de los gastos en terminos reales.</w:t>
      </w:r>
    </w:p>
    <w:p w14:paraId="253D7120" w14:textId="77777777" w:rsidR="0065329F" w:rsidRPr="00506990" w:rsidRDefault="0065329F" w:rsidP="000D6FBA">
      <w:pPr>
        <w:rPr>
          <w:rFonts w:ascii="Times New Roman" w:hAnsi="Times New Roman" w:cs="Times New Roman"/>
          <w:noProof/>
          <w:color w:val="0D0D0D" w:themeColor="text1" w:themeTint="F2"/>
          <w:sz w:val="22"/>
          <w:szCs w:val="22"/>
          <w:lang w:eastAsia="es-AR"/>
        </w:rPr>
      </w:pPr>
    </w:p>
    <w:p w14:paraId="32E263E5" w14:textId="1DF9E2B9" w:rsidR="00F77E58" w:rsidRPr="00506990" w:rsidRDefault="00F77E58" w:rsidP="000D6FBA">
      <w:pPr>
        <w:rPr>
          <w:rFonts w:ascii="Times New Roman" w:hAnsi="Times New Roman" w:cs="Times New Roman"/>
          <w:noProof/>
          <w:color w:val="0D0D0D" w:themeColor="text1" w:themeTint="F2"/>
          <w:sz w:val="22"/>
          <w:szCs w:val="22"/>
          <w:lang w:eastAsia="es-AR"/>
        </w:rPr>
      </w:pPr>
      <w:r w:rsidRPr="00506990">
        <w:rPr>
          <w:rFonts w:ascii="Times New Roman" w:hAnsi="Times New Roman" w:cs="Times New Roman"/>
          <w:b/>
          <w:noProof/>
          <w:color w:val="0D0D0D" w:themeColor="text1" w:themeTint="F2"/>
          <w:sz w:val="22"/>
          <w:szCs w:val="22"/>
          <w:lang w:eastAsia="es-AR"/>
        </w:rPr>
        <w:t>Resultados financieros y por tenencia – Generados por activos:</w:t>
      </w:r>
      <w:r w:rsidRPr="00506990">
        <w:rPr>
          <w:rFonts w:ascii="Times New Roman" w:hAnsi="Times New Roman" w:cs="Times New Roman"/>
          <w:noProof/>
          <w:color w:val="0D0D0D" w:themeColor="text1" w:themeTint="F2"/>
          <w:sz w:val="22"/>
          <w:szCs w:val="22"/>
          <w:lang w:eastAsia="es-AR"/>
        </w:rPr>
        <w:t xml:space="preserve"> Los Resultados financieros y por tenencia – Generados por activos constituyen un importante rubro en el Estado de Resultados de la compañía, el cual se compone principalmente de los ingresos derivados de la financiación otorgada a los clientes (importante rama de actividad de la compañía</w:t>
      </w:r>
      <w:r w:rsidR="0065329F" w:rsidRPr="00506990">
        <w:rPr>
          <w:rFonts w:ascii="Times New Roman" w:hAnsi="Times New Roman" w:cs="Times New Roman"/>
          <w:noProof/>
          <w:color w:val="0D0D0D" w:themeColor="text1" w:themeTint="F2"/>
          <w:sz w:val="22"/>
          <w:szCs w:val="22"/>
          <w:lang w:eastAsia="es-AR"/>
        </w:rPr>
        <w:t>)</w:t>
      </w:r>
      <w:r w:rsidR="00EF3D16" w:rsidRPr="00506990">
        <w:rPr>
          <w:rFonts w:ascii="Times New Roman" w:hAnsi="Times New Roman" w:cs="Times New Roman"/>
          <w:noProof/>
          <w:color w:val="0D0D0D" w:themeColor="text1" w:themeTint="F2"/>
          <w:sz w:val="22"/>
          <w:szCs w:val="22"/>
          <w:lang w:eastAsia="es-AR"/>
        </w:rPr>
        <w:t xml:space="preserve"> </w:t>
      </w:r>
    </w:p>
    <w:p w14:paraId="0CA43368" w14:textId="7FA3892F" w:rsidR="0065329F" w:rsidRPr="00506990" w:rsidRDefault="0065329F" w:rsidP="0065329F">
      <w:pPr>
        <w:rPr>
          <w:rFonts w:ascii="Times New Roman" w:hAnsi="Times New Roman" w:cs="Times New Roman"/>
          <w:noProof/>
          <w:sz w:val="22"/>
          <w:szCs w:val="22"/>
          <w:lang w:eastAsia="es-AR"/>
        </w:rPr>
      </w:pPr>
      <w:r w:rsidRPr="00506990">
        <w:rPr>
          <w:rFonts w:ascii="Times New Roman" w:hAnsi="Times New Roman" w:cs="Times New Roman"/>
          <w:noProof/>
          <w:sz w:val="22"/>
          <w:szCs w:val="22"/>
          <w:lang w:val="es-AR" w:eastAsia="es-AR"/>
        </w:rPr>
        <w:t>El fuerte incremento en el valor de reposición de los bienes de cambio, influenciado en gran medida por el proceso inflacionario, (lo cual se visualiza en la línea “Resultado Tenencia Bienes de Cambio”) explica el aumento de este rubro. Resulta importante aclarar aquí que gran parte de ese mayor valor luego impacta como gasto en la línea “Costo de los Bienes Vendidos”</w:t>
      </w:r>
    </w:p>
    <w:p w14:paraId="4007F73A" w14:textId="77777777" w:rsidR="0065329F" w:rsidRPr="00506990" w:rsidRDefault="0065329F" w:rsidP="000D6FBA">
      <w:pPr>
        <w:rPr>
          <w:rFonts w:ascii="Times New Roman" w:hAnsi="Times New Roman" w:cs="Times New Roman"/>
          <w:noProof/>
          <w:color w:val="0D0D0D" w:themeColor="text1" w:themeTint="F2"/>
          <w:sz w:val="22"/>
          <w:szCs w:val="22"/>
          <w:lang w:eastAsia="es-AR"/>
        </w:rPr>
      </w:pPr>
    </w:p>
    <w:p w14:paraId="106D68FA" w14:textId="77777777" w:rsidR="00A017F9" w:rsidRPr="00506990" w:rsidRDefault="00A017F9" w:rsidP="000D6FBA">
      <w:pPr>
        <w:rPr>
          <w:rFonts w:ascii="Times New Roman" w:hAnsi="Times New Roman" w:cs="Times New Roman"/>
          <w:b/>
          <w:noProof/>
          <w:color w:val="0D0D0D" w:themeColor="text1" w:themeTint="F2"/>
          <w:sz w:val="22"/>
          <w:szCs w:val="22"/>
          <w:lang w:eastAsia="es-AR"/>
        </w:rPr>
      </w:pPr>
    </w:p>
    <w:p w14:paraId="4E2EE973" w14:textId="2DEE66EB" w:rsidR="004D57F1" w:rsidRPr="00506990" w:rsidRDefault="00F77E58" w:rsidP="000D6FBA">
      <w:pPr>
        <w:rPr>
          <w:rFonts w:ascii="Times New Roman" w:hAnsi="Times New Roman" w:cs="Times New Roman"/>
          <w:noProof/>
          <w:color w:val="0D0D0D" w:themeColor="text1" w:themeTint="F2"/>
          <w:sz w:val="22"/>
          <w:szCs w:val="22"/>
          <w:lang w:eastAsia="es-AR"/>
        </w:rPr>
      </w:pPr>
      <w:r w:rsidRPr="00506990">
        <w:rPr>
          <w:rFonts w:ascii="Times New Roman" w:hAnsi="Times New Roman" w:cs="Times New Roman"/>
          <w:b/>
          <w:noProof/>
          <w:color w:val="0D0D0D" w:themeColor="text1" w:themeTint="F2"/>
          <w:sz w:val="22"/>
          <w:szCs w:val="22"/>
          <w:lang w:eastAsia="es-AR"/>
        </w:rPr>
        <w:t>Otros ingresos y egresos:</w:t>
      </w:r>
      <w:r w:rsidRPr="00506990">
        <w:rPr>
          <w:rFonts w:ascii="Times New Roman" w:hAnsi="Times New Roman" w:cs="Times New Roman"/>
          <w:noProof/>
          <w:color w:val="0D0D0D" w:themeColor="text1" w:themeTint="F2"/>
          <w:sz w:val="22"/>
          <w:szCs w:val="22"/>
          <w:lang w:eastAsia="es-AR"/>
        </w:rPr>
        <w:t xml:space="preserve"> Dentro de este rubro se incluyen principalmente los recuperos de gastos.</w:t>
      </w:r>
      <w:r w:rsidR="00EF3D16" w:rsidRPr="00506990">
        <w:rPr>
          <w:rFonts w:ascii="Times New Roman" w:hAnsi="Times New Roman" w:cs="Times New Roman"/>
          <w:noProof/>
          <w:color w:val="0D0D0D" w:themeColor="text1" w:themeTint="F2"/>
          <w:sz w:val="22"/>
          <w:szCs w:val="22"/>
          <w:lang w:eastAsia="es-AR"/>
        </w:rPr>
        <w:t xml:space="preserve"> Para el ejercicio 2018, el nivel de recupero se vio impactado por los recuperos de gastos en publicidad y fletes dado el aumento a través del canal digital</w:t>
      </w:r>
    </w:p>
    <w:p w14:paraId="74DEDF3E" w14:textId="2DEF177E" w:rsidR="00F77E58" w:rsidRPr="00506990" w:rsidRDefault="004D57F1" w:rsidP="000D6FBA">
      <w:pPr>
        <w:rPr>
          <w:rFonts w:ascii="Times New Roman" w:hAnsi="Times New Roman" w:cs="Times New Roman"/>
          <w:noProof/>
          <w:color w:val="0D0D0D" w:themeColor="text1" w:themeTint="F2"/>
          <w:sz w:val="22"/>
          <w:szCs w:val="22"/>
          <w:lang w:eastAsia="es-AR"/>
        </w:rPr>
      </w:pPr>
      <w:r w:rsidRPr="00506990">
        <w:rPr>
          <w:rFonts w:ascii="Times New Roman" w:hAnsi="Times New Roman" w:cs="Times New Roman"/>
          <w:noProof/>
          <w:color w:val="0D0D0D" w:themeColor="text1" w:themeTint="F2"/>
          <w:sz w:val="22"/>
          <w:szCs w:val="22"/>
          <w:lang w:eastAsia="es-AR"/>
        </w:rPr>
        <w:t>En el ejercicio 2019 hubo una mejora en el recupero de Gastos Administrativos, que a su vez contribuyeron al recupero de créditos en mora.</w:t>
      </w:r>
    </w:p>
    <w:p w14:paraId="3A171BCB" w14:textId="77777777" w:rsidR="007038AC" w:rsidRPr="00506990" w:rsidRDefault="007038AC" w:rsidP="000D6FBA">
      <w:pPr>
        <w:rPr>
          <w:rFonts w:ascii="Times New Roman" w:hAnsi="Times New Roman" w:cs="Times New Roman"/>
          <w:noProof/>
          <w:color w:val="0D0D0D" w:themeColor="text1" w:themeTint="F2"/>
          <w:sz w:val="22"/>
          <w:szCs w:val="22"/>
          <w:lang w:eastAsia="es-AR"/>
        </w:rPr>
      </w:pPr>
    </w:p>
    <w:p w14:paraId="23921B2E" w14:textId="77777777" w:rsidR="007038AC" w:rsidRPr="00506990" w:rsidRDefault="007038AC" w:rsidP="000D6FBA">
      <w:pPr>
        <w:rPr>
          <w:rFonts w:ascii="Times New Roman" w:hAnsi="Times New Roman" w:cs="Times New Roman"/>
          <w:noProof/>
          <w:color w:val="0D0D0D" w:themeColor="text1" w:themeTint="F2"/>
          <w:sz w:val="22"/>
          <w:szCs w:val="22"/>
          <w:lang w:eastAsia="es-AR"/>
        </w:rPr>
      </w:pPr>
    </w:p>
    <w:p w14:paraId="33F0A525" w14:textId="77777777" w:rsidR="00F77E58" w:rsidRPr="00506990" w:rsidRDefault="00F77E58" w:rsidP="000D6FBA">
      <w:pPr>
        <w:rPr>
          <w:rFonts w:ascii="Times New Roman" w:hAnsi="Times New Roman" w:cs="Times New Roman"/>
          <w:noProof/>
          <w:color w:val="0D0D0D" w:themeColor="text1" w:themeTint="F2"/>
          <w:sz w:val="22"/>
          <w:szCs w:val="22"/>
          <w:u w:val="single"/>
          <w:lang w:eastAsia="es-AR"/>
        </w:rPr>
      </w:pPr>
    </w:p>
    <w:p w14:paraId="1F8CD9AB" w14:textId="4865199C" w:rsidR="004F43F0" w:rsidRPr="00506990" w:rsidRDefault="003C769E" w:rsidP="00B65A6E">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CARTERA DE CRÉDITOS DE</w:t>
      </w:r>
      <w:r w:rsidR="00CC479E" w:rsidRPr="00506990">
        <w:rPr>
          <w:rFonts w:ascii="Times New Roman" w:hAnsi="Times New Roman" w:cs="Times New Roman"/>
          <w:b/>
          <w:bCs/>
          <w:iCs/>
          <w:color w:val="0D0D0D" w:themeColor="text1" w:themeTint="F2"/>
          <w:sz w:val="22"/>
          <w:szCs w:val="22"/>
          <w:lang w:val="es-AR"/>
        </w:rPr>
        <w:t xml:space="preserve"> BAZAR AVENIDA S.A.</w:t>
      </w:r>
    </w:p>
    <w:p w14:paraId="515B452F" w14:textId="5C0C7425" w:rsidR="009C0365" w:rsidRPr="00506990" w:rsidRDefault="009C0365" w:rsidP="009C0365">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w:t>
      </w:r>
    </w:p>
    <w:p w14:paraId="58B6DA32" w14:textId="7ABEF8BE" w:rsidR="00FE2DFF" w:rsidRDefault="00530F10">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xml:space="preserve">(Información al </w:t>
      </w:r>
      <w:r w:rsidR="00CC7602" w:rsidRPr="00506990">
        <w:rPr>
          <w:rFonts w:ascii="Times New Roman" w:hAnsi="Times New Roman" w:cs="Times New Roman"/>
          <w:bCs/>
          <w:iCs/>
          <w:color w:val="0D0D0D" w:themeColor="text1" w:themeTint="F2"/>
          <w:sz w:val="22"/>
          <w:szCs w:val="22"/>
          <w:lang w:val="es-AR"/>
        </w:rPr>
        <w:t>3</w:t>
      </w:r>
      <w:r w:rsidR="00D66F1A">
        <w:rPr>
          <w:rFonts w:ascii="Times New Roman" w:hAnsi="Times New Roman" w:cs="Times New Roman"/>
          <w:bCs/>
          <w:iCs/>
          <w:color w:val="0D0D0D" w:themeColor="text1" w:themeTint="F2"/>
          <w:sz w:val="22"/>
          <w:szCs w:val="22"/>
          <w:lang w:val="es-AR"/>
        </w:rPr>
        <w:t>0</w:t>
      </w:r>
      <w:r w:rsidR="00CC7602" w:rsidRPr="00506990">
        <w:rPr>
          <w:rFonts w:ascii="Times New Roman" w:hAnsi="Times New Roman" w:cs="Times New Roman"/>
          <w:bCs/>
          <w:iCs/>
          <w:color w:val="0D0D0D" w:themeColor="text1" w:themeTint="F2"/>
          <w:sz w:val="22"/>
          <w:szCs w:val="22"/>
          <w:lang w:val="es-AR"/>
        </w:rPr>
        <w:t xml:space="preserve"> de </w:t>
      </w:r>
      <w:r w:rsidR="00D66F1A">
        <w:rPr>
          <w:rFonts w:ascii="Times New Roman" w:hAnsi="Times New Roman" w:cs="Times New Roman"/>
          <w:bCs/>
          <w:iCs/>
          <w:color w:val="0D0D0D" w:themeColor="text1" w:themeTint="F2"/>
          <w:sz w:val="22"/>
          <w:szCs w:val="22"/>
          <w:lang w:val="es-AR"/>
        </w:rPr>
        <w:t>noviem</w:t>
      </w:r>
      <w:r w:rsidR="00E05B63" w:rsidRPr="00506990">
        <w:rPr>
          <w:rFonts w:ascii="Times New Roman" w:hAnsi="Times New Roman" w:cs="Times New Roman"/>
          <w:bCs/>
          <w:iCs/>
          <w:color w:val="0D0D0D" w:themeColor="text1" w:themeTint="F2"/>
          <w:sz w:val="22"/>
          <w:szCs w:val="22"/>
          <w:lang w:val="es-AR"/>
        </w:rPr>
        <w:t>bre</w:t>
      </w:r>
      <w:r w:rsidR="000F3859" w:rsidRPr="00506990">
        <w:rPr>
          <w:rFonts w:ascii="Times New Roman" w:hAnsi="Times New Roman" w:cs="Times New Roman"/>
          <w:bCs/>
          <w:iCs/>
          <w:color w:val="0D0D0D" w:themeColor="text1" w:themeTint="F2"/>
          <w:sz w:val="22"/>
          <w:szCs w:val="22"/>
          <w:lang w:val="es-AR"/>
        </w:rPr>
        <w:t xml:space="preserve"> de 2019</w:t>
      </w:r>
      <w:r w:rsidRPr="00506990">
        <w:rPr>
          <w:rFonts w:ascii="Times New Roman" w:hAnsi="Times New Roman" w:cs="Times New Roman"/>
          <w:bCs/>
          <w:iCs/>
          <w:color w:val="0D0D0D" w:themeColor="text1" w:themeTint="F2"/>
          <w:sz w:val="22"/>
          <w:szCs w:val="22"/>
          <w:lang w:val="es-AR"/>
        </w:rPr>
        <w:t>)</w:t>
      </w:r>
    </w:p>
    <w:p w14:paraId="7B880CCE" w14:textId="77777777" w:rsidR="00D66F1A" w:rsidRDefault="00D66F1A"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p>
    <w:p w14:paraId="46C54731" w14:textId="77777777" w:rsidR="00D66F1A" w:rsidRPr="00506990" w:rsidRDefault="00D66F1A"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p>
    <w:p w14:paraId="017BD6C2" w14:textId="639AC4F5" w:rsidR="00FE2DFF" w:rsidRDefault="00D66F1A"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r>
        <w:rPr>
          <w:noProof/>
          <w:lang w:val="es-AR" w:eastAsia="es-AR"/>
        </w:rPr>
        <w:drawing>
          <wp:inline distT="0" distB="0" distL="0" distR="0" wp14:anchorId="4382CBF6" wp14:editId="17F9D719">
            <wp:extent cx="5613400" cy="1881505"/>
            <wp:effectExtent l="0" t="0" r="6350" b="4445"/>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1881505"/>
                    </a:xfrm>
                    <a:prstGeom prst="rect">
                      <a:avLst/>
                    </a:prstGeom>
                    <a:noFill/>
                    <a:extLst/>
                  </pic:spPr>
                </pic:pic>
              </a:graphicData>
            </a:graphic>
          </wp:inline>
        </w:drawing>
      </w:r>
    </w:p>
    <w:p w14:paraId="47B1934F" w14:textId="77777777" w:rsidR="00D66F1A" w:rsidRPr="00506990" w:rsidRDefault="00D66F1A" w:rsidP="009C0365">
      <w:pPr>
        <w:autoSpaceDE w:val="0"/>
        <w:autoSpaceDN w:val="0"/>
        <w:adjustRightInd w:val="0"/>
        <w:jc w:val="center"/>
        <w:rPr>
          <w:rFonts w:ascii="Times New Roman" w:hAnsi="Times New Roman" w:cs="Times New Roman"/>
          <w:bCs/>
          <w:iCs/>
          <w:color w:val="0D0D0D" w:themeColor="text1" w:themeTint="F2"/>
          <w:sz w:val="22"/>
          <w:szCs w:val="22"/>
          <w:lang w:val="es-AR"/>
        </w:rPr>
      </w:pPr>
    </w:p>
    <w:p w14:paraId="44BCAB09" w14:textId="275C5AEE" w:rsidR="007A2C93" w:rsidRPr="00506990" w:rsidRDefault="007A2C93" w:rsidP="00557525">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La información expuesta en el cuadro fue calculada tomando los saldos de los créditos vigentes a fin de mes, determinando su nivel de atraso a dicha fecha y agrupándolos en función del mismo en distintos estratos. A los efectos del cuadro se muestra la proporción del saldo total que a fin de mes se encuentra en cada estrato.</w:t>
      </w:r>
    </w:p>
    <w:p w14:paraId="491747C3" w14:textId="77777777" w:rsidR="00F041D4" w:rsidRPr="00506990" w:rsidRDefault="00F041D4" w:rsidP="00557525">
      <w:pPr>
        <w:autoSpaceDE w:val="0"/>
        <w:autoSpaceDN w:val="0"/>
        <w:adjustRightInd w:val="0"/>
        <w:jc w:val="left"/>
        <w:rPr>
          <w:rFonts w:ascii="Times New Roman" w:hAnsi="Times New Roman" w:cs="Times New Roman"/>
          <w:bCs/>
          <w:iCs/>
          <w:color w:val="0D0D0D" w:themeColor="text1" w:themeTint="F2"/>
          <w:sz w:val="22"/>
          <w:szCs w:val="22"/>
          <w:lang w:val="es-AR"/>
        </w:rPr>
      </w:pPr>
    </w:p>
    <w:p w14:paraId="6D9EB342" w14:textId="5F06E57C" w:rsidR="009803D6" w:rsidRPr="00506990" w:rsidRDefault="009803D6" w:rsidP="008F4E11">
      <w:pPr>
        <w:autoSpaceDE w:val="0"/>
        <w:autoSpaceDN w:val="0"/>
        <w:adjustRightInd w:val="0"/>
        <w:jc w:val="left"/>
        <w:rPr>
          <w:rFonts w:ascii="Times New Roman" w:hAnsi="Times New Roman" w:cs="Times New Roman"/>
          <w:bCs/>
          <w:iCs/>
          <w:color w:val="0D0D0D" w:themeColor="text1" w:themeTint="F2"/>
          <w:sz w:val="22"/>
          <w:szCs w:val="22"/>
          <w:lang w:val="es-AR"/>
        </w:rPr>
      </w:pPr>
    </w:p>
    <w:p w14:paraId="66FD2F8C" w14:textId="583E01C4" w:rsidR="00417D3D" w:rsidRPr="00506990" w:rsidRDefault="00D66F1A" w:rsidP="00CB136F">
      <w:pPr>
        <w:autoSpaceDE w:val="0"/>
        <w:autoSpaceDN w:val="0"/>
        <w:adjustRightInd w:val="0"/>
        <w:jc w:val="left"/>
        <w:rPr>
          <w:rFonts w:ascii="Times New Roman" w:hAnsi="Times New Roman" w:cs="Times New Roman"/>
          <w:bCs/>
          <w:iCs/>
          <w:color w:val="0D0D0D" w:themeColor="text1" w:themeTint="F2"/>
          <w:sz w:val="22"/>
          <w:szCs w:val="22"/>
          <w:lang w:val="es-AR"/>
        </w:rPr>
      </w:pPr>
      <w:r>
        <w:rPr>
          <w:noProof/>
          <w:lang w:val="es-AR" w:eastAsia="es-AR"/>
        </w:rPr>
        <w:drawing>
          <wp:inline distT="0" distB="0" distL="0" distR="0" wp14:anchorId="5DD6A567" wp14:editId="308FB153">
            <wp:extent cx="5613400" cy="567690"/>
            <wp:effectExtent l="0" t="0" r="6350" b="3810"/>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567690"/>
                    </a:xfrm>
                    <a:prstGeom prst="rect">
                      <a:avLst/>
                    </a:prstGeom>
                    <a:noFill/>
                    <a:extLst/>
                  </pic:spPr>
                </pic:pic>
              </a:graphicData>
            </a:graphic>
          </wp:inline>
        </w:drawing>
      </w:r>
    </w:p>
    <w:p w14:paraId="634435D0" w14:textId="77777777" w:rsidR="00FE2DFF" w:rsidRPr="00506990" w:rsidRDefault="00FE2DFF"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2899702C" w14:textId="153423C5" w:rsidR="00FE2DFF" w:rsidRPr="00506990" w:rsidRDefault="00FE2DFF"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626FEC88" w14:textId="77777777" w:rsidR="00D93AD0" w:rsidRPr="00506990" w:rsidRDefault="00D93AD0"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05D2F273" w14:textId="2F04F046" w:rsidR="009803D6" w:rsidRPr="00506990" w:rsidRDefault="009803D6" w:rsidP="00CB136F">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El porcentaje de incobrabilidad ha sido calculado sobre el total originado</w:t>
      </w:r>
    </w:p>
    <w:p w14:paraId="5FDB29CB" w14:textId="77777777" w:rsidR="007A2C93" w:rsidRPr="00506990" w:rsidRDefault="007A2C93" w:rsidP="00CB136F">
      <w:pPr>
        <w:autoSpaceDE w:val="0"/>
        <w:autoSpaceDN w:val="0"/>
        <w:adjustRightInd w:val="0"/>
        <w:jc w:val="left"/>
        <w:rPr>
          <w:rFonts w:ascii="Times New Roman" w:hAnsi="Times New Roman" w:cs="Times New Roman"/>
          <w:bCs/>
          <w:iCs/>
          <w:color w:val="0D0D0D" w:themeColor="text1" w:themeTint="F2"/>
          <w:sz w:val="22"/>
          <w:szCs w:val="22"/>
          <w:lang w:val="es-AR"/>
        </w:rPr>
      </w:pPr>
    </w:p>
    <w:p w14:paraId="13928503" w14:textId="77777777" w:rsidR="00D66F1A" w:rsidRDefault="006E36BA"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Bazar Avenida S.A.</w:t>
      </w:r>
      <w:r w:rsidR="00690303" w:rsidRPr="00506990">
        <w:rPr>
          <w:rFonts w:ascii="Times New Roman" w:hAnsi="Times New Roman" w:cs="Times New Roman"/>
          <w:bCs/>
          <w:iCs/>
          <w:color w:val="0D0D0D" w:themeColor="text1" w:themeTint="F2"/>
          <w:sz w:val="22"/>
          <w:szCs w:val="22"/>
          <w:lang w:val="es-AR"/>
        </w:rPr>
        <w:t xml:space="preserve"> considera a un crédito como incobrable cuando su atraso supera los 360 días,</w:t>
      </w:r>
    </w:p>
    <w:p w14:paraId="28E55A8C" w14:textId="085AFBC8" w:rsidR="00D66F1A" w:rsidRDefault="00690303"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en estos</w:t>
      </w:r>
      <w:r w:rsidR="00FE2DFF" w:rsidRPr="00506990">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 xml:space="preserve">casos se previsiona el 100% del capital adeudado más los intereses devengados sin </w:t>
      </w:r>
    </w:p>
    <w:p w14:paraId="577029F1" w14:textId="01CF6DFA" w:rsidR="00690303" w:rsidRPr="00506990" w:rsidRDefault="00690303" w:rsidP="00270AFD">
      <w:pPr>
        <w:autoSpaceDE w:val="0"/>
        <w:autoSpaceDN w:val="0"/>
        <w:adjustRightInd w:val="0"/>
        <w:ind w:left="708" w:hanging="708"/>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perjuicio de la continuación de las acciones judiciales de cobro.</w:t>
      </w:r>
    </w:p>
    <w:p w14:paraId="15DAAEDC" w14:textId="77777777" w:rsidR="006E4618" w:rsidRPr="00506990" w:rsidRDefault="006E4618" w:rsidP="00690303">
      <w:pPr>
        <w:autoSpaceDE w:val="0"/>
        <w:autoSpaceDN w:val="0"/>
        <w:adjustRightInd w:val="0"/>
        <w:rPr>
          <w:rFonts w:ascii="Times New Roman" w:hAnsi="Times New Roman" w:cs="Times New Roman"/>
          <w:b/>
          <w:color w:val="0D0D0D" w:themeColor="text1" w:themeTint="F2"/>
          <w:sz w:val="22"/>
          <w:szCs w:val="22"/>
          <w:u w:val="single"/>
          <w:lang w:val="es-AR"/>
        </w:rPr>
      </w:pPr>
    </w:p>
    <w:p w14:paraId="27B9DF31" w14:textId="51AD09E9" w:rsidR="00417D3D" w:rsidRPr="00506990" w:rsidRDefault="00417D3D" w:rsidP="00502438">
      <w:pPr>
        <w:autoSpaceDE w:val="0"/>
        <w:autoSpaceDN w:val="0"/>
        <w:adjustRightInd w:val="0"/>
        <w:jc w:val="center"/>
        <w:rPr>
          <w:rFonts w:ascii="Times New Roman" w:hAnsi="Times New Roman" w:cs="Times New Roman"/>
          <w:bCs/>
          <w:iCs/>
          <w:color w:val="0D0D0D" w:themeColor="text1" w:themeTint="F2"/>
          <w:sz w:val="22"/>
          <w:szCs w:val="22"/>
          <w:lang w:val="es-AR"/>
        </w:rPr>
      </w:pPr>
    </w:p>
    <w:p w14:paraId="73EEBBD0" w14:textId="15F94BA5" w:rsidR="00FE2DFF" w:rsidRPr="00506990" w:rsidRDefault="00D66F1A" w:rsidP="00502438">
      <w:pPr>
        <w:autoSpaceDE w:val="0"/>
        <w:autoSpaceDN w:val="0"/>
        <w:adjustRightInd w:val="0"/>
        <w:jc w:val="center"/>
        <w:rPr>
          <w:rFonts w:ascii="Times New Roman" w:hAnsi="Times New Roman" w:cs="Times New Roman"/>
          <w:bCs/>
          <w:iCs/>
          <w:color w:val="0D0D0D" w:themeColor="text1" w:themeTint="F2"/>
          <w:sz w:val="22"/>
          <w:szCs w:val="22"/>
          <w:lang w:val="es-AR"/>
        </w:rPr>
      </w:pPr>
      <w:r>
        <w:rPr>
          <w:noProof/>
          <w:lang w:val="es-AR" w:eastAsia="es-AR"/>
        </w:rPr>
        <w:drawing>
          <wp:inline distT="0" distB="0" distL="0" distR="0" wp14:anchorId="17D7B230" wp14:editId="2707E678">
            <wp:extent cx="5613400" cy="2778125"/>
            <wp:effectExtent l="0" t="0" r="6350" b="3175"/>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400" cy="2778125"/>
                    </a:xfrm>
                    <a:prstGeom prst="rect">
                      <a:avLst/>
                    </a:prstGeom>
                    <a:noFill/>
                    <a:extLst/>
                  </pic:spPr>
                </pic:pic>
              </a:graphicData>
            </a:graphic>
          </wp:inline>
        </w:drawing>
      </w:r>
    </w:p>
    <w:p w14:paraId="6CB4DB35" w14:textId="57AC5E56" w:rsidR="00FF75F7" w:rsidRPr="00506990" w:rsidRDefault="00FF75F7" w:rsidP="00C516C3">
      <w:pPr>
        <w:autoSpaceDE w:val="0"/>
        <w:autoSpaceDN w:val="0"/>
        <w:adjustRightInd w:val="0"/>
        <w:rPr>
          <w:rFonts w:ascii="Times New Roman" w:hAnsi="Times New Roman" w:cs="Times New Roman"/>
          <w:noProof/>
          <w:color w:val="0D0D0D" w:themeColor="text1" w:themeTint="F2"/>
          <w:sz w:val="22"/>
          <w:szCs w:val="22"/>
          <w:highlight w:val="yellow"/>
          <w:lang w:eastAsia="es-AR"/>
        </w:rPr>
      </w:pPr>
    </w:p>
    <w:p w14:paraId="14E97C68" w14:textId="77777777" w:rsidR="00417D3D" w:rsidRPr="00506990" w:rsidRDefault="00417D3D" w:rsidP="00C516C3">
      <w:pPr>
        <w:autoSpaceDE w:val="0"/>
        <w:autoSpaceDN w:val="0"/>
        <w:adjustRightInd w:val="0"/>
        <w:rPr>
          <w:rFonts w:ascii="Times New Roman" w:hAnsi="Times New Roman" w:cs="Times New Roman"/>
          <w:noProof/>
          <w:color w:val="0D0D0D" w:themeColor="text1" w:themeTint="F2"/>
          <w:sz w:val="22"/>
          <w:szCs w:val="22"/>
          <w:highlight w:val="yellow"/>
          <w:lang w:eastAsia="es-AR"/>
        </w:rPr>
      </w:pPr>
    </w:p>
    <w:p w14:paraId="2F5F8C20" w14:textId="26690381" w:rsidR="009803D6" w:rsidRPr="00506990" w:rsidRDefault="009803D6">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Composición de</w:t>
      </w:r>
      <w:r w:rsidR="000579E7">
        <w:rPr>
          <w:rFonts w:ascii="Times New Roman" w:hAnsi="Times New Roman" w:cs="Times New Roman"/>
          <w:b/>
          <w:bCs/>
          <w:iCs/>
          <w:color w:val="0D0D0D" w:themeColor="text1" w:themeTint="F2"/>
          <w:sz w:val="22"/>
          <w:szCs w:val="22"/>
          <w:lang w:val="es-AR"/>
        </w:rPr>
        <w:t xml:space="preserve"> Saldos de Carter</w:t>
      </w:r>
      <w:r w:rsidR="005F533D">
        <w:rPr>
          <w:rFonts w:ascii="Times New Roman" w:hAnsi="Times New Roman" w:cs="Times New Roman"/>
          <w:b/>
          <w:bCs/>
          <w:iCs/>
          <w:color w:val="0D0D0D" w:themeColor="text1" w:themeTint="F2"/>
          <w:sz w:val="22"/>
          <w:szCs w:val="22"/>
          <w:lang w:val="es-AR"/>
        </w:rPr>
        <w:t>a</w:t>
      </w:r>
    </w:p>
    <w:p w14:paraId="4B375E22" w14:textId="181B8D78" w:rsidR="00083BB2" w:rsidRPr="00506990" w:rsidRDefault="00FA1099">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(Información al</w:t>
      </w:r>
      <w:r w:rsidR="00083BB2" w:rsidRPr="00506990">
        <w:rPr>
          <w:rFonts w:ascii="Times New Roman" w:hAnsi="Times New Roman" w:cs="Times New Roman"/>
          <w:bCs/>
          <w:iCs/>
          <w:color w:val="0D0D0D" w:themeColor="text1" w:themeTint="F2"/>
          <w:sz w:val="22"/>
          <w:szCs w:val="22"/>
          <w:lang w:val="es-AR"/>
        </w:rPr>
        <w:t xml:space="preserve"> </w:t>
      </w:r>
      <w:r w:rsidR="00CC7602" w:rsidRPr="00506990">
        <w:rPr>
          <w:rFonts w:ascii="Times New Roman" w:hAnsi="Times New Roman" w:cs="Times New Roman"/>
          <w:bCs/>
          <w:iCs/>
          <w:color w:val="0D0D0D" w:themeColor="text1" w:themeTint="F2"/>
          <w:sz w:val="22"/>
          <w:szCs w:val="22"/>
          <w:lang w:val="es-AR"/>
        </w:rPr>
        <w:t>3</w:t>
      </w:r>
      <w:r w:rsidR="00D66F1A">
        <w:rPr>
          <w:rFonts w:ascii="Times New Roman" w:hAnsi="Times New Roman" w:cs="Times New Roman"/>
          <w:bCs/>
          <w:iCs/>
          <w:color w:val="0D0D0D" w:themeColor="text1" w:themeTint="F2"/>
          <w:sz w:val="22"/>
          <w:szCs w:val="22"/>
          <w:lang w:val="es-AR"/>
        </w:rPr>
        <w:t>0</w:t>
      </w:r>
      <w:r w:rsidR="00CC7602" w:rsidRPr="00506990">
        <w:rPr>
          <w:rFonts w:ascii="Times New Roman" w:hAnsi="Times New Roman" w:cs="Times New Roman"/>
          <w:bCs/>
          <w:iCs/>
          <w:color w:val="0D0D0D" w:themeColor="text1" w:themeTint="F2"/>
          <w:sz w:val="22"/>
          <w:szCs w:val="22"/>
          <w:lang w:val="es-AR"/>
        </w:rPr>
        <w:t xml:space="preserve"> de </w:t>
      </w:r>
      <w:r w:rsidR="00D66F1A">
        <w:rPr>
          <w:rFonts w:ascii="Times New Roman" w:hAnsi="Times New Roman" w:cs="Times New Roman"/>
          <w:bCs/>
          <w:iCs/>
          <w:color w:val="0D0D0D" w:themeColor="text1" w:themeTint="F2"/>
          <w:sz w:val="22"/>
          <w:szCs w:val="22"/>
          <w:lang w:val="es-AR"/>
        </w:rPr>
        <w:t>noviem</w:t>
      </w:r>
      <w:r w:rsidR="00FE2DFF" w:rsidRPr="00506990">
        <w:rPr>
          <w:rFonts w:ascii="Times New Roman" w:hAnsi="Times New Roman" w:cs="Times New Roman"/>
          <w:bCs/>
          <w:iCs/>
          <w:color w:val="0D0D0D" w:themeColor="text1" w:themeTint="F2"/>
          <w:sz w:val="22"/>
          <w:szCs w:val="22"/>
          <w:lang w:val="es-AR"/>
        </w:rPr>
        <w:t>bre</w:t>
      </w:r>
      <w:r w:rsidR="000E18CA" w:rsidRPr="00506990">
        <w:rPr>
          <w:rFonts w:ascii="Times New Roman" w:hAnsi="Times New Roman" w:cs="Times New Roman"/>
          <w:bCs/>
          <w:iCs/>
          <w:color w:val="0D0D0D" w:themeColor="text1" w:themeTint="F2"/>
          <w:sz w:val="22"/>
          <w:szCs w:val="22"/>
          <w:lang w:val="es-AR"/>
        </w:rPr>
        <w:t xml:space="preserve"> </w:t>
      </w:r>
      <w:r w:rsidR="009803D6" w:rsidRPr="00506990">
        <w:rPr>
          <w:rFonts w:ascii="Times New Roman" w:hAnsi="Times New Roman" w:cs="Times New Roman"/>
          <w:bCs/>
          <w:iCs/>
          <w:color w:val="0D0D0D" w:themeColor="text1" w:themeTint="F2"/>
          <w:sz w:val="22"/>
          <w:szCs w:val="22"/>
          <w:lang w:val="es-AR"/>
        </w:rPr>
        <w:t xml:space="preserve">de </w:t>
      </w:r>
      <w:r w:rsidR="00F646DB" w:rsidRPr="00506990">
        <w:rPr>
          <w:rFonts w:ascii="Times New Roman" w:hAnsi="Times New Roman" w:cs="Times New Roman"/>
          <w:bCs/>
          <w:iCs/>
          <w:color w:val="0D0D0D" w:themeColor="text1" w:themeTint="F2"/>
          <w:sz w:val="22"/>
          <w:szCs w:val="22"/>
          <w:lang w:val="es-AR"/>
        </w:rPr>
        <w:t>201</w:t>
      </w:r>
      <w:r w:rsidR="000F3859" w:rsidRPr="00506990">
        <w:rPr>
          <w:rFonts w:ascii="Times New Roman" w:hAnsi="Times New Roman" w:cs="Times New Roman"/>
          <w:bCs/>
          <w:iCs/>
          <w:color w:val="0D0D0D" w:themeColor="text1" w:themeTint="F2"/>
          <w:sz w:val="22"/>
          <w:szCs w:val="22"/>
          <w:lang w:val="es-AR"/>
        </w:rPr>
        <w:t>9</w:t>
      </w:r>
      <w:r w:rsidR="009803D6" w:rsidRPr="00506990">
        <w:rPr>
          <w:rFonts w:ascii="Times New Roman" w:hAnsi="Times New Roman" w:cs="Times New Roman"/>
          <w:bCs/>
          <w:iCs/>
          <w:color w:val="0D0D0D" w:themeColor="text1" w:themeTint="F2"/>
          <w:sz w:val="22"/>
          <w:szCs w:val="22"/>
          <w:lang w:val="es-AR"/>
        </w:rPr>
        <w:t>)</w:t>
      </w:r>
    </w:p>
    <w:p w14:paraId="6BB83045" w14:textId="437B82AA" w:rsidR="009E14F1" w:rsidRPr="00506990" w:rsidRDefault="009E14F1" w:rsidP="006E1DEB">
      <w:pPr>
        <w:autoSpaceDE w:val="0"/>
        <w:autoSpaceDN w:val="0"/>
        <w:adjustRightInd w:val="0"/>
        <w:rPr>
          <w:rFonts w:ascii="Times New Roman" w:hAnsi="Times New Roman" w:cs="Times New Roman"/>
          <w:bCs/>
          <w:iCs/>
          <w:color w:val="0D0D0D" w:themeColor="text1" w:themeTint="F2"/>
          <w:sz w:val="22"/>
          <w:szCs w:val="22"/>
          <w:lang w:val="es-AR"/>
        </w:rPr>
      </w:pPr>
    </w:p>
    <w:p w14:paraId="0D1446C3" w14:textId="77777777" w:rsidR="00FE2DFF" w:rsidRPr="00506990" w:rsidRDefault="00FE2DFF">
      <w:pPr>
        <w:autoSpaceDE w:val="0"/>
        <w:autoSpaceDN w:val="0"/>
        <w:adjustRightInd w:val="0"/>
        <w:jc w:val="center"/>
        <w:rPr>
          <w:rFonts w:ascii="Times New Roman" w:hAnsi="Times New Roman" w:cs="Times New Roman"/>
          <w:bCs/>
          <w:iCs/>
          <w:color w:val="0D0D0D" w:themeColor="text1" w:themeTint="F2"/>
          <w:sz w:val="22"/>
          <w:szCs w:val="22"/>
          <w:lang w:val="es-AR"/>
        </w:rPr>
      </w:pPr>
    </w:p>
    <w:p w14:paraId="6FC33ABF" w14:textId="0BF4258F" w:rsidR="00C479AE" w:rsidRPr="00506990" w:rsidRDefault="004F0A54">
      <w:pPr>
        <w:autoSpaceDE w:val="0"/>
        <w:autoSpaceDN w:val="0"/>
        <w:adjustRightInd w:val="0"/>
        <w:jc w:val="center"/>
        <w:rPr>
          <w:rFonts w:ascii="Times New Roman" w:hAnsi="Times New Roman" w:cs="Times New Roman"/>
          <w:bCs/>
          <w:iCs/>
          <w:color w:val="0D0D0D" w:themeColor="text1" w:themeTint="F2"/>
          <w:sz w:val="22"/>
          <w:szCs w:val="22"/>
          <w:lang w:val="es-AR"/>
        </w:rPr>
      </w:pPr>
      <w:r>
        <w:rPr>
          <w:noProof/>
          <w:lang w:val="es-AR" w:eastAsia="es-AR"/>
        </w:rPr>
        <w:drawing>
          <wp:inline distT="0" distB="0" distL="0" distR="0" wp14:anchorId="7016BEE4" wp14:editId="33A6202C">
            <wp:extent cx="3305175" cy="1590675"/>
            <wp:effectExtent l="0" t="0" r="9525" b="9525"/>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05175" cy="1590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D42E9CD" w14:textId="77777777" w:rsidR="00C54494" w:rsidRPr="00506990" w:rsidRDefault="00C54494">
      <w:pPr>
        <w:autoSpaceDE w:val="0"/>
        <w:autoSpaceDN w:val="0"/>
        <w:adjustRightInd w:val="0"/>
        <w:jc w:val="center"/>
        <w:rPr>
          <w:rFonts w:ascii="Times New Roman" w:hAnsi="Times New Roman" w:cs="Times New Roman"/>
          <w:bCs/>
          <w:iCs/>
          <w:color w:val="0D0D0D" w:themeColor="text1" w:themeTint="F2"/>
          <w:sz w:val="22"/>
          <w:szCs w:val="22"/>
          <w:lang w:val="es-AR"/>
        </w:rPr>
      </w:pPr>
    </w:p>
    <w:p w14:paraId="000CBEAA" w14:textId="46FC0811" w:rsidR="00F74B80" w:rsidRPr="00506990" w:rsidRDefault="00F74B80" w:rsidP="00F74B80">
      <w:pPr>
        <w:shd w:val="clear" w:color="auto" w:fill="D9D9D9"/>
        <w:rPr>
          <w:rFonts w:ascii="Times New Roman" w:hAnsi="Times New Roman" w:cs="Times New Roman"/>
          <w:b/>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ESTADO DE FLUJ</w:t>
      </w:r>
      <w:r w:rsidR="000579E7">
        <w:rPr>
          <w:rFonts w:ascii="Times New Roman" w:hAnsi="Times New Roman" w:cs="Times New Roman"/>
          <w:b/>
          <w:color w:val="0D0D0D" w:themeColor="text1" w:themeTint="F2"/>
          <w:sz w:val="22"/>
          <w:szCs w:val="22"/>
          <w:lang w:val="es-AR"/>
        </w:rPr>
        <w:t>O DE FONDOS – BAZAR AVENIDA S.A.</w:t>
      </w:r>
    </w:p>
    <w:p w14:paraId="774A4E02" w14:textId="534567CA" w:rsidR="00945AE3" w:rsidRPr="0098446E" w:rsidRDefault="00945AE3" w:rsidP="00945AE3">
      <w:pPr>
        <w:rPr>
          <w:rFonts w:ascii="Times New Roman" w:hAnsi="Times New Roman" w:cs="Times New Roman"/>
        </w:rPr>
      </w:pPr>
    </w:p>
    <w:p w14:paraId="71D94DB5" w14:textId="62A14957" w:rsidR="00FC06A4" w:rsidRPr="0098446E" w:rsidRDefault="00FC06A4" w:rsidP="00945AE3">
      <w:pPr>
        <w:rPr>
          <w:rFonts w:ascii="Times New Roman" w:hAnsi="Times New Roman" w:cs="Times New Roman"/>
        </w:rPr>
      </w:pPr>
    </w:p>
    <w:p w14:paraId="22D2F4FD" w14:textId="7B8DDE92" w:rsidR="006E7B8A" w:rsidRPr="0098446E" w:rsidRDefault="006E7B8A" w:rsidP="00945AE3">
      <w:pPr>
        <w:rPr>
          <w:rFonts w:ascii="Times New Roman" w:hAnsi="Times New Roman" w:cs="Times New Roman"/>
        </w:rPr>
      </w:pPr>
    </w:p>
    <w:p w14:paraId="3263CBD6" w14:textId="77777777" w:rsidR="00E01705" w:rsidRPr="0098446E" w:rsidRDefault="00E01705" w:rsidP="00945AE3">
      <w:pPr>
        <w:rPr>
          <w:rFonts w:ascii="Times New Roman" w:hAnsi="Times New Roman" w:cs="Times New Roman"/>
        </w:rPr>
      </w:pPr>
    </w:p>
    <w:p w14:paraId="352203DC" w14:textId="599720E5" w:rsidR="00E01705" w:rsidRPr="0098446E" w:rsidRDefault="00FF22F3" w:rsidP="00945AE3">
      <w:pPr>
        <w:rPr>
          <w:rFonts w:ascii="Times New Roman" w:hAnsi="Times New Roman" w:cs="Times New Roman"/>
        </w:rPr>
      </w:pPr>
      <w:r>
        <w:rPr>
          <w:noProof/>
          <w:lang w:val="es-AR" w:eastAsia="es-AR"/>
        </w:rPr>
        <w:drawing>
          <wp:inline distT="0" distB="0" distL="0" distR="0" wp14:anchorId="68D6EA41" wp14:editId="08BF8102">
            <wp:extent cx="5613400" cy="4794885"/>
            <wp:effectExtent l="0" t="0" r="6350" b="5715"/>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3400" cy="4794885"/>
                    </a:xfrm>
                    <a:prstGeom prst="rect">
                      <a:avLst/>
                    </a:prstGeom>
                    <a:noFill/>
                    <a:extLst/>
                  </pic:spPr>
                </pic:pic>
              </a:graphicData>
            </a:graphic>
          </wp:inline>
        </w:drawing>
      </w:r>
    </w:p>
    <w:p w14:paraId="58157A39" w14:textId="77777777" w:rsidR="003A4CD0" w:rsidRPr="0098446E" w:rsidRDefault="003A4CD0" w:rsidP="00945AE3">
      <w:pPr>
        <w:rPr>
          <w:rFonts w:ascii="Times New Roman" w:hAnsi="Times New Roman" w:cs="Times New Roman"/>
          <w:lang w:val="es-AR"/>
        </w:rPr>
      </w:pPr>
    </w:p>
    <w:p w14:paraId="1B9407CD" w14:textId="77777777" w:rsidR="004D57F1" w:rsidRPr="00506990" w:rsidRDefault="004D57F1" w:rsidP="004D57F1">
      <w:pPr>
        <w:autoSpaceDE w:val="0"/>
        <w:autoSpaceDN w:val="0"/>
        <w:adjustRightInd w:val="0"/>
        <w:rPr>
          <w:rFonts w:ascii="Times New Roman" w:hAnsi="Times New Roman" w:cs="Times New Roman"/>
          <w:noProof/>
          <w:color w:val="0D0D0D"/>
          <w:sz w:val="22"/>
          <w:szCs w:val="22"/>
          <w:lang w:eastAsia="es-AR"/>
        </w:rPr>
      </w:pPr>
    </w:p>
    <w:p w14:paraId="2CFA5B79" w14:textId="77777777" w:rsidR="004D57F1" w:rsidRPr="00506990" w:rsidRDefault="004D57F1" w:rsidP="004D57F1">
      <w:pPr>
        <w:autoSpaceDE w:val="0"/>
        <w:autoSpaceDN w:val="0"/>
        <w:adjustRightInd w:val="0"/>
        <w:rPr>
          <w:rFonts w:ascii="Times New Roman" w:hAnsi="Times New Roman" w:cs="Times New Roman"/>
          <w:noProof/>
          <w:color w:val="0D0D0D"/>
          <w:sz w:val="22"/>
          <w:szCs w:val="22"/>
          <w:lang w:eastAsia="es-AR"/>
        </w:rPr>
      </w:pPr>
      <w:r w:rsidRPr="00506990">
        <w:rPr>
          <w:rFonts w:ascii="Times New Roman" w:hAnsi="Times New Roman" w:cs="Times New Roman"/>
          <w:noProof/>
          <w:color w:val="0D0D0D"/>
          <w:sz w:val="22"/>
          <w:szCs w:val="22"/>
          <w:lang w:eastAsia="es-AR"/>
        </w:rPr>
        <w:t xml:space="preserve">Justificación de Variación de Efectivo negativa en los meses de junio 2019,julio 2019, agosto 2019 y octubre 2019: en estos meses se observa una variación de fondos negativa que se corresponde al efecto combinado de diversas causas: a) una menor brecha entre los cobros por ventas de bienes y servicios y los pagos a proveedores, de estructura e impuestos; b) menor ingreso de fondos provenientes de adelantos y colocaciones de fideicomisos financieros. Cabe destacar que dichas variaciones son temporales, observándose también meses con variaciones positivas por montos significativos en el período expuesto y  manteniéndose siempre altos niveles de liquidez en bancos y eventualmente en inversiones transitorias. </w:t>
      </w:r>
    </w:p>
    <w:p w14:paraId="3E8AFAEE" w14:textId="77777777" w:rsidR="004D57F1" w:rsidRPr="00506990" w:rsidRDefault="004D57F1" w:rsidP="00A47CED">
      <w:pPr>
        <w:autoSpaceDE w:val="0"/>
        <w:autoSpaceDN w:val="0"/>
        <w:adjustRightInd w:val="0"/>
        <w:rPr>
          <w:rFonts w:ascii="Times New Roman" w:hAnsi="Times New Roman" w:cs="Times New Roman"/>
          <w:noProof/>
          <w:color w:val="0D0D0D"/>
          <w:sz w:val="22"/>
          <w:szCs w:val="22"/>
          <w:lang w:eastAsia="es-AR"/>
        </w:rPr>
      </w:pPr>
    </w:p>
    <w:p w14:paraId="74C95386" w14:textId="77777777" w:rsidR="004D57F1" w:rsidRPr="00506990" w:rsidRDefault="004D57F1" w:rsidP="00A47CED">
      <w:pPr>
        <w:autoSpaceDE w:val="0"/>
        <w:autoSpaceDN w:val="0"/>
        <w:adjustRightInd w:val="0"/>
        <w:rPr>
          <w:rFonts w:ascii="Times New Roman" w:hAnsi="Times New Roman" w:cs="Times New Roman"/>
          <w:noProof/>
          <w:color w:val="0D0D0D"/>
          <w:sz w:val="22"/>
          <w:szCs w:val="22"/>
          <w:lang w:eastAsia="es-AR"/>
        </w:rPr>
      </w:pPr>
    </w:p>
    <w:p w14:paraId="3BB09339" w14:textId="77777777" w:rsidR="00F74B80" w:rsidRPr="00506990" w:rsidRDefault="00F74B80" w:rsidP="00EE6B60">
      <w:pPr>
        <w:autoSpaceDE w:val="0"/>
        <w:autoSpaceDN w:val="0"/>
        <w:adjustRightInd w:val="0"/>
        <w:jc w:val="left"/>
        <w:rPr>
          <w:rFonts w:ascii="Times New Roman" w:hAnsi="Times New Roman" w:cs="Times New Roman"/>
          <w:bCs/>
          <w:iCs/>
          <w:color w:val="0D0D0D" w:themeColor="text1" w:themeTint="F2"/>
          <w:sz w:val="22"/>
          <w:szCs w:val="22"/>
        </w:rPr>
      </w:pPr>
    </w:p>
    <w:p w14:paraId="0984B116" w14:textId="77777777" w:rsidR="00F74B80" w:rsidRPr="00506990" w:rsidRDefault="00F74B80" w:rsidP="00F74B80">
      <w:pPr>
        <w:shd w:val="clear" w:color="auto" w:fill="D9D9D9"/>
        <w:rPr>
          <w:rFonts w:ascii="Times New Roman" w:hAnsi="Times New Roman" w:cs="Times New Roman"/>
          <w:b/>
          <w:color w:val="0D0D0D" w:themeColor="text1" w:themeTint="F2"/>
          <w:sz w:val="22"/>
          <w:szCs w:val="22"/>
        </w:rPr>
      </w:pPr>
    </w:p>
    <w:p w14:paraId="7B483692" w14:textId="77777777" w:rsidR="003B5876" w:rsidRPr="00506990" w:rsidRDefault="00F74B80" w:rsidP="00F74B80">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Evolución de la cantidad de empleados </w:t>
      </w:r>
    </w:p>
    <w:p w14:paraId="4FF05813" w14:textId="77777777" w:rsidR="00F74B80" w:rsidRPr="00506990" w:rsidRDefault="00F74B80" w:rsidP="00F74B8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Cantidad de empleados al 30/06/2017: 506</w:t>
      </w:r>
    </w:p>
    <w:p w14:paraId="5A1C6565" w14:textId="77777777" w:rsidR="009F05CF" w:rsidRPr="00506990" w:rsidRDefault="00F74B80" w:rsidP="009F05CF">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Cantidad de empleados al </w:t>
      </w:r>
      <w:r w:rsidR="009F05CF" w:rsidRPr="00506990">
        <w:rPr>
          <w:rFonts w:ascii="Times New Roman" w:hAnsi="Times New Roman" w:cs="Times New Roman"/>
          <w:color w:val="0D0D0D" w:themeColor="text1" w:themeTint="F2"/>
          <w:sz w:val="22"/>
          <w:szCs w:val="22"/>
        </w:rPr>
        <w:t>30/06/2018: 573</w:t>
      </w:r>
    </w:p>
    <w:p w14:paraId="4D314815" w14:textId="056362D4" w:rsidR="00B27989" w:rsidRPr="00506990" w:rsidRDefault="00B27989" w:rsidP="009F05CF">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Cantidad de empleados al </w:t>
      </w:r>
      <w:r w:rsidR="003B5876" w:rsidRPr="00506990">
        <w:rPr>
          <w:rFonts w:ascii="Times New Roman" w:hAnsi="Times New Roman" w:cs="Times New Roman"/>
          <w:color w:val="0D0D0D" w:themeColor="text1" w:themeTint="F2"/>
          <w:sz w:val="22"/>
          <w:szCs w:val="22"/>
        </w:rPr>
        <w:t>3</w:t>
      </w:r>
      <w:r w:rsidR="00FF22F3">
        <w:rPr>
          <w:rFonts w:ascii="Times New Roman" w:hAnsi="Times New Roman" w:cs="Times New Roman"/>
          <w:color w:val="0D0D0D" w:themeColor="text1" w:themeTint="F2"/>
          <w:sz w:val="22"/>
          <w:szCs w:val="22"/>
        </w:rPr>
        <w:t>0</w:t>
      </w:r>
      <w:r w:rsidR="004C350F" w:rsidRPr="00506990">
        <w:rPr>
          <w:rFonts w:ascii="Times New Roman" w:hAnsi="Times New Roman" w:cs="Times New Roman"/>
          <w:color w:val="0D0D0D" w:themeColor="text1" w:themeTint="F2"/>
          <w:sz w:val="22"/>
          <w:szCs w:val="22"/>
        </w:rPr>
        <w:t>/</w:t>
      </w:r>
      <w:r w:rsidR="00FE2DFF" w:rsidRPr="00506990">
        <w:rPr>
          <w:rFonts w:ascii="Times New Roman" w:hAnsi="Times New Roman" w:cs="Times New Roman"/>
          <w:color w:val="0D0D0D" w:themeColor="text1" w:themeTint="F2"/>
          <w:sz w:val="22"/>
          <w:szCs w:val="22"/>
        </w:rPr>
        <w:t>1</w:t>
      </w:r>
      <w:r w:rsidR="00FF22F3">
        <w:rPr>
          <w:rFonts w:ascii="Times New Roman" w:hAnsi="Times New Roman" w:cs="Times New Roman"/>
          <w:color w:val="0D0D0D" w:themeColor="text1" w:themeTint="F2"/>
          <w:sz w:val="22"/>
          <w:szCs w:val="22"/>
        </w:rPr>
        <w:t>1</w:t>
      </w:r>
      <w:r w:rsidR="004C350F"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201</w:t>
      </w:r>
      <w:r w:rsidR="000F3859" w:rsidRPr="00506990">
        <w:rPr>
          <w:rFonts w:ascii="Times New Roman" w:hAnsi="Times New Roman" w:cs="Times New Roman"/>
          <w:color w:val="0D0D0D" w:themeColor="text1" w:themeTint="F2"/>
          <w:sz w:val="22"/>
          <w:szCs w:val="22"/>
        </w:rPr>
        <w:t>9</w:t>
      </w:r>
      <w:r w:rsidRPr="00506990">
        <w:rPr>
          <w:rFonts w:ascii="Times New Roman" w:hAnsi="Times New Roman" w:cs="Times New Roman"/>
          <w:color w:val="0D0D0D" w:themeColor="text1" w:themeTint="F2"/>
          <w:sz w:val="22"/>
          <w:szCs w:val="22"/>
        </w:rPr>
        <w:t xml:space="preserve">: </w:t>
      </w:r>
      <w:r w:rsidR="003B5876" w:rsidRPr="00506990">
        <w:rPr>
          <w:rFonts w:ascii="Times New Roman" w:hAnsi="Times New Roman" w:cs="Times New Roman"/>
          <w:color w:val="0D0D0D" w:themeColor="text1" w:themeTint="F2"/>
          <w:sz w:val="22"/>
          <w:szCs w:val="22"/>
        </w:rPr>
        <w:t>4</w:t>
      </w:r>
      <w:r w:rsidR="00FF22F3">
        <w:rPr>
          <w:rFonts w:ascii="Times New Roman" w:hAnsi="Times New Roman" w:cs="Times New Roman"/>
          <w:color w:val="0D0D0D" w:themeColor="text1" w:themeTint="F2"/>
          <w:sz w:val="22"/>
          <w:szCs w:val="22"/>
        </w:rPr>
        <w:t>72</w:t>
      </w:r>
    </w:p>
    <w:p w14:paraId="240F6901" w14:textId="6F75812E" w:rsidR="00F74B80" w:rsidRPr="00506990" w:rsidRDefault="00F74B80" w:rsidP="00F74B80">
      <w:pPr>
        <w:rPr>
          <w:rFonts w:ascii="Times New Roman" w:hAnsi="Times New Roman" w:cs="Times New Roman"/>
          <w:b/>
          <w:color w:val="0D0D0D" w:themeColor="text1" w:themeTint="F2"/>
          <w:sz w:val="22"/>
          <w:szCs w:val="22"/>
        </w:rPr>
      </w:pPr>
    </w:p>
    <w:p w14:paraId="6A356578" w14:textId="677FF1C2" w:rsidR="009F05CF" w:rsidRPr="00506990" w:rsidRDefault="009F05CF" w:rsidP="0000652B">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la gestión operativa Bazar</w:t>
      </w:r>
      <w:r w:rsidR="000F3859"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color w:val="0D0D0D" w:themeColor="text1" w:themeTint="F2"/>
          <w:sz w:val="22"/>
          <w:szCs w:val="22"/>
        </w:rPr>
        <w:t xml:space="preserve"> se maneja adicionalmente con los servicios de la empresa Avenida A.C.E. (que cuenta con </w:t>
      </w:r>
      <w:r w:rsidR="003B5876" w:rsidRPr="00506990">
        <w:rPr>
          <w:rFonts w:ascii="Times New Roman" w:hAnsi="Times New Roman" w:cs="Times New Roman"/>
          <w:color w:val="0D0D0D" w:themeColor="text1" w:themeTint="F2"/>
          <w:sz w:val="22"/>
          <w:szCs w:val="22"/>
        </w:rPr>
        <w:t>18</w:t>
      </w:r>
      <w:r w:rsidR="00FF22F3">
        <w:rPr>
          <w:rFonts w:ascii="Times New Roman" w:hAnsi="Times New Roman" w:cs="Times New Roman"/>
          <w:color w:val="0D0D0D" w:themeColor="text1" w:themeTint="F2"/>
          <w:sz w:val="22"/>
          <w:szCs w:val="22"/>
        </w:rPr>
        <w:t>7</w:t>
      </w:r>
      <w:r w:rsidRPr="00506990">
        <w:rPr>
          <w:rFonts w:ascii="Times New Roman" w:hAnsi="Times New Roman" w:cs="Times New Roman"/>
          <w:color w:val="0D0D0D" w:themeColor="text1" w:themeTint="F2"/>
          <w:sz w:val="22"/>
          <w:szCs w:val="22"/>
        </w:rPr>
        <w:t xml:space="preserve"> empleados al </w:t>
      </w:r>
      <w:r w:rsidR="00F13673" w:rsidRPr="00506990">
        <w:rPr>
          <w:rFonts w:ascii="Times New Roman" w:hAnsi="Times New Roman" w:cs="Times New Roman"/>
          <w:color w:val="0D0D0D" w:themeColor="text1" w:themeTint="F2"/>
          <w:sz w:val="22"/>
          <w:szCs w:val="22"/>
        </w:rPr>
        <w:t>3</w:t>
      </w:r>
      <w:r w:rsidR="00FF22F3">
        <w:rPr>
          <w:rFonts w:ascii="Times New Roman" w:hAnsi="Times New Roman" w:cs="Times New Roman"/>
          <w:color w:val="0D0D0D" w:themeColor="text1" w:themeTint="F2"/>
          <w:sz w:val="22"/>
          <w:szCs w:val="22"/>
        </w:rPr>
        <w:t>0</w:t>
      </w:r>
      <w:r w:rsidR="00F13673" w:rsidRPr="00506990">
        <w:rPr>
          <w:rFonts w:ascii="Times New Roman" w:hAnsi="Times New Roman" w:cs="Times New Roman"/>
          <w:color w:val="0D0D0D" w:themeColor="text1" w:themeTint="F2"/>
          <w:sz w:val="22"/>
          <w:szCs w:val="22"/>
        </w:rPr>
        <w:t xml:space="preserve"> de</w:t>
      </w:r>
      <w:r w:rsidR="00FF22F3">
        <w:rPr>
          <w:rFonts w:ascii="Times New Roman" w:hAnsi="Times New Roman" w:cs="Times New Roman"/>
          <w:color w:val="0D0D0D" w:themeColor="text1" w:themeTint="F2"/>
          <w:sz w:val="22"/>
          <w:szCs w:val="22"/>
        </w:rPr>
        <w:t xml:space="preserve"> noviem</w:t>
      </w:r>
      <w:r w:rsidR="00FE2DFF" w:rsidRPr="00506990">
        <w:rPr>
          <w:rFonts w:ascii="Times New Roman" w:hAnsi="Times New Roman" w:cs="Times New Roman"/>
          <w:color w:val="0D0D0D" w:themeColor="text1" w:themeTint="F2"/>
          <w:sz w:val="22"/>
          <w:szCs w:val="22"/>
        </w:rPr>
        <w:t>bre</w:t>
      </w:r>
      <w:r w:rsidR="00F13673" w:rsidRPr="00506990">
        <w:rPr>
          <w:rFonts w:ascii="Times New Roman" w:hAnsi="Times New Roman" w:cs="Times New Roman"/>
          <w:color w:val="0D0D0D" w:themeColor="text1" w:themeTint="F2"/>
          <w:sz w:val="22"/>
          <w:szCs w:val="22"/>
        </w:rPr>
        <w:t xml:space="preserve"> </w:t>
      </w:r>
      <w:r w:rsidR="00400E47"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de 201</w:t>
      </w:r>
      <w:r w:rsidR="000F3859" w:rsidRPr="00506990">
        <w:rPr>
          <w:rFonts w:ascii="Times New Roman" w:hAnsi="Times New Roman" w:cs="Times New Roman"/>
          <w:color w:val="0D0D0D" w:themeColor="text1" w:themeTint="F2"/>
          <w:sz w:val="22"/>
          <w:szCs w:val="22"/>
        </w:rPr>
        <w:t>9</w:t>
      </w:r>
      <w:r w:rsidRPr="00506990">
        <w:rPr>
          <w:rFonts w:ascii="Times New Roman" w:hAnsi="Times New Roman" w:cs="Times New Roman"/>
          <w:color w:val="0D0D0D" w:themeColor="text1" w:themeTint="F2"/>
          <w:sz w:val="22"/>
          <w:szCs w:val="22"/>
        </w:rPr>
        <w:t xml:space="preserve">) y de la empresa Logme S.A. (que cuenta con </w:t>
      </w:r>
      <w:r w:rsidR="00F13673" w:rsidRPr="00506990">
        <w:rPr>
          <w:rFonts w:ascii="Times New Roman" w:hAnsi="Times New Roman" w:cs="Times New Roman"/>
          <w:color w:val="0D0D0D" w:themeColor="text1" w:themeTint="F2"/>
          <w:sz w:val="22"/>
          <w:szCs w:val="22"/>
        </w:rPr>
        <w:t>2</w:t>
      </w:r>
      <w:r w:rsidR="00FF22F3">
        <w:rPr>
          <w:rFonts w:ascii="Times New Roman" w:hAnsi="Times New Roman" w:cs="Times New Roman"/>
          <w:color w:val="0D0D0D" w:themeColor="text1" w:themeTint="F2"/>
          <w:sz w:val="22"/>
          <w:szCs w:val="22"/>
        </w:rPr>
        <w:t>5</w:t>
      </w:r>
      <w:r w:rsidRPr="00506990">
        <w:rPr>
          <w:rFonts w:ascii="Times New Roman" w:hAnsi="Times New Roman" w:cs="Times New Roman"/>
          <w:color w:val="0D0D0D" w:themeColor="text1" w:themeTint="F2"/>
          <w:sz w:val="22"/>
          <w:szCs w:val="22"/>
        </w:rPr>
        <w:t xml:space="preserve"> empleados al </w:t>
      </w:r>
      <w:r w:rsidR="003B5876" w:rsidRPr="00506990">
        <w:rPr>
          <w:rFonts w:ascii="Times New Roman" w:hAnsi="Times New Roman" w:cs="Times New Roman"/>
          <w:color w:val="0D0D0D" w:themeColor="text1" w:themeTint="F2"/>
          <w:sz w:val="22"/>
          <w:szCs w:val="22"/>
        </w:rPr>
        <w:t>3</w:t>
      </w:r>
      <w:r w:rsidR="00FF22F3">
        <w:rPr>
          <w:rFonts w:ascii="Times New Roman" w:hAnsi="Times New Roman" w:cs="Times New Roman"/>
          <w:color w:val="0D0D0D" w:themeColor="text1" w:themeTint="F2"/>
          <w:sz w:val="22"/>
          <w:szCs w:val="22"/>
        </w:rPr>
        <w:t>0</w:t>
      </w:r>
      <w:r w:rsidR="00F13673" w:rsidRPr="00506990">
        <w:rPr>
          <w:rFonts w:ascii="Times New Roman" w:hAnsi="Times New Roman" w:cs="Times New Roman"/>
          <w:color w:val="0D0D0D" w:themeColor="text1" w:themeTint="F2"/>
          <w:sz w:val="22"/>
          <w:szCs w:val="22"/>
        </w:rPr>
        <w:t xml:space="preserve"> de </w:t>
      </w:r>
      <w:r w:rsidR="00FF22F3">
        <w:rPr>
          <w:rFonts w:ascii="Times New Roman" w:hAnsi="Times New Roman" w:cs="Times New Roman"/>
          <w:color w:val="0D0D0D" w:themeColor="text1" w:themeTint="F2"/>
          <w:sz w:val="22"/>
          <w:szCs w:val="22"/>
        </w:rPr>
        <w:t>noviem</w:t>
      </w:r>
      <w:r w:rsidR="00FE2DFF" w:rsidRPr="00506990">
        <w:rPr>
          <w:rFonts w:ascii="Times New Roman" w:hAnsi="Times New Roman" w:cs="Times New Roman"/>
          <w:color w:val="0D0D0D" w:themeColor="text1" w:themeTint="F2"/>
          <w:sz w:val="22"/>
          <w:szCs w:val="22"/>
        </w:rPr>
        <w:t xml:space="preserve">bre  </w:t>
      </w:r>
      <w:r w:rsidRPr="00506990">
        <w:rPr>
          <w:rFonts w:ascii="Times New Roman" w:hAnsi="Times New Roman" w:cs="Times New Roman"/>
          <w:color w:val="0D0D0D" w:themeColor="text1" w:themeTint="F2"/>
          <w:sz w:val="22"/>
          <w:szCs w:val="22"/>
        </w:rPr>
        <w:t>de 201</w:t>
      </w:r>
      <w:r w:rsidR="000F3859" w:rsidRPr="00506990">
        <w:rPr>
          <w:rFonts w:ascii="Times New Roman" w:hAnsi="Times New Roman" w:cs="Times New Roman"/>
          <w:color w:val="0D0D0D" w:themeColor="text1" w:themeTint="F2"/>
          <w:sz w:val="22"/>
          <w:szCs w:val="22"/>
        </w:rPr>
        <w:t>9</w:t>
      </w:r>
      <w:r w:rsidRPr="00506990">
        <w:rPr>
          <w:rFonts w:ascii="Times New Roman" w:hAnsi="Times New Roman" w:cs="Times New Roman"/>
          <w:color w:val="0D0D0D" w:themeColor="text1" w:themeTint="F2"/>
          <w:sz w:val="22"/>
          <w:szCs w:val="22"/>
        </w:rPr>
        <w:t>).</w:t>
      </w:r>
    </w:p>
    <w:p w14:paraId="31D241DC" w14:textId="77777777" w:rsidR="009F05CF" w:rsidRPr="00506990" w:rsidRDefault="009F05CF" w:rsidP="00F74B80">
      <w:pPr>
        <w:rPr>
          <w:rFonts w:ascii="Times New Roman" w:hAnsi="Times New Roman" w:cs="Times New Roman"/>
          <w:color w:val="0D0D0D" w:themeColor="text1" w:themeTint="F2"/>
          <w:sz w:val="22"/>
          <w:szCs w:val="22"/>
        </w:rPr>
      </w:pPr>
    </w:p>
    <w:p w14:paraId="4C71F8C9" w14:textId="3F8DE71B" w:rsidR="00C53DC3" w:rsidRPr="00506990" w:rsidRDefault="00C53DC3" w:rsidP="00C53DC3">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disminución del número de empleados</w:t>
      </w:r>
      <w:r w:rsidR="002D355E" w:rsidRPr="00506990">
        <w:rPr>
          <w:rFonts w:ascii="Times New Roman" w:hAnsi="Times New Roman" w:cs="Times New Roman"/>
          <w:color w:val="0D0D0D" w:themeColor="text1" w:themeTint="F2"/>
          <w:sz w:val="22"/>
          <w:szCs w:val="22"/>
        </w:rPr>
        <w:t xml:space="preserve"> entre el 30/06/2018 y el 3</w:t>
      </w:r>
      <w:r w:rsidR="00FF22F3">
        <w:rPr>
          <w:rFonts w:ascii="Times New Roman" w:hAnsi="Times New Roman" w:cs="Times New Roman"/>
          <w:color w:val="0D0D0D" w:themeColor="text1" w:themeTint="F2"/>
          <w:sz w:val="22"/>
          <w:szCs w:val="22"/>
        </w:rPr>
        <w:t>0</w:t>
      </w:r>
      <w:r w:rsidR="002D355E" w:rsidRPr="00506990">
        <w:rPr>
          <w:rFonts w:ascii="Times New Roman" w:hAnsi="Times New Roman" w:cs="Times New Roman"/>
          <w:color w:val="0D0D0D" w:themeColor="text1" w:themeTint="F2"/>
          <w:sz w:val="22"/>
          <w:szCs w:val="22"/>
        </w:rPr>
        <w:t>/</w:t>
      </w:r>
      <w:r w:rsidR="00FE2DFF" w:rsidRPr="00506990">
        <w:rPr>
          <w:rFonts w:ascii="Times New Roman" w:hAnsi="Times New Roman" w:cs="Times New Roman"/>
          <w:color w:val="0D0D0D" w:themeColor="text1" w:themeTint="F2"/>
          <w:sz w:val="22"/>
          <w:szCs w:val="22"/>
        </w:rPr>
        <w:t>1</w:t>
      </w:r>
      <w:r w:rsidR="00FF22F3">
        <w:rPr>
          <w:rFonts w:ascii="Times New Roman" w:hAnsi="Times New Roman" w:cs="Times New Roman"/>
          <w:color w:val="0D0D0D" w:themeColor="text1" w:themeTint="F2"/>
          <w:sz w:val="22"/>
          <w:szCs w:val="22"/>
        </w:rPr>
        <w:t>1</w:t>
      </w:r>
      <w:r w:rsidR="002D355E" w:rsidRPr="00506990">
        <w:rPr>
          <w:rFonts w:ascii="Times New Roman" w:hAnsi="Times New Roman" w:cs="Times New Roman"/>
          <w:color w:val="0D0D0D" w:themeColor="text1" w:themeTint="F2"/>
          <w:sz w:val="22"/>
          <w:szCs w:val="22"/>
        </w:rPr>
        <w:t>/2019</w:t>
      </w:r>
      <w:r w:rsidRPr="00506990">
        <w:rPr>
          <w:rFonts w:ascii="Times New Roman" w:hAnsi="Times New Roman" w:cs="Times New Roman"/>
          <w:color w:val="0D0D0D" w:themeColor="text1" w:themeTint="F2"/>
          <w:sz w:val="22"/>
          <w:szCs w:val="22"/>
        </w:rPr>
        <w:t xml:space="preserve"> guarda relación con el complejo contexto económico actual, que ha llevado al Fiduciante a adecuar las dotaciones de personal a los niveles de actividad que se fueron dando durante el último ejercicio económico, todo lo cual se encuentra expuesto en la sección “Bazar Avenida en la actualidad”.</w:t>
      </w:r>
    </w:p>
    <w:p w14:paraId="4177B0C7" w14:textId="77777777" w:rsidR="00074F2B" w:rsidRPr="00506990" w:rsidRDefault="00074F2B" w:rsidP="00EE6B60">
      <w:pPr>
        <w:autoSpaceDE w:val="0"/>
        <w:autoSpaceDN w:val="0"/>
        <w:adjustRightInd w:val="0"/>
        <w:jc w:val="left"/>
        <w:rPr>
          <w:rFonts w:ascii="Times New Roman" w:hAnsi="Times New Roman" w:cs="Times New Roman"/>
          <w:bCs/>
          <w:iCs/>
          <w:color w:val="0D0D0D" w:themeColor="text1" w:themeTint="F2"/>
          <w:sz w:val="22"/>
          <w:szCs w:val="22"/>
        </w:rPr>
      </w:pPr>
    </w:p>
    <w:p w14:paraId="47CA318A" w14:textId="41E7DDD6" w:rsidR="00131AB3" w:rsidRPr="00506990" w:rsidRDefault="00074F2B" w:rsidP="00131AB3">
      <w:pPr>
        <w:autoSpaceDE w:val="0"/>
        <w:autoSpaceDN w:val="0"/>
        <w:adjustRightInd w:val="0"/>
        <w:jc w:val="center"/>
        <w:rPr>
          <w:rFonts w:ascii="Times New Roman" w:hAnsi="Times New Roman" w:cs="Times New Roman"/>
          <w:sz w:val="21"/>
          <w:szCs w:val="21"/>
        </w:rPr>
      </w:pPr>
      <w:r w:rsidRPr="00506990">
        <w:rPr>
          <w:rFonts w:ascii="Times New Roman" w:hAnsi="Times New Roman" w:cs="Times New Roman"/>
          <w:b/>
          <w:sz w:val="21"/>
          <w:szCs w:val="21"/>
          <w:u w:val="single"/>
        </w:rPr>
        <w:t xml:space="preserve">Series emitidas y vigentes: (Información al </w:t>
      </w:r>
      <w:r w:rsidR="001E77D2">
        <w:rPr>
          <w:rFonts w:ascii="Times New Roman" w:hAnsi="Times New Roman" w:cs="Times New Roman"/>
          <w:b/>
          <w:sz w:val="21"/>
          <w:szCs w:val="21"/>
          <w:u w:val="single"/>
        </w:rPr>
        <w:t>20 de diciembre de 2019</w:t>
      </w:r>
      <w:r w:rsidRPr="00506990">
        <w:rPr>
          <w:rFonts w:ascii="Times New Roman" w:hAnsi="Times New Roman" w:cs="Times New Roman"/>
          <w:b/>
          <w:sz w:val="21"/>
          <w:szCs w:val="21"/>
          <w:u w:val="single"/>
        </w:rPr>
        <w:t>)</w:t>
      </w:r>
    </w:p>
    <w:p w14:paraId="73660BD2" w14:textId="04D449B0" w:rsidR="008E564C" w:rsidRPr="0098446E" w:rsidRDefault="008E564C" w:rsidP="008E564C">
      <w:pPr>
        <w:jc w:val="left"/>
        <w:rPr>
          <w:rFonts w:ascii="Times New Roman" w:hAnsi="Times New Roman" w:cs="Times New Roman"/>
          <w:sz w:val="22"/>
          <w:szCs w:val="22"/>
          <w:lang w:val="es-AR" w:eastAsia="en-US"/>
        </w:rPr>
      </w:pPr>
    </w:p>
    <w:p w14:paraId="09B9ACB2" w14:textId="5AA83C69" w:rsidR="00317BE7" w:rsidRPr="0098446E" w:rsidRDefault="001E77D2" w:rsidP="00270AFD">
      <w:pPr>
        <w:jc w:val="center"/>
        <w:rPr>
          <w:rFonts w:ascii="Times New Roman" w:hAnsi="Times New Roman" w:cs="Times New Roman"/>
          <w:sz w:val="22"/>
          <w:szCs w:val="22"/>
          <w:lang w:val="es-AR" w:eastAsia="en-US"/>
        </w:rPr>
      </w:pPr>
      <w:r w:rsidRPr="001E77D2">
        <w:rPr>
          <w:noProof/>
          <w:lang w:val="es-AR" w:eastAsia="es-AR"/>
        </w:rPr>
        <w:drawing>
          <wp:inline distT="0" distB="0" distL="0" distR="0" wp14:anchorId="0EF367A5" wp14:editId="5A423BA9">
            <wp:extent cx="4238625" cy="11525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38625" cy="1152525"/>
                    </a:xfrm>
                    <a:prstGeom prst="rect">
                      <a:avLst/>
                    </a:prstGeom>
                    <a:noFill/>
                    <a:ln>
                      <a:noFill/>
                    </a:ln>
                  </pic:spPr>
                </pic:pic>
              </a:graphicData>
            </a:graphic>
          </wp:inline>
        </w:drawing>
      </w:r>
    </w:p>
    <w:p w14:paraId="76A77106" w14:textId="0322717F" w:rsidR="00317BE7" w:rsidRPr="0098446E" w:rsidRDefault="00317BE7" w:rsidP="00270AFD">
      <w:pPr>
        <w:jc w:val="center"/>
        <w:rPr>
          <w:rFonts w:ascii="Times New Roman" w:hAnsi="Times New Roman" w:cs="Times New Roman"/>
          <w:sz w:val="22"/>
          <w:szCs w:val="22"/>
          <w:lang w:val="es-AR" w:eastAsia="en-US"/>
        </w:rPr>
      </w:pPr>
    </w:p>
    <w:p w14:paraId="4290F8DB" w14:textId="7F957DC9" w:rsidR="00E95CE0" w:rsidRPr="00506990" w:rsidRDefault="00E95CE0" w:rsidP="00131AB3">
      <w:pPr>
        <w:autoSpaceDE w:val="0"/>
        <w:autoSpaceDN w:val="0"/>
        <w:adjustRightInd w:val="0"/>
        <w:jc w:val="center"/>
        <w:rPr>
          <w:rFonts w:ascii="Times New Roman" w:hAnsi="Times New Roman" w:cs="Times New Roman"/>
          <w:bCs/>
          <w:iCs/>
          <w:color w:val="0D0D0D" w:themeColor="text1" w:themeTint="F2"/>
          <w:sz w:val="22"/>
          <w:szCs w:val="22"/>
          <w:lang w:val="es-AR"/>
        </w:rPr>
      </w:pPr>
    </w:p>
    <w:p w14:paraId="7DB94DD2" w14:textId="06FF608B" w:rsidR="00F041D4" w:rsidRPr="00506990" w:rsidRDefault="00F041D4" w:rsidP="00F8107E">
      <w:pPr>
        <w:autoSpaceDE w:val="0"/>
        <w:autoSpaceDN w:val="0"/>
        <w:adjustRightInd w:val="0"/>
        <w:jc w:val="left"/>
        <w:rPr>
          <w:rFonts w:ascii="Times New Roman" w:hAnsi="Times New Roman" w:cs="Times New Roman"/>
          <w:bCs/>
          <w:iCs/>
          <w:color w:val="0D0D0D" w:themeColor="text1" w:themeTint="F2"/>
          <w:sz w:val="22"/>
          <w:szCs w:val="22"/>
          <w:lang w:val="es-AR"/>
        </w:rPr>
      </w:pPr>
    </w:p>
    <w:p w14:paraId="29716195" w14:textId="77777777" w:rsidR="00F041D4" w:rsidRPr="00506990" w:rsidRDefault="00F041D4"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p>
    <w:p w14:paraId="5A9ECAA4" w14:textId="34BA8181" w:rsidR="00F74B80" w:rsidRPr="000579E7" w:rsidRDefault="00F74B80"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 - Fideicomisos Vigentes</w:t>
      </w:r>
    </w:p>
    <w:p w14:paraId="5D1276B1" w14:textId="7424B9F7" w:rsidR="00F74B80" w:rsidRPr="00506990" w:rsidRDefault="00F74B80" w:rsidP="00F74B80">
      <w:pPr>
        <w:autoSpaceDE w:val="0"/>
        <w:autoSpaceDN w:val="0"/>
        <w:adjustRightInd w:val="0"/>
        <w:jc w:val="center"/>
        <w:rPr>
          <w:rFonts w:ascii="Times New Roman" w:hAnsi="Times New Roman" w:cs="Times New Roman"/>
          <w:color w:val="0D0D0D" w:themeColor="text1" w:themeTint="F2"/>
          <w:sz w:val="22"/>
          <w:szCs w:val="22"/>
          <w:highlight w:val="yellow"/>
          <w:lang w:val="es-AR"/>
        </w:rPr>
      </w:pPr>
      <w:r w:rsidRPr="00506990">
        <w:rPr>
          <w:rFonts w:ascii="Times New Roman" w:hAnsi="Times New Roman" w:cs="Times New Roman"/>
          <w:bCs/>
          <w:iCs/>
          <w:color w:val="0D0D0D" w:themeColor="text1" w:themeTint="F2"/>
          <w:sz w:val="22"/>
          <w:szCs w:val="22"/>
          <w:lang w:val="es-AR"/>
        </w:rPr>
        <w:t xml:space="preserve">(Información al </w:t>
      </w:r>
      <w:r w:rsidR="00EE08E2" w:rsidRPr="00506990">
        <w:rPr>
          <w:rFonts w:ascii="Times New Roman" w:hAnsi="Times New Roman" w:cs="Times New Roman"/>
          <w:bCs/>
          <w:iCs/>
          <w:color w:val="0D0D0D" w:themeColor="text1" w:themeTint="F2"/>
          <w:sz w:val="22"/>
          <w:szCs w:val="22"/>
          <w:lang w:val="es-AR"/>
        </w:rPr>
        <w:t>3</w:t>
      </w:r>
      <w:r w:rsidR="00FF22F3">
        <w:rPr>
          <w:rFonts w:ascii="Times New Roman" w:hAnsi="Times New Roman" w:cs="Times New Roman"/>
          <w:bCs/>
          <w:iCs/>
          <w:color w:val="0D0D0D" w:themeColor="text1" w:themeTint="F2"/>
          <w:sz w:val="22"/>
          <w:szCs w:val="22"/>
          <w:lang w:val="es-AR"/>
        </w:rPr>
        <w:t>0</w:t>
      </w:r>
      <w:r w:rsidR="00EE08E2" w:rsidRPr="00506990">
        <w:rPr>
          <w:rFonts w:ascii="Times New Roman" w:hAnsi="Times New Roman" w:cs="Times New Roman"/>
          <w:bCs/>
          <w:iCs/>
          <w:color w:val="0D0D0D" w:themeColor="text1" w:themeTint="F2"/>
          <w:sz w:val="22"/>
          <w:szCs w:val="22"/>
          <w:lang w:val="es-AR"/>
        </w:rPr>
        <w:t xml:space="preserve"> de </w:t>
      </w:r>
      <w:r w:rsidR="00FF22F3">
        <w:rPr>
          <w:rFonts w:ascii="Times New Roman" w:hAnsi="Times New Roman" w:cs="Times New Roman"/>
          <w:bCs/>
          <w:iCs/>
          <w:color w:val="0D0D0D" w:themeColor="text1" w:themeTint="F2"/>
          <w:sz w:val="22"/>
          <w:szCs w:val="22"/>
          <w:lang w:val="es-AR"/>
        </w:rPr>
        <w:t>noviem</w:t>
      </w:r>
      <w:r w:rsidR="00FE2DFF" w:rsidRPr="00506990">
        <w:rPr>
          <w:rFonts w:ascii="Times New Roman" w:hAnsi="Times New Roman" w:cs="Times New Roman"/>
          <w:bCs/>
          <w:iCs/>
          <w:color w:val="0D0D0D" w:themeColor="text1" w:themeTint="F2"/>
          <w:sz w:val="22"/>
          <w:szCs w:val="22"/>
          <w:lang w:val="es-AR"/>
        </w:rPr>
        <w:t>bre</w:t>
      </w:r>
      <w:r w:rsidR="001E77D2">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de 201</w:t>
      </w:r>
      <w:r w:rsidR="000F3859" w:rsidRPr="00506990">
        <w:rPr>
          <w:rFonts w:ascii="Times New Roman" w:hAnsi="Times New Roman" w:cs="Times New Roman"/>
          <w:bCs/>
          <w:iCs/>
          <w:color w:val="0D0D0D" w:themeColor="text1" w:themeTint="F2"/>
          <w:sz w:val="22"/>
          <w:szCs w:val="22"/>
          <w:lang w:val="es-AR"/>
        </w:rPr>
        <w:t>9</w:t>
      </w:r>
      <w:r w:rsidRPr="00506990">
        <w:rPr>
          <w:rFonts w:ascii="Times New Roman" w:hAnsi="Times New Roman" w:cs="Times New Roman"/>
          <w:bCs/>
          <w:iCs/>
          <w:color w:val="0D0D0D" w:themeColor="text1" w:themeTint="F2"/>
          <w:sz w:val="22"/>
          <w:szCs w:val="22"/>
          <w:lang w:val="es-AR"/>
        </w:rPr>
        <w:t>)</w:t>
      </w:r>
    </w:p>
    <w:p w14:paraId="4E550D39" w14:textId="2E5702AC" w:rsidR="00F74B80" w:rsidRPr="00506990" w:rsidRDefault="00EE08E2" w:rsidP="00F74B80">
      <w:pPr>
        <w:autoSpaceDE w:val="0"/>
        <w:autoSpaceDN w:val="0"/>
        <w:adjustRightInd w:val="0"/>
        <w:jc w:val="center"/>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xml:space="preserve"> </w:t>
      </w:r>
    </w:p>
    <w:p w14:paraId="77240EBC" w14:textId="58CF080F" w:rsidR="0098009F" w:rsidRPr="00506990" w:rsidRDefault="0098009F"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p>
    <w:p w14:paraId="152590EE" w14:textId="4EB0C13B" w:rsidR="00EE08E2" w:rsidRPr="00506990" w:rsidRDefault="00FF22F3" w:rsidP="006E1DEB">
      <w:pPr>
        <w:tabs>
          <w:tab w:val="left" w:pos="1440"/>
        </w:tabs>
        <w:autoSpaceDE w:val="0"/>
        <w:autoSpaceDN w:val="0"/>
        <w:adjustRightInd w:val="0"/>
        <w:rPr>
          <w:rFonts w:ascii="Times New Roman" w:hAnsi="Times New Roman" w:cs="Times New Roman"/>
          <w:b/>
          <w:bCs/>
          <w:iCs/>
          <w:color w:val="0D0D0D" w:themeColor="text1" w:themeTint="F2"/>
          <w:sz w:val="22"/>
          <w:szCs w:val="22"/>
          <w:lang w:val="es-AR"/>
        </w:rPr>
      </w:pPr>
      <w:r>
        <w:rPr>
          <w:rFonts w:ascii="Times New Roman" w:hAnsi="Times New Roman" w:cs="Times New Roman"/>
          <w:b/>
          <w:bCs/>
          <w:iCs/>
          <w:color w:val="0D0D0D" w:themeColor="text1" w:themeTint="F2"/>
          <w:sz w:val="22"/>
          <w:szCs w:val="22"/>
          <w:lang w:val="es-AR"/>
        </w:rPr>
        <w:tab/>
      </w:r>
      <w:r>
        <w:rPr>
          <w:noProof/>
          <w:lang w:val="es-AR" w:eastAsia="es-AR"/>
        </w:rPr>
        <w:drawing>
          <wp:inline distT="0" distB="0" distL="0" distR="0" wp14:anchorId="6DF1CA73" wp14:editId="44BA41DD">
            <wp:extent cx="5613400" cy="755015"/>
            <wp:effectExtent l="0" t="0" r="6350" b="6985"/>
            <wp:docPr id="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3400" cy="755015"/>
                    </a:xfrm>
                    <a:prstGeom prst="rect">
                      <a:avLst/>
                    </a:prstGeom>
                    <a:noFill/>
                    <a:extLst/>
                  </pic:spPr>
                </pic:pic>
              </a:graphicData>
            </a:graphic>
          </wp:inline>
        </w:drawing>
      </w:r>
    </w:p>
    <w:p w14:paraId="3BEB1FD1" w14:textId="77777777" w:rsidR="00FE2DFF" w:rsidRPr="00506990" w:rsidRDefault="00FE2DFF"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p>
    <w:p w14:paraId="167B7022" w14:textId="590B8F0F" w:rsidR="00FE2DFF" w:rsidRPr="00506990" w:rsidRDefault="00FE2DFF"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p>
    <w:p w14:paraId="4A2C1730" w14:textId="77777777" w:rsidR="008467DE" w:rsidRPr="00506990" w:rsidRDefault="008467DE"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p>
    <w:p w14:paraId="3C2C985F" w14:textId="334FA679" w:rsidR="00F74B80" w:rsidRPr="00506990" w:rsidRDefault="00F74B80" w:rsidP="00F74B80">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Cobranza Anticipada - Fideicomisos Vigentes</w:t>
      </w:r>
    </w:p>
    <w:p w14:paraId="55D8B200" w14:textId="2E90E980" w:rsidR="00F74B80" w:rsidRPr="00506990" w:rsidRDefault="00F74B80" w:rsidP="00F74B80">
      <w:pPr>
        <w:autoSpaceDE w:val="0"/>
        <w:autoSpaceDN w:val="0"/>
        <w:adjustRightInd w:val="0"/>
        <w:jc w:val="center"/>
        <w:rPr>
          <w:rFonts w:ascii="Times New Roman" w:hAnsi="Times New Roman" w:cs="Times New Roman"/>
          <w:b/>
          <w:color w:val="0D0D0D" w:themeColor="text1" w:themeTint="F2"/>
          <w:sz w:val="22"/>
          <w:szCs w:val="22"/>
          <w:u w:val="single"/>
          <w:lang w:val="es-AR"/>
        </w:rPr>
      </w:pPr>
      <w:r w:rsidRPr="00506990">
        <w:rPr>
          <w:rFonts w:ascii="Times New Roman" w:hAnsi="Times New Roman" w:cs="Times New Roman"/>
          <w:bCs/>
          <w:iCs/>
          <w:color w:val="0D0D0D" w:themeColor="text1" w:themeTint="F2"/>
          <w:sz w:val="22"/>
          <w:szCs w:val="22"/>
          <w:lang w:val="es-AR"/>
        </w:rPr>
        <w:t>(Información al</w:t>
      </w:r>
      <w:r w:rsidR="00FA1099" w:rsidRPr="00506990">
        <w:rPr>
          <w:rFonts w:ascii="Times New Roman" w:hAnsi="Times New Roman" w:cs="Times New Roman"/>
          <w:bCs/>
          <w:iCs/>
          <w:color w:val="0D0D0D" w:themeColor="text1" w:themeTint="F2"/>
          <w:sz w:val="22"/>
          <w:szCs w:val="22"/>
          <w:lang w:val="es-AR"/>
        </w:rPr>
        <w:t xml:space="preserve"> </w:t>
      </w:r>
      <w:r w:rsidR="00EE08E2" w:rsidRPr="00506990">
        <w:rPr>
          <w:rFonts w:ascii="Times New Roman" w:hAnsi="Times New Roman" w:cs="Times New Roman"/>
          <w:bCs/>
          <w:iCs/>
          <w:color w:val="0D0D0D" w:themeColor="text1" w:themeTint="F2"/>
          <w:sz w:val="22"/>
          <w:szCs w:val="22"/>
          <w:lang w:val="es-AR"/>
        </w:rPr>
        <w:t>3</w:t>
      </w:r>
      <w:r w:rsidR="00FF22F3">
        <w:rPr>
          <w:rFonts w:ascii="Times New Roman" w:hAnsi="Times New Roman" w:cs="Times New Roman"/>
          <w:bCs/>
          <w:iCs/>
          <w:color w:val="0D0D0D" w:themeColor="text1" w:themeTint="F2"/>
          <w:sz w:val="22"/>
          <w:szCs w:val="22"/>
          <w:lang w:val="es-AR"/>
        </w:rPr>
        <w:t>0</w:t>
      </w:r>
      <w:r w:rsidR="00EE08E2" w:rsidRPr="00506990">
        <w:rPr>
          <w:rFonts w:ascii="Times New Roman" w:hAnsi="Times New Roman" w:cs="Times New Roman"/>
          <w:bCs/>
          <w:iCs/>
          <w:color w:val="0D0D0D" w:themeColor="text1" w:themeTint="F2"/>
          <w:sz w:val="22"/>
          <w:szCs w:val="22"/>
          <w:lang w:val="es-AR"/>
        </w:rPr>
        <w:t xml:space="preserve"> de </w:t>
      </w:r>
      <w:r w:rsidR="00FF22F3">
        <w:rPr>
          <w:rFonts w:ascii="Times New Roman" w:hAnsi="Times New Roman" w:cs="Times New Roman"/>
          <w:bCs/>
          <w:iCs/>
          <w:color w:val="0D0D0D" w:themeColor="text1" w:themeTint="F2"/>
          <w:sz w:val="22"/>
          <w:szCs w:val="22"/>
          <w:lang w:val="es-AR"/>
        </w:rPr>
        <w:t>noviem</w:t>
      </w:r>
      <w:r w:rsidR="00FE2DFF" w:rsidRPr="00506990">
        <w:rPr>
          <w:rFonts w:ascii="Times New Roman" w:hAnsi="Times New Roman" w:cs="Times New Roman"/>
          <w:bCs/>
          <w:iCs/>
          <w:color w:val="0D0D0D" w:themeColor="text1" w:themeTint="F2"/>
          <w:sz w:val="22"/>
          <w:szCs w:val="22"/>
          <w:lang w:val="es-AR"/>
        </w:rPr>
        <w:t>bre</w:t>
      </w:r>
      <w:r w:rsidR="00FF22F3">
        <w:rPr>
          <w:rFonts w:ascii="Times New Roman" w:hAnsi="Times New Roman" w:cs="Times New Roman"/>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de 201</w:t>
      </w:r>
      <w:r w:rsidR="000F3859" w:rsidRPr="00506990">
        <w:rPr>
          <w:rFonts w:ascii="Times New Roman" w:hAnsi="Times New Roman" w:cs="Times New Roman"/>
          <w:bCs/>
          <w:iCs/>
          <w:color w:val="0D0D0D" w:themeColor="text1" w:themeTint="F2"/>
          <w:sz w:val="22"/>
          <w:szCs w:val="22"/>
          <w:lang w:val="es-AR"/>
        </w:rPr>
        <w:t>9</w:t>
      </w:r>
      <w:r w:rsidRPr="00506990">
        <w:rPr>
          <w:rFonts w:ascii="Times New Roman" w:hAnsi="Times New Roman" w:cs="Times New Roman"/>
          <w:bCs/>
          <w:iCs/>
          <w:color w:val="0D0D0D" w:themeColor="text1" w:themeTint="F2"/>
          <w:sz w:val="22"/>
          <w:szCs w:val="22"/>
          <w:lang w:val="es-AR"/>
        </w:rPr>
        <w:t>)</w:t>
      </w:r>
    </w:p>
    <w:p w14:paraId="309C1291" w14:textId="2EA61AE0" w:rsidR="00B47CE6" w:rsidRPr="00506990" w:rsidRDefault="00B47CE6" w:rsidP="00F74B80">
      <w:pPr>
        <w:autoSpaceDE w:val="0"/>
        <w:autoSpaceDN w:val="0"/>
        <w:adjustRightInd w:val="0"/>
        <w:jc w:val="center"/>
        <w:rPr>
          <w:rFonts w:ascii="Times New Roman" w:hAnsi="Times New Roman" w:cs="Times New Roman"/>
          <w:bCs/>
          <w:iCs/>
          <w:color w:val="0D0D0D" w:themeColor="text1" w:themeTint="F2"/>
          <w:sz w:val="22"/>
          <w:szCs w:val="22"/>
          <w:lang w:val="es-AR"/>
        </w:rPr>
      </w:pPr>
    </w:p>
    <w:p w14:paraId="7A8A9734" w14:textId="70B87DD2" w:rsidR="00FA1099" w:rsidRPr="00506990" w:rsidRDefault="00FA1099" w:rsidP="00F74B80">
      <w:pPr>
        <w:autoSpaceDE w:val="0"/>
        <w:autoSpaceDN w:val="0"/>
        <w:adjustRightInd w:val="0"/>
        <w:jc w:val="center"/>
        <w:rPr>
          <w:rFonts w:ascii="Times New Roman" w:hAnsi="Times New Roman" w:cs="Times New Roman"/>
          <w:bCs/>
          <w:iCs/>
          <w:color w:val="0D0D0D" w:themeColor="text1" w:themeTint="F2"/>
          <w:sz w:val="22"/>
          <w:szCs w:val="22"/>
          <w:lang w:val="es-AR"/>
        </w:rPr>
      </w:pPr>
    </w:p>
    <w:p w14:paraId="47709BCB" w14:textId="77777777" w:rsidR="00FE2DFF" w:rsidRPr="00506990" w:rsidRDefault="00FE2DFF" w:rsidP="00F74B80">
      <w:pPr>
        <w:autoSpaceDE w:val="0"/>
        <w:autoSpaceDN w:val="0"/>
        <w:adjustRightInd w:val="0"/>
        <w:jc w:val="center"/>
        <w:rPr>
          <w:rFonts w:ascii="Times New Roman" w:hAnsi="Times New Roman" w:cs="Times New Roman"/>
          <w:bCs/>
          <w:iCs/>
          <w:color w:val="0D0D0D" w:themeColor="text1" w:themeTint="F2"/>
          <w:sz w:val="22"/>
          <w:szCs w:val="22"/>
          <w:lang w:val="es-AR"/>
        </w:rPr>
      </w:pPr>
    </w:p>
    <w:p w14:paraId="5E6E6B5C" w14:textId="26DF43B6" w:rsidR="00FE2DFF" w:rsidRPr="00506990" w:rsidRDefault="00FB44DD" w:rsidP="00F74B80">
      <w:pPr>
        <w:autoSpaceDE w:val="0"/>
        <w:autoSpaceDN w:val="0"/>
        <w:adjustRightInd w:val="0"/>
        <w:jc w:val="center"/>
        <w:rPr>
          <w:rFonts w:ascii="Times New Roman" w:hAnsi="Times New Roman" w:cs="Times New Roman"/>
          <w:bCs/>
          <w:iCs/>
          <w:color w:val="0D0D0D" w:themeColor="text1" w:themeTint="F2"/>
          <w:sz w:val="22"/>
          <w:szCs w:val="22"/>
          <w:lang w:val="es-AR"/>
        </w:rPr>
      </w:pPr>
      <w:r>
        <w:rPr>
          <w:noProof/>
          <w:lang w:val="es-AR" w:eastAsia="es-AR"/>
        </w:rPr>
        <w:drawing>
          <wp:inline distT="0" distB="0" distL="0" distR="0" wp14:anchorId="5E356220" wp14:editId="41024AA1">
            <wp:extent cx="4229100" cy="1000125"/>
            <wp:effectExtent l="0" t="0" r="0" b="9525"/>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29100" cy="1000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5318509" w14:textId="35D3E030" w:rsidR="00F74B80" w:rsidRPr="00506990" w:rsidRDefault="00F74B80" w:rsidP="00F74B80">
      <w:pPr>
        <w:autoSpaceDE w:val="0"/>
        <w:autoSpaceDN w:val="0"/>
        <w:adjustRightInd w:val="0"/>
        <w:jc w:val="center"/>
        <w:rPr>
          <w:rFonts w:ascii="Times New Roman" w:hAnsi="Times New Roman" w:cs="Times New Roman"/>
          <w:color w:val="0D0D0D" w:themeColor="text1" w:themeTint="F2"/>
          <w:sz w:val="22"/>
          <w:szCs w:val="22"/>
          <w:highlight w:val="yellow"/>
        </w:rPr>
      </w:pPr>
    </w:p>
    <w:p w14:paraId="64D0695B" w14:textId="098BADF0" w:rsidR="00A45108" w:rsidRPr="00506990" w:rsidRDefault="00A45108" w:rsidP="005D08D8">
      <w:pPr>
        <w:autoSpaceDE w:val="0"/>
        <w:autoSpaceDN w:val="0"/>
        <w:adjustRightInd w:val="0"/>
        <w:jc w:val="center"/>
        <w:rPr>
          <w:rFonts w:ascii="Times New Roman" w:hAnsi="Times New Roman" w:cs="Times New Roman"/>
          <w:color w:val="0D0D0D" w:themeColor="text1" w:themeTint="F2"/>
          <w:sz w:val="22"/>
          <w:szCs w:val="22"/>
          <w:highlight w:val="yellow"/>
        </w:rPr>
      </w:pPr>
    </w:p>
    <w:p w14:paraId="6D4C8F3F" w14:textId="77777777" w:rsidR="00F74B80" w:rsidRPr="00506990" w:rsidRDefault="00F74B80" w:rsidP="00502438">
      <w:pPr>
        <w:autoSpaceDE w:val="0"/>
        <w:autoSpaceDN w:val="0"/>
        <w:adjustRightInd w:val="0"/>
        <w:jc w:val="center"/>
        <w:rPr>
          <w:rFonts w:ascii="Times New Roman" w:hAnsi="Times New Roman" w:cs="Times New Roman"/>
          <w:bCs/>
          <w:iCs/>
          <w:color w:val="0D0D0D" w:themeColor="text1" w:themeTint="F2"/>
          <w:sz w:val="22"/>
          <w:szCs w:val="22"/>
          <w:lang w:val="es-AR"/>
        </w:rPr>
      </w:pPr>
    </w:p>
    <w:p w14:paraId="2D204658" w14:textId="77777777" w:rsidR="00F74B80" w:rsidRPr="00506990" w:rsidRDefault="00F74B80" w:rsidP="00502438">
      <w:pPr>
        <w:autoSpaceDE w:val="0"/>
        <w:autoSpaceDN w:val="0"/>
        <w:adjustRightInd w:val="0"/>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Los valores corresponden al monto de capital e interés cobrado con anticipación a la fecha de vencimiento de la correspondiente cuota y son expresados como porcentaje del monto total de capital e interés cedido a cada serie.</w:t>
      </w:r>
    </w:p>
    <w:p w14:paraId="2FE923FE" w14:textId="77777777" w:rsidR="00F74B80" w:rsidRPr="00506990" w:rsidRDefault="00F74B80" w:rsidP="00F74B80">
      <w:pPr>
        <w:autoSpaceDE w:val="0"/>
        <w:autoSpaceDN w:val="0"/>
        <w:adjustRightInd w:val="0"/>
        <w:jc w:val="center"/>
        <w:rPr>
          <w:rFonts w:ascii="Times New Roman" w:hAnsi="Times New Roman" w:cs="Times New Roman"/>
          <w:bCs/>
          <w:iCs/>
          <w:color w:val="0D0D0D" w:themeColor="text1" w:themeTint="F2"/>
          <w:sz w:val="22"/>
          <w:szCs w:val="22"/>
          <w:lang w:val="es-AR"/>
        </w:rPr>
      </w:pPr>
    </w:p>
    <w:p w14:paraId="19D2568F" w14:textId="77777777" w:rsidR="00CC479E" w:rsidRPr="0098446E" w:rsidRDefault="00CC479E" w:rsidP="00CC479E">
      <w:pPr>
        <w:jc w:val="center"/>
        <w:rPr>
          <w:rFonts w:ascii="Times New Roman" w:hAnsi="Times New Roman" w:cs="Times New Roman"/>
          <w:b/>
          <w:color w:val="0D0D0D" w:themeColor="text1" w:themeTint="F2"/>
          <w:sz w:val="22"/>
          <w:szCs w:val="22"/>
        </w:rPr>
      </w:pPr>
      <w:r w:rsidRPr="0098446E">
        <w:rPr>
          <w:rFonts w:ascii="Times New Roman" w:hAnsi="Times New Roman" w:cs="Times New Roman"/>
          <w:b/>
          <w:color w:val="0D0D0D" w:themeColor="text1" w:themeTint="F2"/>
          <w:sz w:val="22"/>
          <w:szCs w:val="22"/>
        </w:rPr>
        <w:t>CONSUMO S.A.</w:t>
      </w:r>
    </w:p>
    <w:p w14:paraId="354F75E8" w14:textId="77777777" w:rsidR="00CC479E" w:rsidRPr="0098446E" w:rsidRDefault="00CC479E" w:rsidP="00CC479E">
      <w:pPr>
        <w:jc w:val="center"/>
        <w:rPr>
          <w:rFonts w:ascii="Times New Roman" w:hAnsi="Times New Roman" w:cs="Times New Roman"/>
          <w:b/>
          <w:color w:val="0D0D0D" w:themeColor="text1" w:themeTint="F2"/>
          <w:sz w:val="22"/>
          <w:szCs w:val="22"/>
        </w:rPr>
      </w:pPr>
    </w:p>
    <w:p w14:paraId="446B0379"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587109A7" w14:textId="0E9C2031"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 xml:space="preserve">Consumo se constituyó como una SRL el 02/07/1986, y se transformó en Sociedad Anónima por Acta de Asamblea del 31/01/2007, inscripta en el Registro Público de Comercio de Rafaela bajo el número 1220, folio 151/151 del Libro III, de los Estatutos de Sociedades Anónimas con fecha 29/08/2007, con domicilio social inscripto en la calle </w:t>
      </w:r>
      <w:r w:rsidR="00C55026">
        <w:rPr>
          <w:rFonts w:ascii="Times New Roman" w:hAnsi="Times New Roman" w:cs="Times New Roman"/>
          <w:bCs/>
          <w:color w:val="0D0D0D" w:themeColor="text1" w:themeTint="F2"/>
          <w:sz w:val="22"/>
          <w:szCs w:val="22"/>
          <w:lang w:val="es-AR"/>
        </w:rPr>
        <w:t>Calle 3 N°1045</w:t>
      </w:r>
      <w:r w:rsidRPr="0098446E">
        <w:rPr>
          <w:rFonts w:ascii="Times New Roman" w:hAnsi="Times New Roman" w:cs="Times New Roman"/>
          <w:bCs/>
          <w:color w:val="0D0D0D" w:themeColor="text1" w:themeTint="F2"/>
          <w:sz w:val="22"/>
          <w:szCs w:val="22"/>
          <w:lang w:val="es-AR"/>
        </w:rPr>
        <w:t>, Rafaela, provincia de Santa Fe. CUIT:</w:t>
      </w:r>
      <w:r w:rsidRPr="0098446E">
        <w:rPr>
          <w:rFonts w:ascii="Times New Roman" w:hAnsi="Times New Roman" w:cs="Times New Roman"/>
          <w:color w:val="0D0D0D" w:themeColor="text1" w:themeTint="F2"/>
          <w:sz w:val="22"/>
          <w:szCs w:val="22"/>
        </w:rPr>
        <w:t xml:space="preserve"> </w:t>
      </w:r>
      <w:r w:rsidRPr="0098446E">
        <w:rPr>
          <w:rFonts w:ascii="Times New Roman" w:hAnsi="Times New Roman" w:cs="Times New Roman"/>
          <w:bCs/>
          <w:color w:val="0D0D0D" w:themeColor="text1" w:themeTint="F2"/>
          <w:sz w:val="22"/>
          <w:szCs w:val="22"/>
          <w:lang w:val="es-AR"/>
        </w:rPr>
        <w:t xml:space="preserve">30-61585180-5, Teléfono 03492 438000, fax 03492 438070 Correo electrónico: </w:t>
      </w:r>
      <w:r w:rsidRPr="0098446E">
        <w:rPr>
          <w:rFonts w:ascii="Times New Roman" w:hAnsi="Times New Roman" w:cs="Times New Roman"/>
          <w:color w:val="0D0D0D" w:themeColor="text1" w:themeTint="F2"/>
          <w:sz w:val="22"/>
          <w:szCs w:val="22"/>
          <w:lang w:val="es-AR" w:eastAsia="en-US"/>
        </w:rPr>
        <w:t>infofid@bamegatone.com.</w:t>
      </w:r>
      <w:r w:rsidRPr="0098446E">
        <w:rPr>
          <w:rFonts w:ascii="Times New Roman" w:hAnsi="Times New Roman" w:cs="Times New Roman"/>
          <w:bCs/>
          <w:color w:val="0D0D0D" w:themeColor="text1" w:themeTint="F2"/>
          <w:sz w:val="22"/>
          <w:szCs w:val="22"/>
          <w:lang w:val="es-AR"/>
        </w:rPr>
        <w:t xml:space="preserve"> </w:t>
      </w:r>
    </w:p>
    <w:p w14:paraId="038C3D90"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36227463"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Se encuentra inscripta en el Banco Central de la República Argentina como “Proveedor no financiero” bajo el código 55098.</w:t>
      </w:r>
    </w:p>
    <w:p w14:paraId="62D7C0D8"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0A0E183B" w14:textId="47D3ED13" w:rsidR="00CC479E" w:rsidRPr="00506990" w:rsidRDefault="00CC479E" w:rsidP="00CC479E">
      <w:pPr>
        <w:rPr>
          <w:rFonts w:ascii="Times New Roman" w:hAnsi="Times New Roman" w:cs="Times New Roman"/>
          <w:b/>
          <w:color w:val="0D0D0D" w:themeColor="text1" w:themeTint="F2"/>
          <w:sz w:val="22"/>
          <w:szCs w:val="22"/>
        </w:rPr>
      </w:pPr>
      <w:r w:rsidRPr="0098446E">
        <w:rPr>
          <w:rFonts w:ascii="Times New Roman" w:hAnsi="Times New Roman" w:cs="Times New Roman"/>
          <w:b/>
          <w:color w:val="0D0D0D" w:themeColor="text1" w:themeTint="F2"/>
          <w:sz w:val="22"/>
          <w:szCs w:val="22"/>
        </w:rPr>
        <w:t>DIRECTORIO CONSUMO S.A.</w:t>
      </w:r>
    </w:p>
    <w:p w14:paraId="1C773BA9" w14:textId="77777777" w:rsidR="00C73A1B" w:rsidRPr="00506990" w:rsidRDefault="00C73A1B" w:rsidP="00CC479E">
      <w:pPr>
        <w:rPr>
          <w:rFonts w:ascii="Times New Roman" w:hAnsi="Times New Roman" w:cs="Times New Roman"/>
          <w:b/>
          <w:color w:val="0D0D0D" w:themeColor="text1" w:themeTint="F2"/>
          <w:sz w:val="22"/>
          <w:szCs w:val="22"/>
        </w:rPr>
      </w:pPr>
    </w:p>
    <w:p w14:paraId="253880BD" w14:textId="4A5CEE60" w:rsidR="00C73A1B" w:rsidRPr="00506990" w:rsidRDefault="00C73A1B" w:rsidP="00CC479E">
      <w:pPr>
        <w:rPr>
          <w:rFonts w:ascii="Times New Roman" w:hAnsi="Times New Roman" w:cs="Times New Roman"/>
          <w:b/>
          <w:color w:val="0D0D0D" w:themeColor="text1" w:themeTint="F2"/>
          <w:sz w:val="22"/>
          <w:szCs w:val="22"/>
        </w:rPr>
      </w:pPr>
      <w:r w:rsidRPr="0098446E">
        <w:rPr>
          <w:rFonts w:ascii="Times New Roman" w:hAnsi="Times New Roman" w:cs="Times New Roman"/>
          <w:noProof/>
          <w:lang w:val="es-AR" w:eastAsia="es-AR"/>
        </w:rPr>
        <w:drawing>
          <wp:inline distT="0" distB="0" distL="0" distR="0" wp14:anchorId="6A31A7EC" wp14:editId="5F24B67F">
            <wp:extent cx="4781550" cy="2676525"/>
            <wp:effectExtent l="0" t="0" r="0" b="9525"/>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81550" cy="2676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97C6823" w14:textId="77777777" w:rsidR="00C73A1B" w:rsidRPr="00506990" w:rsidRDefault="00C73A1B" w:rsidP="00CC479E">
      <w:pPr>
        <w:rPr>
          <w:rFonts w:ascii="Times New Roman" w:hAnsi="Times New Roman" w:cs="Times New Roman"/>
          <w:b/>
          <w:color w:val="0D0D0D" w:themeColor="text1" w:themeTint="F2"/>
          <w:sz w:val="22"/>
          <w:szCs w:val="22"/>
        </w:rPr>
      </w:pPr>
    </w:p>
    <w:p w14:paraId="6FA5EBFC" w14:textId="77777777" w:rsidR="00C73A1B" w:rsidRPr="0098446E" w:rsidRDefault="00C73A1B" w:rsidP="00C73A1B">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La Sociedad prescinde de Sindicatura, conforme lo autoriza el artículo 284 de la Ley General de Sociedades.</w:t>
      </w:r>
    </w:p>
    <w:p w14:paraId="4B5B0FA4" w14:textId="77777777" w:rsidR="00C73A1B" w:rsidRPr="0098446E" w:rsidRDefault="00C73A1B" w:rsidP="00C73A1B">
      <w:pPr>
        <w:rPr>
          <w:rFonts w:ascii="Times New Roman" w:hAnsi="Times New Roman" w:cs="Times New Roman"/>
          <w:color w:val="0D0D0D" w:themeColor="text1" w:themeTint="F2"/>
          <w:sz w:val="22"/>
          <w:szCs w:val="22"/>
        </w:rPr>
      </w:pPr>
    </w:p>
    <w:p w14:paraId="7F73F265" w14:textId="77777777" w:rsidR="00C73A1B" w:rsidRPr="0098446E" w:rsidRDefault="00C73A1B" w:rsidP="00C73A1B">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Estructura Gerencial de primera línea:</w:t>
      </w:r>
    </w:p>
    <w:p w14:paraId="1E271B82" w14:textId="77777777" w:rsidR="00C73A1B" w:rsidRPr="00506990" w:rsidRDefault="00C73A1B" w:rsidP="00C73A1B">
      <w:pPr>
        <w:pStyle w:val="Prrafodelista"/>
        <w:numPr>
          <w:ilvl w:val="0"/>
          <w:numId w:val="42"/>
        </w:numPr>
        <w:spacing w:after="200" w:line="276" w:lineRule="auto"/>
        <w:jc w:val="both"/>
        <w:rPr>
          <w:color w:val="0D0D0D" w:themeColor="text1" w:themeTint="F2"/>
          <w:sz w:val="22"/>
          <w:szCs w:val="22"/>
        </w:rPr>
      </w:pPr>
      <w:r w:rsidRPr="00506990">
        <w:rPr>
          <w:b/>
          <w:color w:val="0D0D0D" w:themeColor="text1" w:themeTint="F2"/>
          <w:sz w:val="22"/>
          <w:szCs w:val="22"/>
        </w:rPr>
        <w:t>Gerencia Comercial</w:t>
      </w:r>
      <w:r w:rsidRPr="00506990">
        <w:rPr>
          <w:color w:val="0D0D0D" w:themeColor="text1" w:themeTint="F2"/>
          <w:sz w:val="22"/>
          <w:szCs w:val="22"/>
        </w:rPr>
        <w:t>: Santi, Daniel Alejandro.</w:t>
      </w:r>
    </w:p>
    <w:p w14:paraId="5D5705CB" w14:textId="77777777" w:rsidR="00C73A1B" w:rsidRPr="00506990" w:rsidRDefault="00C73A1B" w:rsidP="00C73A1B">
      <w:pPr>
        <w:pStyle w:val="Prrafodelista"/>
        <w:numPr>
          <w:ilvl w:val="0"/>
          <w:numId w:val="42"/>
        </w:numPr>
        <w:spacing w:after="200" w:line="276" w:lineRule="auto"/>
        <w:jc w:val="both"/>
        <w:rPr>
          <w:color w:val="0D0D0D" w:themeColor="text1" w:themeTint="F2"/>
          <w:sz w:val="22"/>
          <w:szCs w:val="22"/>
        </w:rPr>
      </w:pPr>
      <w:r w:rsidRPr="00506990">
        <w:rPr>
          <w:b/>
          <w:color w:val="0D0D0D" w:themeColor="text1" w:themeTint="F2"/>
          <w:sz w:val="22"/>
          <w:szCs w:val="22"/>
        </w:rPr>
        <w:t>Gerencia de Administración y Finanzas</w:t>
      </w:r>
      <w:r w:rsidRPr="00506990">
        <w:rPr>
          <w:color w:val="0D0D0D" w:themeColor="text1" w:themeTint="F2"/>
          <w:sz w:val="22"/>
          <w:szCs w:val="22"/>
        </w:rPr>
        <w:t>: Santi, Esteban Marcelo.</w:t>
      </w:r>
    </w:p>
    <w:p w14:paraId="6E862618" w14:textId="2F0A5E56" w:rsidR="00C73A1B" w:rsidRPr="00506990" w:rsidRDefault="00C73A1B" w:rsidP="00C73A1B">
      <w:pPr>
        <w:pStyle w:val="Prrafodelista"/>
        <w:numPr>
          <w:ilvl w:val="0"/>
          <w:numId w:val="42"/>
        </w:numPr>
        <w:spacing w:after="200" w:line="276" w:lineRule="auto"/>
        <w:jc w:val="both"/>
        <w:rPr>
          <w:color w:val="0D0D0D" w:themeColor="text1" w:themeTint="F2"/>
          <w:sz w:val="22"/>
          <w:szCs w:val="22"/>
        </w:rPr>
      </w:pPr>
      <w:r w:rsidRPr="00506990">
        <w:rPr>
          <w:b/>
          <w:color w:val="0D0D0D" w:themeColor="text1" w:themeTint="F2"/>
          <w:sz w:val="22"/>
          <w:szCs w:val="22"/>
        </w:rPr>
        <w:t>Gerencia de RRHH, Créditos y Cobranzas</w:t>
      </w:r>
      <w:r w:rsidRPr="00506990">
        <w:rPr>
          <w:color w:val="0D0D0D" w:themeColor="text1" w:themeTint="F2"/>
          <w:sz w:val="22"/>
          <w:szCs w:val="22"/>
        </w:rPr>
        <w:t>: Fregona, José Omar</w:t>
      </w:r>
    </w:p>
    <w:p w14:paraId="302AB88D" w14:textId="77777777" w:rsidR="00C73A1B" w:rsidRPr="00506990" w:rsidRDefault="00C73A1B" w:rsidP="00CC479E">
      <w:pPr>
        <w:rPr>
          <w:rFonts w:ascii="Times New Roman" w:hAnsi="Times New Roman" w:cs="Times New Roman"/>
          <w:b/>
          <w:color w:val="0D0D0D" w:themeColor="text1" w:themeTint="F2"/>
          <w:sz w:val="22"/>
          <w:szCs w:val="22"/>
        </w:rPr>
      </w:pPr>
    </w:p>
    <w:p w14:paraId="4B68A9AC" w14:textId="709A5A7C" w:rsidR="00CC479E" w:rsidRPr="00506990" w:rsidRDefault="00CC479E" w:rsidP="00CC479E">
      <w:pPr>
        <w:rPr>
          <w:rFonts w:ascii="Times New Roman" w:hAnsi="Times New Roman" w:cs="Times New Roman"/>
          <w:b/>
          <w:color w:val="0D0D0D" w:themeColor="text1" w:themeTint="F2"/>
          <w:sz w:val="22"/>
          <w:szCs w:val="22"/>
        </w:rPr>
      </w:pPr>
    </w:p>
    <w:p w14:paraId="27A9677D" w14:textId="77777777" w:rsidR="00CC479E" w:rsidRPr="00506990" w:rsidRDefault="00CC479E" w:rsidP="00CC479E">
      <w:pPr>
        <w:shd w:val="clear" w:color="auto" w:fill="D9D9D9"/>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RESEÑA HISTÓRICA</w:t>
      </w:r>
    </w:p>
    <w:p w14:paraId="28F3EFFE"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314AA4FD"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Inició sus actividades en el año 1987, al advertirse la posibilidad de atender la demanda de financiación de un importante segmento del mercado. En ese momento se comenzó únicamente con la financiación de productos para Bazar Avenida SA.</w:t>
      </w:r>
    </w:p>
    <w:p w14:paraId="17A83CDA"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2C3340DA"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 partir de la década del ’90, la operatoria se extiende al comercio en general con préstamos de consumo y desde el año 1995 con la Tarjeta Consumo Express, luego Confina.</w:t>
      </w:r>
    </w:p>
    <w:p w14:paraId="454BB3E0"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04407990"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En 1995 se abre la Casa Central, llegando a incorporarse 23 sucursales propias en varias localidades del interior del país.</w:t>
      </w:r>
    </w:p>
    <w:p w14:paraId="38842CFB"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41BE5E58"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En el año 2001, la situación macroeconómica del país llevó a la empresa a una reorganización gradual de sus actividades, a fin de adaptarse al nuevo contexto, procediendo a cerrarse casi la totalidad de las sucursales (excepto en la ciudad de Rafaela), y a la suspensión temporaria de las operaciones financieras.</w:t>
      </w:r>
    </w:p>
    <w:p w14:paraId="3F36228C"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1AD820C4"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 partir de ese momento, el desarrollo de sucursales se realizó aprovechando la experiencia que acumulara en esos lugares Bazar Avenida, contando así con una importante base de clientes para comenzar a accionar.</w:t>
      </w:r>
    </w:p>
    <w:p w14:paraId="706DB2C0"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3B6F6EC1"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Confina se orienta fundamentalmente al denominado segmento C1 / C2, personas en relación de dependencia y sin acceso a la atención bancaria.</w:t>
      </w:r>
    </w:p>
    <w:p w14:paraId="3CF8B775"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2CA2D913"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lang w:val="es-AR"/>
        </w:rPr>
        <w:t>La empresa utiliza avanzadas herramientas y procesos de análisis de riesgo aplicados tanto en la generación del crédito como en su posterior etapa de cobranza. Cada cliente potencial pasa por un estricto control de tipo predictivo, que implica la interacción con diferentes bases de datos comerciales, bancarias y financieras, simplificándose el proceso de otorgamiento el crédito, sin resignar calidad en la cartera.</w:t>
      </w:r>
    </w:p>
    <w:p w14:paraId="7E6E7202"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6E18BB33" w14:textId="75EFA92C"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lang w:val="es-AR"/>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“EXPTE. N°2068- AÑO: 2.009- CON</w:t>
      </w:r>
      <w:r w:rsidR="00C37D1F" w:rsidRPr="00506990">
        <w:rPr>
          <w:rFonts w:ascii="Times New Roman" w:hAnsi="Times New Roman" w:cs="Times New Roman"/>
          <w:color w:val="0D0D0D" w:themeColor="text1" w:themeTint="F2"/>
          <w:sz w:val="22"/>
          <w:szCs w:val="22"/>
          <w:lang w:val="es-AR"/>
        </w:rPr>
        <w:t>SU</w:t>
      </w:r>
      <w:r w:rsidRPr="0098446E">
        <w:rPr>
          <w:rFonts w:ascii="Times New Roman" w:hAnsi="Times New Roman" w:cs="Times New Roman"/>
          <w:color w:val="0D0D0D" w:themeColor="text1" w:themeTint="F2"/>
          <w:sz w:val="22"/>
          <w:szCs w:val="22"/>
          <w:lang w:val="es-AR"/>
        </w:rPr>
        <w:t>MO S.A S/ CONCURSO PREVENTIVO”.</w:t>
      </w:r>
    </w:p>
    <w:p w14:paraId="45D272C3"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35897796" w14:textId="0AEB3FC0" w:rsidR="00CC479E" w:rsidRPr="0098446E" w:rsidRDefault="00CC479E" w:rsidP="00CC479E">
      <w:pPr>
        <w:rPr>
          <w:rFonts w:ascii="Times New Roman" w:hAnsi="Times New Roman" w:cs="Times New Roman"/>
          <w:color w:val="0D0D0D" w:themeColor="text1" w:themeTint="F2"/>
          <w:sz w:val="22"/>
          <w:szCs w:val="22"/>
          <w:lang w:val="es-AR"/>
        </w:rPr>
      </w:pPr>
      <w:r w:rsidRPr="0098446E">
        <w:rPr>
          <w:rFonts w:ascii="Times New Roman" w:hAnsi="Times New Roman" w:cs="Times New Roman"/>
          <w:color w:val="0D0D0D" w:themeColor="text1" w:themeTint="F2"/>
          <w:sz w:val="22"/>
          <w:szCs w:val="22"/>
          <w:lang w:val="es-AR"/>
        </w:rPr>
        <w:t>El acuerdo concursal fue homologado mediante resolución N° 550 del 26/08/2013, resolución integradora de la anterior N°276 de fecha 13/05/2013. Consumo inició los pagos en octubre de 2013, con perfecto cumplimiento de los compromisos asumidos. Al 3</w:t>
      </w:r>
      <w:r w:rsidR="00692378">
        <w:rPr>
          <w:rFonts w:ascii="Times New Roman" w:hAnsi="Times New Roman" w:cs="Times New Roman"/>
          <w:color w:val="0D0D0D" w:themeColor="text1" w:themeTint="F2"/>
          <w:sz w:val="22"/>
          <w:szCs w:val="22"/>
          <w:lang w:val="es-AR"/>
        </w:rPr>
        <w:t>0</w:t>
      </w:r>
      <w:r w:rsidRPr="0098446E">
        <w:rPr>
          <w:rFonts w:ascii="Times New Roman" w:hAnsi="Times New Roman" w:cs="Times New Roman"/>
          <w:color w:val="0D0D0D" w:themeColor="text1" w:themeTint="F2"/>
          <w:sz w:val="22"/>
          <w:szCs w:val="22"/>
          <w:lang w:val="es-AR"/>
        </w:rPr>
        <w:t>/</w:t>
      </w:r>
      <w:r w:rsidR="00C73A1B" w:rsidRPr="00506990">
        <w:rPr>
          <w:rFonts w:ascii="Times New Roman" w:hAnsi="Times New Roman" w:cs="Times New Roman"/>
          <w:color w:val="0D0D0D" w:themeColor="text1" w:themeTint="F2"/>
          <w:sz w:val="22"/>
          <w:szCs w:val="22"/>
          <w:lang w:val="es-AR"/>
        </w:rPr>
        <w:t>1</w:t>
      </w:r>
      <w:r w:rsidR="00692378">
        <w:rPr>
          <w:rFonts w:ascii="Times New Roman" w:hAnsi="Times New Roman" w:cs="Times New Roman"/>
          <w:color w:val="0D0D0D" w:themeColor="text1" w:themeTint="F2"/>
          <w:sz w:val="22"/>
          <w:szCs w:val="22"/>
          <w:lang w:val="es-AR"/>
        </w:rPr>
        <w:t>1</w:t>
      </w:r>
      <w:r w:rsidRPr="0098446E">
        <w:rPr>
          <w:rFonts w:ascii="Times New Roman" w:hAnsi="Times New Roman" w:cs="Times New Roman"/>
          <w:color w:val="0D0D0D" w:themeColor="text1" w:themeTint="F2"/>
          <w:sz w:val="22"/>
          <w:szCs w:val="22"/>
          <w:lang w:val="es-AR"/>
        </w:rPr>
        <w:t>/20</w:t>
      </w:r>
      <w:r w:rsidR="00C73A1B" w:rsidRPr="00506990">
        <w:rPr>
          <w:rFonts w:ascii="Times New Roman" w:hAnsi="Times New Roman" w:cs="Times New Roman"/>
          <w:color w:val="0D0D0D" w:themeColor="text1" w:themeTint="F2"/>
          <w:sz w:val="22"/>
          <w:szCs w:val="22"/>
          <w:lang w:val="es-AR"/>
        </w:rPr>
        <w:t>19</w:t>
      </w:r>
      <w:r w:rsidRPr="0098446E">
        <w:rPr>
          <w:rFonts w:ascii="Times New Roman" w:hAnsi="Times New Roman" w:cs="Times New Roman"/>
          <w:color w:val="0D0D0D" w:themeColor="text1" w:themeTint="F2"/>
          <w:sz w:val="22"/>
          <w:szCs w:val="22"/>
          <w:lang w:val="es-AR"/>
        </w:rPr>
        <w:t xml:space="preserve"> el monto de capital pendiente de cancelación asciende a $</w:t>
      </w:r>
      <w:r w:rsidR="00587AB9" w:rsidRPr="00506990">
        <w:rPr>
          <w:rFonts w:ascii="Times New Roman" w:hAnsi="Times New Roman" w:cs="Times New Roman"/>
          <w:color w:val="0D0D0D" w:themeColor="text1" w:themeTint="F2"/>
          <w:sz w:val="22"/>
          <w:szCs w:val="22"/>
          <w:lang w:val="es-AR"/>
        </w:rPr>
        <w:t>35.</w:t>
      </w:r>
      <w:r w:rsidR="00692378">
        <w:rPr>
          <w:rFonts w:ascii="Times New Roman" w:hAnsi="Times New Roman" w:cs="Times New Roman"/>
          <w:color w:val="0D0D0D" w:themeColor="text1" w:themeTint="F2"/>
          <w:sz w:val="22"/>
          <w:szCs w:val="22"/>
          <w:lang w:val="es-AR"/>
        </w:rPr>
        <w:t>486</w:t>
      </w:r>
    </w:p>
    <w:p w14:paraId="75BD79AD" w14:textId="77777777" w:rsidR="00CC479E" w:rsidRPr="0098446E" w:rsidRDefault="00CC479E" w:rsidP="00CC479E">
      <w:pPr>
        <w:rPr>
          <w:rFonts w:ascii="Times New Roman" w:hAnsi="Times New Roman" w:cs="Times New Roman"/>
          <w:bCs/>
          <w:color w:val="0D0D0D" w:themeColor="text1" w:themeTint="F2"/>
          <w:sz w:val="22"/>
          <w:szCs w:val="22"/>
        </w:rPr>
      </w:pPr>
    </w:p>
    <w:p w14:paraId="00F1C6EE" w14:textId="0DED4D16" w:rsidR="00CC479E" w:rsidRPr="00506990" w:rsidRDefault="00CC479E" w:rsidP="00CC479E">
      <w:pPr>
        <w:rPr>
          <w:rFonts w:ascii="Times New Roman" w:hAnsi="Times New Roman" w:cs="Times New Roman"/>
          <w:bCs/>
          <w:color w:val="0D0D0D" w:themeColor="text1" w:themeTint="F2"/>
          <w:sz w:val="22"/>
          <w:szCs w:val="22"/>
          <w:lang w:val="es-AR"/>
        </w:rPr>
      </w:pPr>
    </w:p>
    <w:p w14:paraId="33FD5860" w14:textId="77777777" w:rsidR="00587AB9" w:rsidRPr="00506990" w:rsidRDefault="00587AB9" w:rsidP="00CC479E">
      <w:pPr>
        <w:rPr>
          <w:rFonts w:ascii="Times New Roman" w:hAnsi="Times New Roman" w:cs="Times New Roman"/>
          <w:bCs/>
          <w:color w:val="0D0D0D" w:themeColor="text1" w:themeTint="F2"/>
          <w:sz w:val="22"/>
          <w:szCs w:val="22"/>
          <w:lang w:val="es-AR"/>
        </w:rPr>
      </w:pPr>
    </w:p>
    <w:p w14:paraId="5BAED997" w14:textId="301E49D8" w:rsidR="00587AB9" w:rsidRPr="0098446E" w:rsidRDefault="00692378" w:rsidP="00CC479E">
      <w:pPr>
        <w:rPr>
          <w:rFonts w:ascii="Times New Roman" w:hAnsi="Times New Roman" w:cs="Times New Roman"/>
          <w:bCs/>
          <w:color w:val="0D0D0D" w:themeColor="text1" w:themeTint="F2"/>
          <w:sz w:val="22"/>
          <w:szCs w:val="22"/>
          <w:lang w:val="es-AR"/>
        </w:rPr>
      </w:pPr>
      <w:r>
        <w:rPr>
          <w:noProof/>
          <w:lang w:val="es-AR" w:eastAsia="es-AR"/>
        </w:rPr>
        <w:drawing>
          <wp:inline distT="0" distB="0" distL="0" distR="0" wp14:anchorId="7CF32A74" wp14:editId="17B0A6AB">
            <wp:extent cx="3886200" cy="1362075"/>
            <wp:effectExtent l="0" t="0" r="0" b="9525"/>
            <wp:docPr id="4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86200" cy="1362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6694D49" w14:textId="77777777" w:rsidR="00CC479E" w:rsidRPr="0098446E" w:rsidRDefault="00CC479E" w:rsidP="00CC479E">
      <w:pPr>
        <w:rPr>
          <w:rFonts w:ascii="Times New Roman" w:hAnsi="Times New Roman" w:cs="Times New Roman"/>
          <w:bCs/>
          <w:color w:val="0D0D0D" w:themeColor="text1" w:themeTint="F2"/>
          <w:sz w:val="22"/>
          <w:szCs w:val="22"/>
        </w:rPr>
      </w:pPr>
    </w:p>
    <w:p w14:paraId="20C6C589" w14:textId="69BF9C4F" w:rsidR="00CC479E" w:rsidRPr="0098446E" w:rsidRDefault="00CC479E" w:rsidP="00CC479E">
      <w:pPr>
        <w:rPr>
          <w:rFonts w:ascii="Times New Roman" w:hAnsi="Times New Roman" w:cs="Times New Roman"/>
          <w:bCs/>
          <w:color w:val="0D0D0D" w:themeColor="text1" w:themeTint="F2"/>
          <w:sz w:val="22"/>
          <w:szCs w:val="22"/>
          <w:u w:val="single"/>
        </w:rPr>
      </w:pPr>
      <w:r w:rsidRPr="0098446E">
        <w:rPr>
          <w:rFonts w:ascii="Times New Roman" w:hAnsi="Times New Roman" w:cs="Times New Roman"/>
          <w:bCs/>
          <w:color w:val="0D0D0D" w:themeColor="text1" w:themeTint="F2"/>
          <w:sz w:val="22"/>
          <w:szCs w:val="22"/>
          <w:u w:val="single"/>
        </w:rPr>
        <w:t>Detalle del Estado de la Deuda Concursal al 3</w:t>
      </w:r>
      <w:r w:rsidR="00692378">
        <w:rPr>
          <w:rFonts w:ascii="Times New Roman" w:hAnsi="Times New Roman" w:cs="Times New Roman"/>
          <w:bCs/>
          <w:color w:val="0D0D0D" w:themeColor="text1" w:themeTint="F2"/>
          <w:sz w:val="22"/>
          <w:szCs w:val="22"/>
          <w:u w:val="single"/>
        </w:rPr>
        <w:t>0</w:t>
      </w:r>
      <w:r w:rsidRPr="0098446E">
        <w:rPr>
          <w:rFonts w:ascii="Times New Roman" w:hAnsi="Times New Roman" w:cs="Times New Roman"/>
          <w:bCs/>
          <w:color w:val="0D0D0D" w:themeColor="text1" w:themeTint="F2"/>
          <w:sz w:val="22"/>
          <w:szCs w:val="22"/>
          <w:u w:val="single"/>
        </w:rPr>
        <w:t>/</w:t>
      </w:r>
      <w:r w:rsidR="00587AB9" w:rsidRPr="00506990">
        <w:rPr>
          <w:rFonts w:ascii="Times New Roman" w:hAnsi="Times New Roman" w:cs="Times New Roman"/>
          <w:bCs/>
          <w:color w:val="0D0D0D" w:themeColor="text1" w:themeTint="F2"/>
          <w:sz w:val="22"/>
          <w:szCs w:val="22"/>
          <w:u w:val="single"/>
        </w:rPr>
        <w:t>1</w:t>
      </w:r>
      <w:r w:rsidR="00692378">
        <w:rPr>
          <w:rFonts w:ascii="Times New Roman" w:hAnsi="Times New Roman" w:cs="Times New Roman"/>
          <w:bCs/>
          <w:color w:val="0D0D0D" w:themeColor="text1" w:themeTint="F2"/>
          <w:sz w:val="22"/>
          <w:szCs w:val="22"/>
          <w:u w:val="single"/>
        </w:rPr>
        <w:t>1</w:t>
      </w:r>
      <w:r w:rsidRPr="0098446E">
        <w:rPr>
          <w:rFonts w:ascii="Times New Roman" w:hAnsi="Times New Roman" w:cs="Times New Roman"/>
          <w:bCs/>
          <w:color w:val="0D0D0D" w:themeColor="text1" w:themeTint="F2"/>
          <w:sz w:val="22"/>
          <w:szCs w:val="22"/>
          <w:u w:val="single"/>
        </w:rPr>
        <w:t>/201</w:t>
      </w:r>
      <w:r w:rsidR="00587AB9" w:rsidRPr="00506990">
        <w:rPr>
          <w:rFonts w:ascii="Times New Roman" w:hAnsi="Times New Roman" w:cs="Times New Roman"/>
          <w:bCs/>
          <w:color w:val="0D0D0D" w:themeColor="text1" w:themeTint="F2"/>
          <w:sz w:val="22"/>
          <w:szCs w:val="22"/>
          <w:u w:val="single"/>
        </w:rPr>
        <w:t>9</w:t>
      </w:r>
    </w:p>
    <w:p w14:paraId="0494D9D0" w14:textId="77777777" w:rsidR="00CC479E" w:rsidRPr="0098446E" w:rsidRDefault="00CC479E" w:rsidP="00CC479E">
      <w:pPr>
        <w:rPr>
          <w:rFonts w:ascii="Times New Roman" w:hAnsi="Times New Roman" w:cs="Times New Roman"/>
          <w:bCs/>
          <w:color w:val="0D0D0D" w:themeColor="text1" w:themeTint="F2"/>
          <w:sz w:val="22"/>
          <w:szCs w:val="22"/>
          <w:u w:val="single"/>
        </w:rPr>
      </w:pPr>
    </w:p>
    <w:p w14:paraId="5D74A726" w14:textId="7A4B64C8" w:rsidR="00CC479E" w:rsidRPr="00506990" w:rsidRDefault="00CC479E" w:rsidP="00CC479E">
      <w:pPr>
        <w:rPr>
          <w:rFonts w:ascii="Times New Roman" w:hAnsi="Times New Roman" w:cs="Times New Roman"/>
          <w:bCs/>
          <w:color w:val="0D0D0D" w:themeColor="text1" w:themeTint="F2"/>
          <w:sz w:val="22"/>
          <w:szCs w:val="22"/>
          <w:u w:val="single"/>
          <w:lang w:val="es-AR"/>
        </w:rPr>
      </w:pPr>
      <w:r w:rsidRPr="0098446E">
        <w:rPr>
          <w:rFonts w:ascii="Times New Roman" w:hAnsi="Times New Roman" w:cs="Times New Roman"/>
          <w:bCs/>
          <w:color w:val="0D0D0D" w:themeColor="text1" w:themeTint="F2"/>
          <w:sz w:val="22"/>
          <w:szCs w:val="22"/>
          <w:u w:val="single"/>
          <w:lang w:val="es-AR"/>
        </w:rPr>
        <w:t xml:space="preserve"> </w:t>
      </w:r>
    </w:p>
    <w:p w14:paraId="6AA306AC" w14:textId="443FB78D" w:rsidR="00587AB9" w:rsidRPr="0098446E" w:rsidRDefault="00692378" w:rsidP="00CC479E">
      <w:pPr>
        <w:rPr>
          <w:rFonts w:ascii="Times New Roman" w:hAnsi="Times New Roman" w:cs="Times New Roman"/>
          <w:bCs/>
          <w:color w:val="0D0D0D" w:themeColor="text1" w:themeTint="F2"/>
          <w:sz w:val="22"/>
          <w:szCs w:val="22"/>
          <w:u w:val="single"/>
          <w:lang w:val="es-AR"/>
        </w:rPr>
      </w:pPr>
      <w:r>
        <w:rPr>
          <w:noProof/>
          <w:lang w:val="es-AR" w:eastAsia="es-AR"/>
        </w:rPr>
        <w:drawing>
          <wp:inline distT="0" distB="0" distL="0" distR="0" wp14:anchorId="5B716354" wp14:editId="3F63CF83">
            <wp:extent cx="5613400" cy="2637790"/>
            <wp:effectExtent l="0" t="0" r="0" b="0"/>
            <wp:docPr id="4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3400" cy="2637790"/>
                    </a:xfrm>
                    <a:prstGeom prst="rect">
                      <a:avLst/>
                    </a:prstGeom>
                    <a:noFill/>
                    <a:extLst/>
                  </pic:spPr>
                </pic:pic>
              </a:graphicData>
            </a:graphic>
          </wp:inline>
        </w:drawing>
      </w:r>
    </w:p>
    <w:p w14:paraId="5F3D4B8C" w14:textId="72A01894" w:rsidR="00CC479E" w:rsidRPr="0098446E" w:rsidRDefault="00CC479E" w:rsidP="00CC479E">
      <w:pPr>
        <w:rPr>
          <w:rFonts w:ascii="Times New Roman" w:hAnsi="Times New Roman" w:cs="Times New Roman"/>
          <w:bCs/>
          <w:color w:val="0D0D0D" w:themeColor="text1" w:themeTint="F2"/>
          <w:sz w:val="22"/>
          <w:szCs w:val="22"/>
          <w:u w:val="single"/>
        </w:rPr>
      </w:pPr>
    </w:p>
    <w:p w14:paraId="4D882588" w14:textId="277DB719" w:rsidR="00CC479E" w:rsidRPr="0098446E" w:rsidRDefault="00CC479E" w:rsidP="00CC479E">
      <w:pPr>
        <w:rPr>
          <w:rFonts w:ascii="Times New Roman" w:hAnsi="Times New Roman" w:cs="Times New Roman"/>
          <w:color w:val="0D0D0D" w:themeColor="text1" w:themeTint="F2"/>
          <w:sz w:val="22"/>
          <w:szCs w:val="22"/>
          <w:lang w:val="es-AR"/>
        </w:rPr>
      </w:pPr>
      <w:r w:rsidRPr="0098446E">
        <w:rPr>
          <w:rFonts w:ascii="Times New Roman" w:hAnsi="Times New Roman" w:cs="Times New Roman"/>
          <w:bCs/>
          <w:color w:val="0D0D0D" w:themeColor="text1" w:themeTint="F2"/>
          <w:sz w:val="22"/>
          <w:szCs w:val="22"/>
        </w:rPr>
        <w:t>Luego de reorganizar sus operaciones, la empresa experimenta un proceso de consolidación comercial y patrimonial. A continuación se exhiben los principales ratios de la empresa calculados al cierre de los últimos tres ejercicios. Los indicadores se encuentran en línea con los del sector en el que la empresa opera.</w:t>
      </w:r>
    </w:p>
    <w:p w14:paraId="7B14ACEB"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6DC48286" w14:textId="1CE6125A" w:rsidR="00CC479E" w:rsidRPr="00506990" w:rsidRDefault="00CC479E" w:rsidP="00CC479E">
      <w:pPr>
        <w:rPr>
          <w:rFonts w:ascii="Times New Roman" w:hAnsi="Times New Roman" w:cs="Times New Roman"/>
          <w:color w:val="0D0D0D" w:themeColor="text1" w:themeTint="F2"/>
          <w:sz w:val="22"/>
          <w:szCs w:val="22"/>
          <w:lang w:val="es-AR"/>
        </w:rPr>
      </w:pPr>
    </w:p>
    <w:p w14:paraId="4C25B755" w14:textId="77777777" w:rsidR="00C1415E" w:rsidRPr="00506990" w:rsidRDefault="00C1415E" w:rsidP="00CC479E">
      <w:pPr>
        <w:rPr>
          <w:rFonts w:ascii="Times New Roman" w:hAnsi="Times New Roman" w:cs="Times New Roman"/>
          <w:color w:val="0D0D0D" w:themeColor="text1" w:themeTint="F2"/>
          <w:sz w:val="22"/>
          <w:szCs w:val="22"/>
          <w:lang w:val="es-AR"/>
        </w:rPr>
      </w:pPr>
    </w:p>
    <w:p w14:paraId="17E98756" w14:textId="660913EB" w:rsidR="00C1415E" w:rsidRPr="0098446E" w:rsidRDefault="004F27DB" w:rsidP="00CC479E">
      <w:pPr>
        <w:rPr>
          <w:rFonts w:ascii="Times New Roman" w:hAnsi="Times New Roman" w:cs="Times New Roman"/>
          <w:color w:val="0D0D0D" w:themeColor="text1" w:themeTint="F2"/>
          <w:sz w:val="22"/>
          <w:szCs w:val="22"/>
          <w:lang w:val="es-AR"/>
        </w:rPr>
      </w:pPr>
      <w:r w:rsidRPr="0098446E">
        <w:rPr>
          <w:rFonts w:ascii="Times New Roman" w:hAnsi="Times New Roman" w:cs="Times New Roman"/>
          <w:noProof/>
          <w:lang w:val="es-AR" w:eastAsia="es-AR"/>
        </w:rPr>
        <w:drawing>
          <wp:inline distT="0" distB="0" distL="0" distR="0" wp14:anchorId="58046D5E" wp14:editId="1BFE9E6B">
            <wp:extent cx="4733925" cy="585285"/>
            <wp:effectExtent l="0" t="0" r="0" b="5715"/>
            <wp:docPr id="5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87389" cy="591895"/>
                    </a:xfrm>
                    <a:prstGeom prst="rect">
                      <a:avLst/>
                    </a:prstGeom>
                    <a:noFill/>
                    <a:extLst/>
                  </pic:spPr>
                </pic:pic>
              </a:graphicData>
            </a:graphic>
          </wp:inline>
        </w:drawing>
      </w:r>
      <w:r w:rsidR="00C37D1F" w:rsidRPr="00506990">
        <w:rPr>
          <w:rFonts w:ascii="Times New Roman" w:hAnsi="Times New Roman" w:cs="Times New Roman"/>
          <w:color w:val="0D0D0D" w:themeColor="text1" w:themeTint="F2"/>
          <w:sz w:val="22"/>
          <w:szCs w:val="22"/>
          <w:lang w:val="es-AR"/>
        </w:rPr>
        <w:t xml:space="preserve"> </w:t>
      </w:r>
    </w:p>
    <w:p w14:paraId="26D04358" w14:textId="77777777" w:rsidR="00CC479E" w:rsidRPr="0098446E" w:rsidRDefault="00CC479E" w:rsidP="00CC479E">
      <w:pPr>
        <w:rPr>
          <w:rFonts w:ascii="Times New Roman" w:hAnsi="Times New Roman" w:cs="Times New Roman"/>
          <w:color w:val="0D0D0D" w:themeColor="text1" w:themeTint="F2"/>
          <w:sz w:val="22"/>
          <w:szCs w:val="22"/>
          <w:lang w:val="es-AR"/>
        </w:rPr>
      </w:pPr>
    </w:p>
    <w:p w14:paraId="1EB459C4" w14:textId="77777777" w:rsidR="00CC479E" w:rsidRPr="0098446E" w:rsidRDefault="00CC479E" w:rsidP="00CC479E">
      <w:pPr>
        <w:shd w:val="clear" w:color="auto" w:fill="D9D9D9"/>
        <w:rPr>
          <w:rFonts w:ascii="Times New Roman" w:hAnsi="Times New Roman" w:cs="Times New Roman"/>
          <w:b/>
          <w:color w:val="0D0D0D" w:themeColor="text1" w:themeTint="F2"/>
          <w:sz w:val="22"/>
          <w:szCs w:val="22"/>
        </w:rPr>
      </w:pPr>
      <w:r w:rsidRPr="0098446E">
        <w:rPr>
          <w:rFonts w:ascii="Times New Roman" w:hAnsi="Times New Roman" w:cs="Times New Roman"/>
          <w:b/>
          <w:bCs/>
          <w:color w:val="0D0D0D" w:themeColor="text1" w:themeTint="F2"/>
          <w:sz w:val="22"/>
          <w:szCs w:val="22"/>
          <w:lang w:val="es-AR"/>
        </w:rPr>
        <w:t xml:space="preserve">CONSUMO S.A. - </w:t>
      </w:r>
      <w:r w:rsidRPr="0098446E">
        <w:rPr>
          <w:rFonts w:ascii="Times New Roman" w:hAnsi="Times New Roman" w:cs="Times New Roman"/>
          <w:b/>
          <w:color w:val="0D0D0D" w:themeColor="text1" w:themeTint="F2"/>
          <w:sz w:val="22"/>
          <w:szCs w:val="22"/>
        </w:rPr>
        <w:t>EL NEGOCIO EN LA ACTUALIDAD</w:t>
      </w:r>
    </w:p>
    <w:p w14:paraId="645E7BB5" w14:textId="77777777" w:rsidR="00CA5DC2" w:rsidRPr="00506990" w:rsidRDefault="00CA5DC2" w:rsidP="00CA5DC2">
      <w:pPr>
        <w:pStyle w:val="Prrafodelista"/>
        <w:numPr>
          <w:ilvl w:val="0"/>
          <w:numId w:val="4"/>
        </w:numPr>
        <w:tabs>
          <w:tab w:val="clear" w:pos="360"/>
          <w:tab w:val="num" w:pos="720"/>
        </w:tabs>
        <w:spacing w:after="200" w:line="276" w:lineRule="auto"/>
        <w:ind w:left="720"/>
        <w:jc w:val="both"/>
        <w:rPr>
          <w:color w:val="0D0D0D" w:themeColor="text1" w:themeTint="F2"/>
          <w:sz w:val="22"/>
          <w:szCs w:val="22"/>
          <w:lang w:val="es-AR"/>
        </w:rPr>
      </w:pPr>
      <w:r w:rsidRPr="00506990">
        <w:rPr>
          <w:color w:val="0D0D0D" w:themeColor="text1" w:themeTint="F2"/>
          <w:sz w:val="22"/>
          <w:szCs w:val="22"/>
          <w:lang w:val="es-AR"/>
        </w:rPr>
        <w:t>Con Casa Central en la ciudad de Rafaela, Consumo S.A. desarrolla actualmente su actividad a través de 3 sucursales exclusivas ubicadas en Rafaela, Catamarca y La Rioja. Centra su operatoria en préstamos personales y préstamos de consumo.</w:t>
      </w:r>
    </w:p>
    <w:p w14:paraId="3C09DBFA" w14:textId="424784F5" w:rsidR="00CA5DC2" w:rsidRPr="00C91547" w:rsidRDefault="00CA5DC2" w:rsidP="00CC479E">
      <w:pPr>
        <w:rPr>
          <w:rFonts w:ascii="Times New Roman" w:hAnsi="Times New Roman" w:cs="Times New Roman"/>
          <w:bCs/>
          <w:sz w:val="22"/>
          <w:szCs w:val="22"/>
          <w:lang w:val="es-AR"/>
        </w:rPr>
      </w:pPr>
      <w:r w:rsidRPr="00C91547">
        <w:rPr>
          <w:rFonts w:ascii="Times New Roman" w:hAnsi="Times New Roman" w:cs="Times New Roman"/>
          <w:sz w:val="22"/>
          <w:szCs w:val="22"/>
          <w:lang w:val="es-AR"/>
        </w:rPr>
        <w:t>Durante el ejercicio 2018/2019, se realizaron 1400 operaciones de otorgamiento de crédito mediante bocas exclusivas</w:t>
      </w:r>
    </w:p>
    <w:p w14:paraId="318BC1DC" w14:textId="0EBC15A0" w:rsidR="00CA5DC2" w:rsidRPr="0098446E" w:rsidRDefault="00CA5DC2" w:rsidP="00CA5DC2">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Para la gestión operativa Consumo cuenta adicionalmente con los servicios de la empresa Avenida A.C.E. (que cuenta con</w:t>
      </w:r>
      <w:r w:rsidRPr="00C91547">
        <w:rPr>
          <w:rFonts w:ascii="Times New Roman" w:hAnsi="Times New Roman" w:cs="Times New Roman"/>
          <w:bCs/>
          <w:sz w:val="22"/>
          <w:szCs w:val="22"/>
          <w:lang w:val="es-AR"/>
        </w:rPr>
        <w:t xml:space="preserve"> 18</w:t>
      </w:r>
      <w:r w:rsidR="00692378">
        <w:rPr>
          <w:rFonts w:ascii="Times New Roman" w:hAnsi="Times New Roman" w:cs="Times New Roman"/>
          <w:bCs/>
          <w:sz w:val="22"/>
          <w:szCs w:val="22"/>
          <w:lang w:val="es-AR"/>
        </w:rPr>
        <w:t>7</w:t>
      </w:r>
      <w:r w:rsidRPr="00C91547">
        <w:rPr>
          <w:rFonts w:ascii="Times New Roman" w:hAnsi="Times New Roman" w:cs="Times New Roman"/>
          <w:bCs/>
          <w:sz w:val="22"/>
          <w:szCs w:val="22"/>
          <w:lang w:val="es-AR"/>
        </w:rPr>
        <w:t xml:space="preserve"> empleados al 3</w:t>
      </w:r>
      <w:r w:rsidR="00692378">
        <w:rPr>
          <w:rFonts w:ascii="Times New Roman" w:hAnsi="Times New Roman" w:cs="Times New Roman"/>
          <w:bCs/>
          <w:sz w:val="22"/>
          <w:szCs w:val="22"/>
          <w:lang w:val="es-AR"/>
        </w:rPr>
        <w:t>0</w:t>
      </w:r>
      <w:r w:rsidRPr="00C91547">
        <w:rPr>
          <w:rFonts w:ascii="Times New Roman" w:hAnsi="Times New Roman" w:cs="Times New Roman"/>
          <w:bCs/>
          <w:sz w:val="22"/>
          <w:szCs w:val="22"/>
          <w:lang w:val="es-AR"/>
        </w:rPr>
        <w:t xml:space="preserve"> de </w:t>
      </w:r>
      <w:r w:rsidR="00692378">
        <w:rPr>
          <w:rFonts w:ascii="Times New Roman" w:hAnsi="Times New Roman" w:cs="Times New Roman"/>
          <w:bCs/>
          <w:sz w:val="22"/>
          <w:szCs w:val="22"/>
          <w:lang w:val="es-AR"/>
        </w:rPr>
        <w:t>Noviem</w:t>
      </w:r>
      <w:r w:rsidRPr="00C91547">
        <w:rPr>
          <w:rFonts w:ascii="Times New Roman" w:hAnsi="Times New Roman" w:cs="Times New Roman"/>
          <w:bCs/>
          <w:sz w:val="22"/>
          <w:szCs w:val="22"/>
          <w:lang w:val="es-AR"/>
        </w:rPr>
        <w:t>bre de 2019).</w:t>
      </w:r>
    </w:p>
    <w:p w14:paraId="247F40F6" w14:textId="77777777" w:rsidR="00CA5DC2" w:rsidRPr="0098446E" w:rsidRDefault="00CA5DC2" w:rsidP="00CC479E">
      <w:pPr>
        <w:rPr>
          <w:rFonts w:ascii="Times New Roman" w:hAnsi="Times New Roman" w:cs="Times New Roman"/>
          <w:bCs/>
          <w:color w:val="0D0D0D" w:themeColor="text1" w:themeTint="F2"/>
          <w:sz w:val="22"/>
          <w:szCs w:val="22"/>
          <w:lang w:val="es-AR"/>
        </w:rPr>
      </w:pPr>
    </w:p>
    <w:p w14:paraId="3EDB8C02"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Avenida A.C.E.: tiene como objetivo la Administración de las empresas del grupo. Es una agrupación de colaboración empresaria dedicada a brindar asesoramiento corporativo integral en diversas áreas de trabajo: marketing y comunicación, recursos humanos, administración e impuestos, auditoría, etc. Consumo S.A. no delega en Avenida A.C.E la administración y cobranza de los Créditos que genera por su actividad comercial.</w:t>
      </w:r>
    </w:p>
    <w:p w14:paraId="07970771"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Nacida para dar soporte a las restantes empresas del Grupo, está preparada para asistirlas con profesionales altamente capacitados y en constante formación.</w:t>
      </w:r>
    </w:p>
    <w:p w14:paraId="48051DF1"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El contrato de colaboración empresaria es de fecha 01/12/2001, inscripto en el Registro Público el 29/04/2002 bajo el N° 19, a folios 17, 18, 19 y 20 del Libro I de Agrupación de Colaboración.</w:t>
      </w:r>
    </w:p>
    <w:p w14:paraId="075A809E"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Los participantes que surgen de la última modificación al contrato según acta del 17/07/2015 son: Bazar Avenida SA, Consumo SA, Tinsa SA, Total Support SA y Logme S.A.</w:t>
      </w:r>
    </w:p>
    <w:p w14:paraId="3604ED9D"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761C6D0F" w14:textId="77777777" w:rsidR="00CC479E" w:rsidRPr="0098446E" w:rsidRDefault="00CC479E" w:rsidP="00CC479E">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3B90CE2A" w14:textId="77777777" w:rsidR="00CC479E" w:rsidRPr="0098446E" w:rsidRDefault="00CC479E" w:rsidP="00CC479E">
      <w:pPr>
        <w:rPr>
          <w:rFonts w:ascii="Times New Roman" w:hAnsi="Times New Roman" w:cs="Times New Roman"/>
          <w:bCs/>
          <w:color w:val="0D0D0D" w:themeColor="text1" w:themeTint="F2"/>
          <w:sz w:val="22"/>
          <w:szCs w:val="22"/>
          <w:lang w:val="es-AR"/>
        </w:rPr>
      </w:pPr>
    </w:p>
    <w:p w14:paraId="3D41E285" w14:textId="77777777" w:rsidR="00CC479E" w:rsidRPr="0098446E" w:rsidRDefault="00CC479E" w:rsidP="00CC479E">
      <w:pPr>
        <w:shd w:val="clear" w:color="auto" w:fill="D9D9D9"/>
        <w:rPr>
          <w:rFonts w:ascii="Times New Roman" w:hAnsi="Times New Roman" w:cs="Times New Roman"/>
          <w:b/>
          <w:color w:val="0D0D0D" w:themeColor="text1" w:themeTint="F2"/>
          <w:sz w:val="22"/>
          <w:szCs w:val="22"/>
        </w:rPr>
      </w:pPr>
      <w:r w:rsidRPr="0098446E">
        <w:rPr>
          <w:rFonts w:ascii="Times New Roman" w:hAnsi="Times New Roman" w:cs="Times New Roman"/>
          <w:b/>
          <w:bCs/>
          <w:color w:val="0D0D0D" w:themeColor="text1" w:themeTint="F2"/>
          <w:sz w:val="22"/>
          <w:szCs w:val="22"/>
          <w:lang w:val="es-AR"/>
        </w:rPr>
        <w:t xml:space="preserve">CONSUMO S.A. - </w:t>
      </w:r>
      <w:r w:rsidRPr="0098446E">
        <w:rPr>
          <w:rFonts w:ascii="Times New Roman" w:hAnsi="Times New Roman" w:cs="Times New Roman"/>
          <w:b/>
          <w:color w:val="0D0D0D" w:themeColor="text1" w:themeTint="F2"/>
          <w:sz w:val="22"/>
          <w:szCs w:val="22"/>
        </w:rPr>
        <w:t>POLÍTICA DE PROTECCIÓN DEL MEDIO AMBIENTE</w:t>
      </w:r>
    </w:p>
    <w:p w14:paraId="239BEA2D" w14:textId="77777777" w:rsidR="00CC479E" w:rsidRPr="0098446E" w:rsidRDefault="00CC479E" w:rsidP="00CC479E">
      <w:pPr>
        <w:spacing w:before="60"/>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La empresa no posee al presente una política ambiental establecida formalmente, dado que las actividades desarrolladas no acarrean un fuerte grado de riesgo en este sentido.</w:t>
      </w:r>
    </w:p>
    <w:p w14:paraId="2F737C5E"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No obstante ello, se han generado acciones tendientes al cuidado del medio ambiente.</w:t>
      </w:r>
    </w:p>
    <w:p w14:paraId="7C76E894" w14:textId="77777777" w:rsidR="00CC479E" w:rsidRPr="0098446E" w:rsidRDefault="00CC479E" w:rsidP="00CC479E">
      <w:pPr>
        <w:rPr>
          <w:rFonts w:ascii="Times New Roman" w:hAnsi="Times New Roman" w:cs="Times New Roman"/>
          <w:color w:val="0D0D0D" w:themeColor="text1" w:themeTint="F2"/>
          <w:sz w:val="22"/>
          <w:szCs w:val="22"/>
        </w:rPr>
      </w:pPr>
      <w:r w:rsidRPr="0098446E">
        <w:rPr>
          <w:rFonts w:ascii="Times New Roman" w:hAnsi="Times New Roman" w:cs="Times New Roman"/>
          <w:color w:val="0D0D0D" w:themeColor="text1" w:themeTint="F2"/>
          <w:sz w:val="22"/>
          <w:szCs w:val="22"/>
        </w:rPr>
        <w:t>Algunos ejemplos son los siguientes:</w:t>
      </w:r>
    </w:p>
    <w:p w14:paraId="78C56C13" w14:textId="77777777" w:rsidR="00CC479E" w:rsidRPr="00506990" w:rsidRDefault="00CC479E" w:rsidP="00CC479E">
      <w:pPr>
        <w:pStyle w:val="Prrafodelista"/>
        <w:numPr>
          <w:ilvl w:val="0"/>
          <w:numId w:val="41"/>
        </w:numPr>
        <w:spacing w:before="60" w:after="200" w:line="276" w:lineRule="auto"/>
        <w:ind w:left="720"/>
        <w:jc w:val="both"/>
        <w:rPr>
          <w:color w:val="0D0D0D" w:themeColor="text1" w:themeTint="F2"/>
          <w:sz w:val="22"/>
          <w:szCs w:val="22"/>
        </w:rPr>
      </w:pPr>
      <w:r w:rsidRPr="00506990">
        <w:rPr>
          <w:color w:val="0D0D0D" w:themeColor="text1" w:themeTint="F2"/>
          <w:sz w:val="22"/>
          <w:szCs w:val="22"/>
        </w:rPr>
        <w:t>Implementación gradual del uso de lámparas de bajo consumo, reemplazo de los tradicionales monitores tubo por pantallas LED, temporizadores para el apagado de luces en los locales comerciales, y correctores de factor de potencia (acciones orientadas a eficientizar el consumo energético).</w:t>
      </w:r>
    </w:p>
    <w:p w14:paraId="48D00DE9" w14:textId="77777777" w:rsidR="00CC479E" w:rsidRPr="00506990" w:rsidRDefault="00CC479E" w:rsidP="00CC479E">
      <w:pPr>
        <w:pStyle w:val="Prrafodelista"/>
        <w:numPr>
          <w:ilvl w:val="0"/>
          <w:numId w:val="41"/>
        </w:numPr>
        <w:spacing w:before="60" w:after="200" w:line="276" w:lineRule="auto"/>
        <w:ind w:left="720"/>
        <w:jc w:val="both"/>
        <w:rPr>
          <w:color w:val="0D0D0D" w:themeColor="text1" w:themeTint="F2"/>
          <w:sz w:val="22"/>
          <w:szCs w:val="22"/>
        </w:rPr>
      </w:pPr>
      <w:r w:rsidRPr="00506990">
        <w:rPr>
          <w:color w:val="0D0D0D" w:themeColor="text1" w:themeTint="F2"/>
          <w:sz w:val="22"/>
          <w:szCs w:val="22"/>
        </w:rPr>
        <w:t>Política de No Impresión en papel en el ámbito laboral (donde puede prescindirse). Reemplazo por escaneados y circuitos administrativos informatizados.</w:t>
      </w:r>
    </w:p>
    <w:p w14:paraId="70B28AF8" w14:textId="77777777" w:rsidR="00CC479E" w:rsidRPr="00506990" w:rsidRDefault="00CC479E" w:rsidP="0098446E">
      <w:pPr>
        <w:pStyle w:val="Prrafodelista"/>
        <w:spacing w:before="60" w:after="200" w:line="276" w:lineRule="auto"/>
        <w:jc w:val="both"/>
        <w:rPr>
          <w:color w:val="0D0D0D" w:themeColor="text1" w:themeTint="F2"/>
          <w:sz w:val="22"/>
          <w:szCs w:val="22"/>
        </w:rPr>
      </w:pPr>
    </w:p>
    <w:p w14:paraId="0C8A3872" w14:textId="235765EF" w:rsidR="00CC479E" w:rsidRPr="00506990" w:rsidRDefault="00CC479E" w:rsidP="00CC479E">
      <w:pPr>
        <w:pStyle w:val="Prrafodelista"/>
        <w:numPr>
          <w:ilvl w:val="0"/>
          <w:numId w:val="41"/>
        </w:numPr>
        <w:shd w:val="clear" w:color="auto" w:fill="D9D9D9"/>
        <w:rPr>
          <w:b/>
          <w:color w:val="0D0D0D" w:themeColor="text1" w:themeTint="F2"/>
          <w:sz w:val="22"/>
          <w:szCs w:val="22"/>
          <w:u w:val="single"/>
        </w:rPr>
      </w:pPr>
      <w:r w:rsidRPr="00506990">
        <w:rPr>
          <w:b/>
          <w:color w:val="0D0D0D" w:themeColor="text1" w:themeTint="F2"/>
          <w:sz w:val="22"/>
          <w:szCs w:val="22"/>
          <w:lang w:val="es-AR"/>
        </w:rPr>
        <w:t xml:space="preserve">Estados Contables* </w:t>
      </w:r>
    </w:p>
    <w:p w14:paraId="2DA413B4" w14:textId="3A58A2A1" w:rsidR="00CC479E" w:rsidRPr="00506990" w:rsidRDefault="00E601DB" w:rsidP="0098446E">
      <w:pPr>
        <w:pStyle w:val="Prrafodelista"/>
        <w:ind w:left="360"/>
        <w:rPr>
          <w:b/>
          <w:noProof/>
          <w:color w:val="0D0D0D" w:themeColor="text1" w:themeTint="F2"/>
          <w:sz w:val="22"/>
          <w:szCs w:val="22"/>
          <w:u w:val="single"/>
          <w:lang w:val="es-AR" w:eastAsia="es-AR"/>
        </w:rPr>
      </w:pPr>
      <w:r w:rsidRPr="00506990">
        <w:rPr>
          <w:noProof/>
          <w:lang w:val="es-AR" w:eastAsia="es-AR"/>
        </w:rPr>
        <w:drawing>
          <wp:inline distT="0" distB="0" distL="0" distR="0" wp14:anchorId="7563DE24" wp14:editId="6330949B">
            <wp:extent cx="5613400" cy="6056630"/>
            <wp:effectExtent l="0" t="0" r="6350" b="1270"/>
            <wp:docPr id="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3400" cy="6056630"/>
                    </a:xfrm>
                    <a:prstGeom prst="rect">
                      <a:avLst/>
                    </a:prstGeom>
                    <a:noFill/>
                    <a:extLst/>
                  </pic:spPr>
                </pic:pic>
              </a:graphicData>
            </a:graphic>
          </wp:inline>
        </w:drawing>
      </w:r>
    </w:p>
    <w:p w14:paraId="00FA300E" w14:textId="263BCD5E" w:rsidR="00E601DB" w:rsidRPr="00506990" w:rsidRDefault="00371CCD" w:rsidP="0098446E">
      <w:pPr>
        <w:pStyle w:val="Prrafodelista"/>
        <w:ind w:left="360"/>
        <w:rPr>
          <w:b/>
          <w:noProof/>
          <w:color w:val="0D0D0D" w:themeColor="text1" w:themeTint="F2"/>
          <w:sz w:val="22"/>
          <w:szCs w:val="22"/>
          <w:u w:val="single"/>
          <w:lang w:val="es-AR" w:eastAsia="es-AR"/>
        </w:rPr>
      </w:pPr>
      <w:r w:rsidRPr="00506990">
        <w:rPr>
          <w:noProof/>
          <w:lang w:val="es-AR" w:eastAsia="es-AR"/>
        </w:rPr>
        <w:drawing>
          <wp:inline distT="0" distB="0" distL="0" distR="0" wp14:anchorId="5F424326" wp14:editId="59C1E389">
            <wp:extent cx="5613400" cy="3185795"/>
            <wp:effectExtent l="0" t="0" r="6350" b="0"/>
            <wp:docPr id="5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3400" cy="3185795"/>
                    </a:xfrm>
                    <a:prstGeom prst="rect">
                      <a:avLst/>
                    </a:prstGeom>
                    <a:noFill/>
                    <a:extLst/>
                  </pic:spPr>
                </pic:pic>
              </a:graphicData>
            </a:graphic>
          </wp:inline>
        </w:drawing>
      </w:r>
    </w:p>
    <w:p w14:paraId="0F6DC3B8" w14:textId="77777777" w:rsidR="00E601DB" w:rsidRPr="00506990" w:rsidRDefault="00E601DB" w:rsidP="0098446E">
      <w:pPr>
        <w:pStyle w:val="Prrafodelista"/>
        <w:ind w:left="360"/>
        <w:rPr>
          <w:b/>
          <w:noProof/>
          <w:color w:val="0D0D0D" w:themeColor="text1" w:themeTint="F2"/>
          <w:sz w:val="22"/>
          <w:szCs w:val="22"/>
          <w:u w:val="single"/>
          <w:lang w:val="es-AR" w:eastAsia="es-AR"/>
        </w:rPr>
      </w:pPr>
    </w:p>
    <w:p w14:paraId="0A94B344" w14:textId="77777777" w:rsidR="00CC479E" w:rsidRPr="00506990" w:rsidRDefault="00CC479E" w:rsidP="0098446E">
      <w:pPr>
        <w:pStyle w:val="Prrafodelista"/>
        <w:ind w:left="360"/>
        <w:rPr>
          <w:b/>
          <w:color w:val="0D0D0D" w:themeColor="text1" w:themeTint="F2"/>
          <w:sz w:val="22"/>
          <w:szCs w:val="22"/>
          <w:u w:val="single"/>
        </w:rPr>
      </w:pPr>
    </w:p>
    <w:p w14:paraId="05ADE723" w14:textId="0F487C3F" w:rsidR="00CC479E" w:rsidRPr="0098446E" w:rsidRDefault="00CC479E" w:rsidP="00CC479E">
      <w:pPr>
        <w:pStyle w:val="Prrafodelista"/>
        <w:numPr>
          <w:ilvl w:val="0"/>
          <w:numId w:val="41"/>
        </w:numPr>
        <w:suppressLineNumbers/>
        <w:rPr>
          <w:b/>
          <w:noProof/>
          <w:color w:val="0D0D0D" w:themeColor="text1" w:themeTint="F2"/>
          <w:sz w:val="22"/>
          <w:szCs w:val="22"/>
          <w:u w:val="single"/>
          <w:lang w:val="es-AR" w:eastAsia="es-AR"/>
        </w:rPr>
      </w:pPr>
      <w:r w:rsidRPr="00506990">
        <w:rPr>
          <w:b/>
          <w:noProof/>
          <w:color w:val="0D0D0D" w:themeColor="text1" w:themeTint="F2"/>
          <w:sz w:val="22"/>
          <w:szCs w:val="22"/>
          <w:u w:val="single"/>
          <w:lang w:val="es-AR" w:eastAsia="es-AR"/>
        </w:rPr>
        <w:t>Índices</w:t>
      </w:r>
    </w:p>
    <w:p w14:paraId="7B88DC5D" w14:textId="0E2769EC" w:rsidR="00CC479E" w:rsidRDefault="00CC479E" w:rsidP="0098446E">
      <w:pPr>
        <w:rPr>
          <w:b/>
          <w:noProof/>
          <w:color w:val="0D0D0D" w:themeColor="text1" w:themeTint="F2"/>
          <w:sz w:val="22"/>
          <w:szCs w:val="22"/>
          <w:lang w:val="es-AR" w:eastAsia="es-AR"/>
        </w:rPr>
      </w:pPr>
    </w:p>
    <w:p w14:paraId="4B96961A" w14:textId="77777777" w:rsidR="00B709BB" w:rsidRDefault="00B709BB" w:rsidP="0098446E">
      <w:pPr>
        <w:rPr>
          <w:b/>
          <w:noProof/>
          <w:color w:val="0D0D0D" w:themeColor="text1" w:themeTint="F2"/>
          <w:sz w:val="22"/>
          <w:szCs w:val="22"/>
          <w:lang w:val="es-AR" w:eastAsia="es-AR"/>
        </w:rPr>
      </w:pPr>
    </w:p>
    <w:p w14:paraId="034D210E" w14:textId="5A8D96C4" w:rsidR="00EE78A9" w:rsidRDefault="00B709BB" w:rsidP="0098446E">
      <w:pPr>
        <w:rPr>
          <w:b/>
          <w:noProof/>
          <w:color w:val="0D0D0D" w:themeColor="text1" w:themeTint="F2"/>
          <w:sz w:val="22"/>
          <w:szCs w:val="22"/>
          <w:lang w:val="es-AR" w:eastAsia="es-AR"/>
        </w:rPr>
      </w:pPr>
      <w:r>
        <w:rPr>
          <w:b/>
          <w:noProof/>
          <w:color w:val="0D0D0D" w:themeColor="text1" w:themeTint="F2"/>
          <w:sz w:val="22"/>
          <w:szCs w:val="22"/>
          <w:lang w:val="es-AR" w:eastAsia="es-AR"/>
        </w:rPr>
        <w:drawing>
          <wp:inline distT="0" distB="0" distL="0" distR="0" wp14:anchorId="090FDD8F" wp14:editId="2FB53043">
            <wp:extent cx="4791439" cy="1019810"/>
            <wp:effectExtent l="0" t="0" r="9525"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98809" cy="1021379"/>
                    </a:xfrm>
                    <a:prstGeom prst="rect">
                      <a:avLst/>
                    </a:prstGeom>
                    <a:noFill/>
                  </pic:spPr>
                </pic:pic>
              </a:graphicData>
            </a:graphic>
          </wp:inline>
        </w:drawing>
      </w:r>
    </w:p>
    <w:p w14:paraId="40F9C943" w14:textId="77777777" w:rsidR="00EE78A9" w:rsidRDefault="00EE78A9" w:rsidP="0098446E">
      <w:pPr>
        <w:rPr>
          <w:b/>
          <w:noProof/>
          <w:color w:val="0D0D0D" w:themeColor="text1" w:themeTint="F2"/>
          <w:sz w:val="22"/>
          <w:szCs w:val="22"/>
          <w:lang w:val="es-AR" w:eastAsia="es-AR"/>
        </w:rPr>
      </w:pPr>
    </w:p>
    <w:p w14:paraId="49AAEB81" w14:textId="77777777" w:rsidR="00EE78A9" w:rsidRDefault="00EE78A9" w:rsidP="0098446E">
      <w:pPr>
        <w:rPr>
          <w:b/>
          <w:noProof/>
          <w:color w:val="0D0D0D" w:themeColor="text1" w:themeTint="F2"/>
          <w:sz w:val="22"/>
          <w:szCs w:val="22"/>
          <w:lang w:val="es-AR" w:eastAsia="es-AR"/>
        </w:rPr>
      </w:pPr>
    </w:p>
    <w:p w14:paraId="765BFCF8" w14:textId="77777777" w:rsidR="00EE78A9" w:rsidRDefault="00EE78A9" w:rsidP="00EE78A9">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*Los EE.CC. del año fiscal 2019 se encuentran expresados en Moneda Homogénea.</w:t>
      </w:r>
    </w:p>
    <w:p w14:paraId="45DF5027" w14:textId="77777777" w:rsidR="00EE78A9" w:rsidRDefault="00EE78A9" w:rsidP="00EE78A9">
      <w:pPr>
        <w:rPr>
          <w:rFonts w:ascii="Times New Roman" w:hAnsi="Times New Roman" w:cs="Times New Roman"/>
          <w:b/>
          <w:color w:val="0D0D0D" w:themeColor="text1" w:themeTint="F2"/>
          <w:sz w:val="22"/>
          <w:szCs w:val="22"/>
          <w:u w:val="single"/>
        </w:rPr>
      </w:pPr>
    </w:p>
    <w:p w14:paraId="2312C648" w14:textId="77777777" w:rsidR="00EE78A9" w:rsidRPr="00506990" w:rsidRDefault="00EE78A9" w:rsidP="00EE78A9">
      <w:pPr>
        <w:rPr>
          <w:rFonts w:ascii="Times New Roman" w:hAnsi="Times New Roman" w:cs="Times New Roman"/>
          <w:b/>
          <w:color w:val="0D0D0D" w:themeColor="text1" w:themeTint="F2"/>
          <w:sz w:val="22"/>
          <w:szCs w:val="22"/>
          <w:u w:val="single"/>
        </w:rPr>
      </w:pPr>
    </w:p>
    <w:p w14:paraId="3D198E61" w14:textId="77777777" w:rsidR="00EE78A9" w:rsidRDefault="00EE78A9" w:rsidP="0098446E">
      <w:pPr>
        <w:rPr>
          <w:b/>
          <w:noProof/>
          <w:color w:val="0D0D0D" w:themeColor="text1" w:themeTint="F2"/>
          <w:sz w:val="22"/>
          <w:szCs w:val="22"/>
          <w:lang w:val="es-AR" w:eastAsia="es-AR"/>
        </w:rPr>
      </w:pPr>
    </w:p>
    <w:p w14:paraId="6098FC08" w14:textId="77777777" w:rsidR="00EE78A9" w:rsidRDefault="00EE78A9" w:rsidP="00EE78A9">
      <w:pPr>
        <w:rPr>
          <w:rFonts w:ascii="Times New Roman" w:hAnsi="Times New Roman" w:cs="Times New Roman"/>
          <w:b/>
          <w:noProof/>
          <w:color w:val="0D0D0D" w:themeColor="text1" w:themeTint="F2"/>
          <w:sz w:val="22"/>
          <w:szCs w:val="22"/>
          <w:u w:val="single"/>
          <w:lang w:val="es-AR" w:eastAsia="es-AR"/>
        </w:rPr>
      </w:pPr>
      <w:r w:rsidRPr="00F77E58">
        <w:rPr>
          <w:rFonts w:ascii="Times New Roman" w:hAnsi="Times New Roman" w:cs="Times New Roman"/>
          <w:b/>
          <w:noProof/>
          <w:color w:val="0D0D0D" w:themeColor="text1" w:themeTint="F2"/>
          <w:sz w:val="22"/>
          <w:szCs w:val="22"/>
          <w:u w:val="single"/>
          <w:lang w:val="es-AR" w:eastAsia="es-AR"/>
        </w:rPr>
        <w:t>PRINCIPALES RUBROS DE</w:t>
      </w:r>
      <w:r>
        <w:rPr>
          <w:rFonts w:ascii="Times New Roman" w:hAnsi="Times New Roman" w:cs="Times New Roman"/>
          <w:b/>
          <w:noProof/>
          <w:color w:val="0D0D0D" w:themeColor="text1" w:themeTint="F2"/>
          <w:sz w:val="22"/>
          <w:szCs w:val="22"/>
          <w:u w:val="single"/>
          <w:lang w:val="es-AR" w:eastAsia="es-AR"/>
        </w:rPr>
        <w:t xml:space="preserve"> </w:t>
      </w:r>
      <w:r w:rsidRPr="00F77E58">
        <w:rPr>
          <w:rFonts w:ascii="Times New Roman" w:hAnsi="Times New Roman" w:cs="Times New Roman"/>
          <w:b/>
          <w:noProof/>
          <w:color w:val="0D0D0D" w:themeColor="text1" w:themeTint="F2"/>
          <w:sz w:val="22"/>
          <w:szCs w:val="22"/>
          <w:u w:val="single"/>
          <w:lang w:val="es-AR" w:eastAsia="es-AR"/>
        </w:rPr>
        <w:t>L</w:t>
      </w:r>
      <w:r>
        <w:rPr>
          <w:rFonts w:ascii="Times New Roman" w:hAnsi="Times New Roman" w:cs="Times New Roman"/>
          <w:b/>
          <w:noProof/>
          <w:color w:val="0D0D0D" w:themeColor="text1" w:themeTint="F2"/>
          <w:sz w:val="22"/>
          <w:szCs w:val="22"/>
          <w:u w:val="single"/>
          <w:lang w:val="es-AR" w:eastAsia="es-AR"/>
        </w:rPr>
        <w:t>OS</w:t>
      </w:r>
      <w:r w:rsidRPr="00F77E58">
        <w:rPr>
          <w:rFonts w:ascii="Times New Roman" w:hAnsi="Times New Roman" w:cs="Times New Roman"/>
          <w:b/>
          <w:noProof/>
          <w:color w:val="0D0D0D" w:themeColor="text1" w:themeTint="F2"/>
          <w:sz w:val="22"/>
          <w:szCs w:val="22"/>
          <w:u w:val="single"/>
          <w:lang w:val="es-AR" w:eastAsia="es-AR"/>
        </w:rPr>
        <w:t xml:space="preserve"> ESTADO</w:t>
      </w:r>
      <w:r>
        <w:rPr>
          <w:rFonts w:ascii="Times New Roman" w:hAnsi="Times New Roman" w:cs="Times New Roman"/>
          <w:b/>
          <w:noProof/>
          <w:color w:val="0D0D0D" w:themeColor="text1" w:themeTint="F2"/>
          <w:sz w:val="22"/>
          <w:szCs w:val="22"/>
          <w:u w:val="single"/>
          <w:lang w:val="es-AR" w:eastAsia="es-AR"/>
        </w:rPr>
        <w:t>S</w:t>
      </w:r>
      <w:r w:rsidRPr="00F77E58">
        <w:rPr>
          <w:rFonts w:ascii="Times New Roman" w:hAnsi="Times New Roman" w:cs="Times New Roman"/>
          <w:b/>
          <w:noProof/>
          <w:color w:val="0D0D0D" w:themeColor="text1" w:themeTint="F2"/>
          <w:sz w:val="22"/>
          <w:szCs w:val="22"/>
          <w:u w:val="single"/>
          <w:lang w:val="es-AR" w:eastAsia="es-AR"/>
        </w:rPr>
        <w:t xml:space="preserve"> </w:t>
      </w:r>
      <w:r>
        <w:rPr>
          <w:rFonts w:ascii="Times New Roman" w:hAnsi="Times New Roman" w:cs="Times New Roman"/>
          <w:b/>
          <w:noProof/>
          <w:color w:val="0D0D0D" w:themeColor="text1" w:themeTint="F2"/>
          <w:sz w:val="22"/>
          <w:szCs w:val="22"/>
          <w:u w:val="single"/>
          <w:lang w:val="es-AR" w:eastAsia="es-AR"/>
        </w:rPr>
        <w:t>CONTABLES CONSUMO</w:t>
      </w:r>
    </w:p>
    <w:p w14:paraId="6809AA5A" w14:textId="77777777" w:rsidR="00EE78A9" w:rsidRDefault="00EE78A9" w:rsidP="00EE78A9">
      <w:pPr>
        <w:rPr>
          <w:rFonts w:ascii="Times New Roman" w:hAnsi="Times New Roman" w:cs="Times New Roman"/>
          <w:b/>
          <w:noProof/>
          <w:color w:val="0D0D0D" w:themeColor="text1" w:themeTint="F2"/>
          <w:sz w:val="22"/>
          <w:szCs w:val="22"/>
          <w:u w:val="single"/>
          <w:lang w:val="es-AR" w:eastAsia="es-AR"/>
        </w:rPr>
      </w:pPr>
    </w:p>
    <w:p w14:paraId="55D92AAA" w14:textId="77777777" w:rsidR="00EE78A9" w:rsidRPr="008638F2" w:rsidRDefault="00EE78A9" w:rsidP="00EE78A9">
      <w:pPr>
        <w:rPr>
          <w:rFonts w:ascii="Times New Roman" w:hAnsi="Times New Roman" w:cs="Times New Roman"/>
          <w:noProof/>
          <w:sz w:val="24"/>
          <w:szCs w:val="24"/>
          <w:lang w:val="es-AR" w:eastAsia="es-AR"/>
        </w:rPr>
      </w:pPr>
      <w:r w:rsidRPr="00D877C1">
        <w:rPr>
          <w:rFonts w:ascii="Times New Roman" w:hAnsi="Times New Roman" w:cs="Times New Roman"/>
          <w:b/>
          <w:noProof/>
          <w:color w:val="0D0D0D" w:themeColor="text1" w:themeTint="F2"/>
          <w:sz w:val="22"/>
          <w:szCs w:val="22"/>
          <w:lang w:val="es-AR" w:eastAsia="es-AR"/>
        </w:rPr>
        <w:t>Caja y Bancos</w:t>
      </w:r>
      <w:r>
        <w:rPr>
          <w:rFonts w:ascii="Times New Roman" w:hAnsi="Times New Roman" w:cs="Times New Roman"/>
          <w:noProof/>
          <w:color w:val="0D0D0D" w:themeColor="text1" w:themeTint="F2"/>
          <w:sz w:val="22"/>
          <w:szCs w:val="22"/>
          <w:lang w:val="es-AR" w:eastAsia="es-AR"/>
        </w:rPr>
        <w:t xml:space="preserve">: </w:t>
      </w:r>
      <w:r w:rsidRPr="008638F2">
        <w:rPr>
          <w:rFonts w:ascii="Times New Roman" w:hAnsi="Times New Roman" w:cs="Times New Roman"/>
          <w:noProof/>
          <w:sz w:val="24"/>
          <w:szCs w:val="24"/>
          <w:lang w:val="es-AR" w:eastAsia="es-AR"/>
        </w:rPr>
        <w:t>La disminución obedece principalmente a un mayor pago de impuestos, originado en los resultados del ejercicio anterior, y por pago de dividendos nominalmente mayores a los del ejercicio anterior</w:t>
      </w:r>
    </w:p>
    <w:p w14:paraId="0746B226" w14:textId="77777777" w:rsidR="00EE78A9" w:rsidRPr="00550E8E" w:rsidRDefault="00EE78A9" w:rsidP="00EE78A9">
      <w:pPr>
        <w:rPr>
          <w:rFonts w:ascii="Times New Roman" w:hAnsi="Times New Roman" w:cs="Times New Roman"/>
          <w:noProof/>
          <w:sz w:val="24"/>
          <w:szCs w:val="24"/>
          <w:lang w:val="es-AR" w:eastAsia="es-AR"/>
        </w:rPr>
      </w:pPr>
      <w:r w:rsidRPr="00550E8E">
        <w:rPr>
          <w:rFonts w:ascii="Times New Roman" w:hAnsi="Times New Roman" w:cs="Times New Roman"/>
          <w:noProof/>
          <w:sz w:val="24"/>
          <w:szCs w:val="24"/>
          <w:lang w:val="es-AR" w:eastAsia="es-AR"/>
        </w:rPr>
        <w:t>También debe tenerse en cuenta que las cifras del año anterior están ajustadas por una inflación en torno al 55%, con lo cuál la variación en términos nominales es menor a la que surge de comparar en términos reales.</w:t>
      </w:r>
    </w:p>
    <w:p w14:paraId="3E2D0EFB" w14:textId="77777777" w:rsidR="00EE78A9" w:rsidRPr="00550E8E" w:rsidRDefault="00EE78A9" w:rsidP="00EE78A9">
      <w:pPr>
        <w:rPr>
          <w:rFonts w:ascii="Times New Roman" w:hAnsi="Times New Roman" w:cs="Times New Roman"/>
          <w:noProof/>
          <w:color w:val="FF0000"/>
          <w:sz w:val="24"/>
          <w:szCs w:val="24"/>
          <w:lang w:val="es-AR" w:eastAsia="es-AR"/>
        </w:rPr>
      </w:pPr>
    </w:p>
    <w:p w14:paraId="61A48F58" w14:textId="77777777" w:rsidR="00EE78A9" w:rsidRPr="00550E8E" w:rsidRDefault="00EE78A9" w:rsidP="00EE78A9">
      <w:pPr>
        <w:rPr>
          <w:rFonts w:ascii="Times New Roman" w:hAnsi="Times New Roman" w:cs="Times New Roman"/>
          <w:b/>
          <w:noProof/>
          <w:color w:val="0D0D0D" w:themeColor="text1" w:themeTint="F2"/>
          <w:sz w:val="24"/>
          <w:szCs w:val="24"/>
          <w:lang w:val="es-AR" w:eastAsia="es-AR"/>
        </w:rPr>
      </w:pPr>
      <w:r w:rsidRPr="00550E8E">
        <w:rPr>
          <w:rFonts w:ascii="Times New Roman" w:hAnsi="Times New Roman" w:cs="Times New Roman"/>
          <w:b/>
          <w:noProof/>
          <w:color w:val="0D0D0D" w:themeColor="text1" w:themeTint="F2"/>
          <w:sz w:val="24"/>
          <w:szCs w:val="24"/>
          <w:lang w:val="es-AR" w:eastAsia="es-AR"/>
        </w:rPr>
        <w:t>Bienes de Uso</w:t>
      </w:r>
      <w:r w:rsidRPr="004927F8">
        <w:rPr>
          <w:rFonts w:ascii="Times New Roman" w:hAnsi="Times New Roman" w:cs="Times New Roman"/>
          <w:noProof/>
          <w:sz w:val="24"/>
          <w:szCs w:val="24"/>
          <w:lang w:val="es-AR" w:eastAsia="es-AR"/>
        </w:rPr>
        <w:t>: En términos reales, se produce una leve disminución en valor residual de estos activos, ya que se efectuaron mejoras en inmuebles de la compañía, las cuales estuvieron por debajo de las amortizaciones totales efectuadas durante  el ejercicio. Ello obedeció a una estrategia</w:t>
      </w:r>
      <w:r w:rsidRPr="00550E8E">
        <w:rPr>
          <w:rFonts w:ascii="Times New Roman" w:hAnsi="Times New Roman" w:cs="Times New Roman"/>
          <w:b/>
          <w:noProof/>
          <w:color w:val="FF0000"/>
          <w:sz w:val="24"/>
          <w:szCs w:val="24"/>
          <w:lang w:val="es-AR" w:eastAsia="es-AR"/>
        </w:rPr>
        <w:t xml:space="preserve"> </w:t>
      </w:r>
      <w:r w:rsidRPr="004927F8">
        <w:rPr>
          <w:rFonts w:ascii="Times New Roman" w:hAnsi="Times New Roman" w:cs="Times New Roman"/>
          <w:noProof/>
          <w:sz w:val="24"/>
          <w:szCs w:val="24"/>
          <w:lang w:val="es-AR" w:eastAsia="es-AR"/>
        </w:rPr>
        <w:t>de no efectuar nuevas inmovilizaciones de recursos, para que la empresa permanezca lo más líquida posible hasta que el entorno brinde mayores señales de certidumbre para encarar nuevos proyectos de crecimiento y/o inversión.</w:t>
      </w:r>
      <w:r w:rsidRPr="00550E8E">
        <w:rPr>
          <w:rFonts w:ascii="Times New Roman" w:hAnsi="Times New Roman" w:cs="Times New Roman"/>
          <w:b/>
          <w:noProof/>
          <w:color w:val="FF0000"/>
          <w:sz w:val="24"/>
          <w:szCs w:val="24"/>
          <w:lang w:val="es-AR" w:eastAsia="es-AR"/>
        </w:rPr>
        <w:t xml:space="preserve"> </w:t>
      </w:r>
    </w:p>
    <w:p w14:paraId="011C0CD9" w14:textId="77777777" w:rsidR="00EE78A9" w:rsidRPr="00550E8E" w:rsidRDefault="00EE78A9" w:rsidP="00EE78A9">
      <w:pPr>
        <w:rPr>
          <w:rFonts w:ascii="Times New Roman" w:hAnsi="Times New Roman" w:cs="Times New Roman"/>
          <w:b/>
          <w:noProof/>
          <w:sz w:val="24"/>
          <w:szCs w:val="24"/>
          <w:lang w:val="es-AR" w:eastAsia="es-AR"/>
        </w:rPr>
      </w:pPr>
    </w:p>
    <w:p w14:paraId="2C258732" w14:textId="77777777" w:rsidR="00EE78A9" w:rsidRPr="00E47393" w:rsidRDefault="00EE78A9" w:rsidP="00EE78A9">
      <w:pPr>
        <w:rPr>
          <w:rFonts w:ascii="Times New Roman" w:hAnsi="Times New Roman" w:cs="Times New Roman"/>
          <w:noProof/>
          <w:sz w:val="24"/>
          <w:szCs w:val="24"/>
          <w:lang w:val="es-AR" w:eastAsia="es-AR"/>
        </w:rPr>
      </w:pPr>
      <w:r w:rsidRPr="00550E8E">
        <w:rPr>
          <w:rFonts w:ascii="Times New Roman" w:hAnsi="Times New Roman" w:cs="Times New Roman"/>
          <w:b/>
          <w:noProof/>
          <w:sz w:val="24"/>
          <w:szCs w:val="24"/>
          <w:lang w:val="es-AR" w:eastAsia="es-AR"/>
        </w:rPr>
        <w:t xml:space="preserve">Intereses y otros cargos por Préstamos: </w:t>
      </w:r>
      <w:r w:rsidRPr="00E47393">
        <w:rPr>
          <w:rFonts w:ascii="Times New Roman" w:hAnsi="Times New Roman" w:cs="Times New Roman"/>
          <w:noProof/>
          <w:sz w:val="24"/>
          <w:szCs w:val="24"/>
          <w:lang w:val="es-AR" w:eastAsia="es-AR"/>
        </w:rPr>
        <w:t>Constituyen la principal fuente de ingresos de la compañía, dada que su actividad es eminentemente financiera.</w:t>
      </w:r>
      <w:r w:rsidRPr="00550E8E">
        <w:rPr>
          <w:rFonts w:ascii="Times New Roman" w:hAnsi="Times New Roman" w:cs="Times New Roman"/>
          <w:b/>
          <w:noProof/>
          <w:color w:val="FF0000"/>
          <w:sz w:val="24"/>
          <w:szCs w:val="24"/>
          <w:lang w:val="es-AR" w:eastAsia="es-AR"/>
        </w:rPr>
        <w:t xml:space="preserve"> </w:t>
      </w:r>
      <w:r w:rsidRPr="00E47393">
        <w:rPr>
          <w:rFonts w:ascii="Times New Roman" w:hAnsi="Times New Roman" w:cs="Times New Roman"/>
          <w:noProof/>
          <w:sz w:val="24"/>
          <w:szCs w:val="24"/>
          <w:lang w:val="es-AR" w:eastAsia="es-AR"/>
        </w:rPr>
        <w:t>Aunque los estados de resultados no estén expuestos de modo comparativo</w:t>
      </w:r>
      <w:r>
        <w:rPr>
          <w:rFonts w:ascii="Times New Roman" w:hAnsi="Times New Roman" w:cs="Times New Roman"/>
          <w:noProof/>
          <w:sz w:val="24"/>
          <w:szCs w:val="24"/>
          <w:lang w:val="es-AR" w:eastAsia="es-AR"/>
        </w:rPr>
        <w:t>, en</w:t>
      </w:r>
      <w:r w:rsidRPr="00E47393">
        <w:rPr>
          <w:rFonts w:ascii="Times New Roman" w:hAnsi="Times New Roman" w:cs="Times New Roman"/>
          <w:noProof/>
          <w:sz w:val="24"/>
          <w:szCs w:val="24"/>
          <w:lang w:val="es-AR" w:eastAsia="es-AR"/>
        </w:rPr>
        <w:t xml:space="preserve"> términos reales los intereses devengados fueron menores a los del ejercicio anterior, ello en función de prorizar la cobranza de créditos de ejercicios anteriores y al mismo tiempo ir atemperando la origininación de nuevas acreencias, dada la incertidumbre inflacionaria y sobre el acceso a fuentes de fondeo que permitan financiar el crecimiento de la actividad.</w:t>
      </w:r>
    </w:p>
    <w:p w14:paraId="36C06301" w14:textId="77777777" w:rsidR="00EE78A9" w:rsidRPr="00550E8E" w:rsidRDefault="00EE78A9" w:rsidP="00EE78A9">
      <w:pPr>
        <w:rPr>
          <w:rFonts w:ascii="Times New Roman" w:hAnsi="Times New Roman" w:cs="Times New Roman"/>
          <w:noProof/>
          <w:color w:val="FF0000"/>
          <w:sz w:val="24"/>
          <w:szCs w:val="24"/>
          <w:lang w:eastAsia="es-AR"/>
        </w:rPr>
      </w:pPr>
    </w:p>
    <w:p w14:paraId="0DA2FA8A" w14:textId="77777777" w:rsidR="00EE78A9" w:rsidRPr="00550E8E" w:rsidRDefault="00EE78A9" w:rsidP="00EE78A9">
      <w:pPr>
        <w:rPr>
          <w:rFonts w:ascii="Times New Roman" w:hAnsi="Times New Roman" w:cs="Times New Roman"/>
          <w:noProof/>
          <w:color w:val="000000" w:themeColor="text1"/>
          <w:sz w:val="24"/>
          <w:szCs w:val="24"/>
          <w:lang w:val="es-AR" w:eastAsia="es-AR"/>
        </w:rPr>
      </w:pPr>
      <w:r w:rsidRPr="00550E8E">
        <w:rPr>
          <w:rFonts w:ascii="Times New Roman" w:hAnsi="Times New Roman" w:cs="Times New Roman"/>
          <w:b/>
          <w:noProof/>
          <w:color w:val="0D0D0D" w:themeColor="text1" w:themeTint="F2"/>
          <w:sz w:val="24"/>
          <w:szCs w:val="24"/>
          <w:lang w:eastAsia="es-AR"/>
        </w:rPr>
        <w:t>Gastos de Comercialización</w:t>
      </w:r>
      <w:r>
        <w:rPr>
          <w:rFonts w:ascii="Times New Roman" w:hAnsi="Times New Roman" w:cs="Times New Roman"/>
          <w:b/>
          <w:noProof/>
          <w:color w:val="000000" w:themeColor="text1"/>
          <w:sz w:val="24"/>
          <w:szCs w:val="24"/>
          <w:lang w:eastAsia="es-AR"/>
        </w:rPr>
        <w:t xml:space="preserve"> </w:t>
      </w:r>
      <w:r w:rsidRPr="00550E8E">
        <w:rPr>
          <w:rFonts w:ascii="Times New Roman" w:hAnsi="Times New Roman" w:cs="Times New Roman"/>
          <w:noProof/>
          <w:color w:val="000000" w:themeColor="text1"/>
          <w:sz w:val="24"/>
          <w:szCs w:val="24"/>
          <w:lang w:val="es-AR" w:eastAsia="es-AR"/>
        </w:rPr>
        <w:t>Si comparamos los gastos del ejercicio 2019 ajustados por inflación vs los mismos gastos del balance 2018 la evolución estuvo por debajo del 55% de inflación que hubo en el ejercicio. Es una muestra clara de la baja de los gastos en terminos reales</w:t>
      </w:r>
      <w:r>
        <w:rPr>
          <w:rFonts w:ascii="Times New Roman" w:hAnsi="Times New Roman" w:cs="Times New Roman"/>
          <w:noProof/>
          <w:color w:val="000000" w:themeColor="text1"/>
          <w:sz w:val="24"/>
          <w:szCs w:val="24"/>
          <w:lang w:val="es-AR" w:eastAsia="es-AR"/>
        </w:rPr>
        <w:t>.</w:t>
      </w:r>
    </w:p>
    <w:p w14:paraId="407241C5" w14:textId="77777777" w:rsidR="00EE78A9" w:rsidRPr="00550E8E" w:rsidRDefault="00EE78A9" w:rsidP="00EE78A9">
      <w:pPr>
        <w:rPr>
          <w:rFonts w:ascii="Times New Roman" w:hAnsi="Times New Roman" w:cs="Times New Roman"/>
          <w:noProof/>
          <w:color w:val="0D0D0D" w:themeColor="text1" w:themeTint="F2"/>
          <w:sz w:val="24"/>
          <w:szCs w:val="24"/>
          <w:lang w:eastAsia="es-AR"/>
        </w:rPr>
      </w:pPr>
    </w:p>
    <w:p w14:paraId="7A5200E6" w14:textId="77777777" w:rsidR="00EE78A9" w:rsidRPr="00CD5D61" w:rsidRDefault="00EE78A9" w:rsidP="00EE78A9">
      <w:pPr>
        <w:rPr>
          <w:rFonts w:ascii="Times New Roman" w:hAnsi="Times New Roman" w:cs="Times New Roman"/>
          <w:noProof/>
          <w:sz w:val="24"/>
          <w:szCs w:val="24"/>
          <w:lang w:eastAsia="es-AR"/>
        </w:rPr>
      </w:pPr>
      <w:r w:rsidRPr="00550E8E">
        <w:rPr>
          <w:rFonts w:ascii="Times New Roman" w:hAnsi="Times New Roman" w:cs="Times New Roman"/>
          <w:b/>
          <w:noProof/>
          <w:color w:val="0D0D0D" w:themeColor="text1" w:themeTint="F2"/>
          <w:sz w:val="24"/>
          <w:szCs w:val="24"/>
          <w:lang w:eastAsia="es-AR"/>
        </w:rPr>
        <w:t>Resultados financieros y por tenencia – Generados por activos:</w:t>
      </w:r>
      <w:r w:rsidRPr="00550E8E">
        <w:rPr>
          <w:rFonts w:ascii="Times New Roman" w:hAnsi="Times New Roman" w:cs="Times New Roman"/>
          <w:noProof/>
          <w:color w:val="0D0D0D" w:themeColor="text1" w:themeTint="F2"/>
          <w:sz w:val="24"/>
          <w:szCs w:val="24"/>
          <w:lang w:eastAsia="es-AR"/>
        </w:rPr>
        <w:t xml:space="preserve"> </w:t>
      </w:r>
      <w:r w:rsidRPr="00550E8E">
        <w:rPr>
          <w:rFonts w:ascii="Times New Roman" w:hAnsi="Times New Roman" w:cs="Times New Roman"/>
          <w:noProof/>
          <w:sz w:val="24"/>
          <w:szCs w:val="24"/>
          <w:lang w:eastAsia="es-AR"/>
        </w:rPr>
        <w:t xml:space="preserve">Los Resultados financieros y por tenencia – Generados por activos constituyen un importante rubro en el Estado de Resultados de la compañía, el cual se compone principalmente de los </w:t>
      </w:r>
      <w:r w:rsidRPr="00CD5D61">
        <w:rPr>
          <w:rFonts w:ascii="Times New Roman" w:hAnsi="Times New Roman" w:cs="Times New Roman"/>
          <w:noProof/>
          <w:sz w:val="24"/>
          <w:szCs w:val="24"/>
          <w:lang w:eastAsia="es-AR"/>
        </w:rPr>
        <w:t xml:space="preserve">resultados provenientes de la valuación de su participación en Bazar Avenida S.A. y del recupero de incobrables en términos reales. </w:t>
      </w:r>
    </w:p>
    <w:p w14:paraId="36F96BB2" w14:textId="77777777" w:rsidR="00EE78A9" w:rsidRPr="00550E8E" w:rsidRDefault="00EE78A9" w:rsidP="00EE78A9">
      <w:pPr>
        <w:rPr>
          <w:rFonts w:ascii="Times New Roman" w:hAnsi="Times New Roman" w:cs="Times New Roman"/>
          <w:b/>
          <w:noProof/>
          <w:color w:val="0D0D0D" w:themeColor="text1" w:themeTint="F2"/>
          <w:sz w:val="24"/>
          <w:szCs w:val="24"/>
          <w:lang w:eastAsia="es-AR"/>
        </w:rPr>
      </w:pPr>
    </w:p>
    <w:p w14:paraId="19A5541F" w14:textId="77777777" w:rsidR="00EE78A9" w:rsidRPr="008638F2" w:rsidRDefault="00EE78A9" w:rsidP="00EE78A9">
      <w:pPr>
        <w:rPr>
          <w:sz w:val="24"/>
          <w:szCs w:val="24"/>
        </w:rPr>
      </w:pPr>
      <w:r w:rsidRPr="00550E8E">
        <w:rPr>
          <w:rFonts w:ascii="Times New Roman" w:hAnsi="Times New Roman" w:cs="Times New Roman"/>
          <w:b/>
          <w:noProof/>
          <w:color w:val="0D0D0D" w:themeColor="text1" w:themeTint="F2"/>
          <w:sz w:val="24"/>
          <w:szCs w:val="24"/>
          <w:lang w:eastAsia="es-AR"/>
        </w:rPr>
        <w:t>Otros ingresos y egresos</w:t>
      </w:r>
      <w:r w:rsidRPr="008638F2">
        <w:rPr>
          <w:rFonts w:ascii="Times New Roman" w:hAnsi="Times New Roman" w:cs="Times New Roman"/>
          <w:b/>
          <w:noProof/>
          <w:sz w:val="24"/>
          <w:szCs w:val="24"/>
          <w:lang w:eastAsia="es-AR"/>
        </w:rPr>
        <w:t>:</w:t>
      </w:r>
      <w:r w:rsidRPr="008638F2">
        <w:rPr>
          <w:rFonts w:ascii="Times New Roman" w:hAnsi="Times New Roman" w:cs="Times New Roman"/>
          <w:noProof/>
          <w:sz w:val="24"/>
          <w:szCs w:val="24"/>
          <w:lang w:eastAsia="es-AR"/>
        </w:rPr>
        <w:t xml:space="preserve"> Dentro de este rubro se incluyen principalmente los ingresos provenientes del alquiler del inmueble propio ubicado en el Parque Industrial Campana, el cual fue diseñado para funcionar como centro de operaciones logísticas. </w:t>
      </w:r>
    </w:p>
    <w:p w14:paraId="7698F589" w14:textId="77777777" w:rsidR="00EE78A9" w:rsidRPr="008638F2" w:rsidRDefault="00EE78A9" w:rsidP="00EE78A9">
      <w:pPr>
        <w:rPr>
          <w:sz w:val="24"/>
          <w:szCs w:val="24"/>
        </w:rPr>
      </w:pPr>
    </w:p>
    <w:p w14:paraId="65108586" w14:textId="77777777" w:rsidR="00EE78A9" w:rsidRPr="008638F2" w:rsidRDefault="00EE78A9" w:rsidP="00EE78A9">
      <w:pPr>
        <w:rPr>
          <w:sz w:val="24"/>
          <w:szCs w:val="24"/>
        </w:rPr>
      </w:pPr>
    </w:p>
    <w:p w14:paraId="1877E2E7" w14:textId="77777777" w:rsidR="00EE78A9" w:rsidRDefault="00EE78A9" w:rsidP="0098446E">
      <w:pPr>
        <w:rPr>
          <w:b/>
          <w:noProof/>
          <w:color w:val="0D0D0D" w:themeColor="text1" w:themeTint="F2"/>
          <w:sz w:val="22"/>
          <w:szCs w:val="22"/>
          <w:lang w:val="es-AR" w:eastAsia="es-AR"/>
        </w:rPr>
      </w:pPr>
    </w:p>
    <w:p w14:paraId="1A53EE87" w14:textId="671B9514" w:rsidR="00EE78A9" w:rsidRPr="00506990" w:rsidRDefault="00EE78A9" w:rsidP="00EE78A9">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CARTERA DE CRÉDITOS DE </w:t>
      </w:r>
      <w:r>
        <w:rPr>
          <w:rFonts w:ascii="Times New Roman" w:hAnsi="Times New Roman" w:cs="Times New Roman"/>
          <w:b/>
          <w:bCs/>
          <w:iCs/>
          <w:color w:val="0D0D0D" w:themeColor="text1" w:themeTint="F2"/>
          <w:sz w:val="22"/>
          <w:szCs w:val="22"/>
          <w:lang w:val="es-AR"/>
        </w:rPr>
        <w:t>CONSUMO</w:t>
      </w:r>
      <w:r w:rsidRPr="00506990">
        <w:rPr>
          <w:rFonts w:ascii="Times New Roman" w:hAnsi="Times New Roman" w:cs="Times New Roman"/>
          <w:b/>
          <w:bCs/>
          <w:iCs/>
          <w:color w:val="0D0D0D" w:themeColor="text1" w:themeTint="F2"/>
          <w:sz w:val="22"/>
          <w:szCs w:val="22"/>
          <w:lang w:val="es-AR"/>
        </w:rPr>
        <w:t xml:space="preserve"> S.A.</w:t>
      </w:r>
    </w:p>
    <w:p w14:paraId="20F2633F" w14:textId="77777777" w:rsidR="00EE78A9" w:rsidRPr="00506990" w:rsidRDefault="00EE78A9" w:rsidP="00EE78A9">
      <w:pPr>
        <w:autoSpaceDE w:val="0"/>
        <w:autoSpaceDN w:val="0"/>
        <w:adjustRightInd w:val="0"/>
        <w:jc w:val="center"/>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Estado de Situación de Deudores</w:t>
      </w:r>
    </w:p>
    <w:p w14:paraId="3C71F1B0" w14:textId="0299F861" w:rsidR="002965C9" w:rsidRPr="00C91547" w:rsidRDefault="00EE78A9" w:rsidP="00C91547">
      <w:pPr>
        <w:autoSpaceDE w:val="0"/>
        <w:autoSpaceDN w:val="0"/>
        <w:adjustRightInd w:val="0"/>
        <w:jc w:val="center"/>
        <w:rPr>
          <w:rFonts w:ascii="Times New Roman" w:hAnsi="Times New Roman" w:cs="Times New Roman"/>
          <w:b/>
          <w:color w:val="0D0D0D" w:themeColor="text1" w:themeTint="F2"/>
          <w:sz w:val="22"/>
          <w:szCs w:val="22"/>
          <w:u w:val="single"/>
          <w:lang w:val="es-AR"/>
        </w:rPr>
      </w:pPr>
      <w:r w:rsidRPr="00506990">
        <w:rPr>
          <w:rFonts w:ascii="Times New Roman" w:hAnsi="Times New Roman" w:cs="Times New Roman"/>
          <w:bCs/>
          <w:iCs/>
          <w:color w:val="0D0D0D" w:themeColor="text1" w:themeTint="F2"/>
          <w:sz w:val="22"/>
          <w:szCs w:val="22"/>
          <w:lang w:val="es-AR"/>
        </w:rPr>
        <w:t>(Información al 3</w:t>
      </w:r>
      <w:r w:rsidR="00C74064">
        <w:rPr>
          <w:rFonts w:ascii="Times New Roman" w:hAnsi="Times New Roman" w:cs="Times New Roman"/>
          <w:bCs/>
          <w:iCs/>
          <w:color w:val="0D0D0D" w:themeColor="text1" w:themeTint="F2"/>
          <w:sz w:val="22"/>
          <w:szCs w:val="22"/>
          <w:lang w:val="es-AR"/>
        </w:rPr>
        <w:t>0</w:t>
      </w:r>
      <w:r w:rsidRPr="00506990">
        <w:rPr>
          <w:rFonts w:ascii="Times New Roman" w:hAnsi="Times New Roman" w:cs="Times New Roman"/>
          <w:bCs/>
          <w:iCs/>
          <w:color w:val="0D0D0D" w:themeColor="text1" w:themeTint="F2"/>
          <w:sz w:val="22"/>
          <w:szCs w:val="22"/>
          <w:lang w:val="es-AR"/>
        </w:rPr>
        <w:t xml:space="preserve"> de </w:t>
      </w:r>
      <w:r w:rsidR="00C74064">
        <w:rPr>
          <w:rFonts w:ascii="Times New Roman" w:hAnsi="Times New Roman" w:cs="Times New Roman"/>
          <w:bCs/>
          <w:iCs/>
          <w:color w:val="0D0D0D" w:themeColor="text1" w:themeTint="F2"/>
          <w:sz w:val="22"/>
          <w:szCs w:val="22"/>
          <w:lang w:val="es-AR"/>
        </w:rPr>
        <w:t>noviem</w:t>
      </w:r>
      <w:r w:rsidRPr="00506990">
        <w:rPr>
          <w:rFonts w:ascii="Times New Roman" w:hAnsi="Times New Roman" w:cs="Times New Roman"/>
          <w:bCs/>
          <w:iCs/>
          <w:color w:val="0D0D0D" w:themeColor="text1" w:themeTint="F2"/>
          <w:sz w:val="22"/>
          <w:szCs w:val="22"/>
          <w:lang w:val="es-AR"/>
        </w:rPr>
        <w:t>bre de 2019)</w:t>
      </w:r>
    </w:p>
    <w:p w14:paraId="7A51D35C" w14:textId="77777777" w:rsidR="002965C9" w:rsidRPr="00DD0C47" w:rsidRDefault="002965C9" w:rsidP="0098446E">
      <w:pPr>
        <w:rPr>
          <w:b/>
          <w:noProof/>
          <w:color w:val="0D0D0D" w:themeColor="text1" w:themeTint="F2"/>
          <w:sz w:val="22"/>
          <w:szCs w:val="22"/>
          <w:lang w:val="es-AR" w:eastAsia="es-AR"/>
        </w:rPr>
      </w:pPr>
    </w:p>
    <w:p w14:paraId="30267C3D" w14:textId="5767C498" w:rsidR="002965C9" w:rsidRPr="0098446E" w:rsidRDefault="00C74064" w:rsidP="0098446E">
      <w:pPr>
        <w:rPr>
          <w:b/>
          <w:noProof/>
          <w:color w:val="0D0D0D" w:themeColor="text1" w:themeTint="F2"/>
          <w:sz w:val="22"/>
          <w:szCs w:val="22"/>
          <w:lang w:val="es-AR" w:eastAsia="es-AR"/>
        </w:rPr>
      </w:pPr>
      <w:r>
        <w:rPr>
          <w:noProof/>
          <w:lang w:val="es-AR" w:eastAsia="es-AR"/>
        </w:rPr>
        <w:drawing>
          <wp:inline distT="0" distB="0" distL="0" distR="0" wp14:anchorId="42EDE8FD" wp14:editId="69B81118">
            <wp:extent cx="5613400" cy="1881505"/>
            <wp:effectExtent l="0" t="0" r="6350" b="4445"/>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3400" cy="1881505"/>
                    </a:xfrm>
                    <a:prstGeom prst="rect">
                      <a:avLst/>
                    </a:prstGeom>
                    <a:noFill/>
                    <a:extLst/>
                  </pic:spPr>
                </pic:pic>
              </a:graphicData>
            </a:graphic>
          </wp:inline>
        </w:drawing>
      </w:r>
    </w:p>
    <w:p w14:paraId="01F267E0" w14:textId="3C0F15EE" w:rsidR="00A03B97" w:rsidRPr="00B43F7C" w:rsidRDefault="00A03B97" w:rsidP="00C91547">
      <w:pPr>
        <w:autoSpaceDE w:val="0"/>
        <w:autoSpaceDN w:val="0"/>
        <w:adjustRightInd w:val="0"/>
        <w:rPr>
          <w:bCs/>
          <w:iCs/>
          <w:color w:val="0D0D0D" w:themeColor="text1" w:themeTint="F2"/>
          <w:sz w:val="22"/>
          <w:szCs w:val="22"/>
          <w:lang w:val="es-AR"/>
        </w:rPr>
      </w:pPr>
    </w:p>
    <w:p w14:paraId="015928EF" w14:textId="77777777" w:rsidR="00A03B97" w:rsidRPr="00506990" w:rsidRDefault="00A03B97" w:rsidP="0098446E">
      <w:pPr>
        <w:autoSpaceDE w:val="0"/>
        <w:autoSpaceDN w:val="0"/>
        <w:adjustRightInd w:val="0"/>
        <w:rPr>
          <w:rFonts w:ascii="Times New Roman" w:hAnsi="Times New Roman" w:cs="Times New Roman"/>
          <w:bCs/>
          <w:iCs/>
          <w:color w:val="0D0D0D" w:themeColor="text1" w:themeTint="F2"/>
          <w:sz w:val="22"/>
          <w:szCs w:val="22"/>
          <w:lang w:val="es-AR"/>
        </w:rPr>
      </w:pPr>
    </w:p>
    <w:p w14:paraId="5483F812"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La información expuesta en el cuadro fue calculada tomando los saldos de los créditos vigentes a fin de mes, determinando su nivel de atraso a dicha fecha y agrupándolos en función del mismo en distintos estratos. A los efectos del cuadro se muestra la proporción del saldo total que a fin de mes se encuentra en cada estrato.</w:t>
      </w:r>
    </w:p>
    <w:p w14:paraId="6D0FD691" w14:textId="38741EEF" w:rsidR="00A03B97"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28FBF62F" w14:textId="1691CC81" w:rsidR="00C74064" w:rsidRPr="00506990" w:rsidRDefault="00C74064"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Pr>
          <w:noProof/>
          <w:lang w:val="es-AR" w:eastAsia="es-AR"/>
        </w:rPr>
        <w:drawing>
          <wp:inline distT="0" distB="0" distL="0" distR="0" wp14:anchorId="725F2CF4" wp14:editId="0E87240E">
            <wp:extent cx="5613400" cy="497840"/>
            <wp:effectExtent l="0" t="0" r="6350" b="0"/>
            <wp:docPr id="5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3400" cy="497840"/>
                    </a:xfrm>
                    <a:prstGeom prst="rect">
                      <a:avLst/>
                    </a:prstGeom>
                    <a:noFill/>
                    <a:extLst/>
                  </pic:spPr>
                </pic:pic>
              </a:graphicData>
            </a:graphic>
          </wp:inline>
        </w:drawing>
      </w:r>
    </w:p>
    <w:p w14:paraId="6BAFB63A"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58C8D18C"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 El porcentaje de incobrabilidad ha sido calculado sobre el total originado</w:t>
      </w:r>
    </w:p>
    <w:p w14:paraId="2B1BDA47"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66919747" w14:textId="76D765FB"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Cs/>
          <w:iCs/>
          <w:color w:val="0D0D0D" w:themeColor="text1" w:themeTint="F2"/>
          <w:sz w:val="22"/>
          <w:szCs w:val="22"/>
          <w:lang w:val="es-AR"/>
        </w:rPr>
        <w:t>Consumo S.A</w:t>
      </w:r>
      <w:r w:rsidR="001C470F" w:rsidRPr="00506990">
        <w:rPr>
          <w:rFonts w:ascii="Times New Roman" w:hAnsi="Times New Roman" w:cs="Times New Roman"/>
          <w:bCs/>
          <w:iCs/>
          <w:color w:val="0D0D0D" w:themeColor="text1" w:themeTint="F2"/>
          <w:sz w:val="22"/>
          <w:szCs w:val="22"/>
          <w:lang w:val="es-AR"/>
        </w:rPr>
        <w:t>.</w:t>
      </w:r>
      <w:r w:rsidRPr="00506990">
        <w:rPr>
          <w:rFonts w:ascii="Times New Roman" w:hAnsi="Times New Roman" w:cs="Times New Roman"/>
          <w:bCs/>
          <w:iCs/>
          <w:color w:val="0D0D0D" w:themeColor="text1" w:themeTint="F2"/>
          <w:sz w:val="22"/>
          <w:szCs w:val="22"/>
          <w:lang w:val="es-AR"/>
        </w:rPr>
        <w:t xml:space="preserve"> considera a un crédito como incobrable cuando su atraso supera los 360 días, en estos casos se previsiona el 100% del capital adeudado más los intereses devengados sin perjuicio de la continuación de las acciones judiciales de cobro.</w:t>
      </w:r>
    </w:p>
    <w:p w14:paraId="1559506A" w14:textId="77777777" w:rsidR="00A03B97" w:rsidRPr="00506990" w:rsidRDefault="00A03B97" w:rsidP="00A03B97">
      <w:pPr>
        <w:autoSpaceDE w:val="0"/>
        <w:autoSpaceDN w:val="0"/>
        <w:adjustRightInd w:val="0"/>
        <w:jc w:val="left"/>
        <w:rPr>
          <w:rFonts w:ascii="Times New Roman" w:hAnsi="Times New Roman" w:cs="Times New Roman"/>
          <w:bCs/>
          <w:iCs/>
          <w:color w:val="0D0D0D" w:themeColor="text1" w:themeTint="F2"/>
          <w:sz w:val="22"/>
          <w:szCs w:val="22"/>
          <w:lang w:val="es-AR"/>
        </w:rPr>
      </w:pPr>
    </w:p>
    <w:p w14:paraId="095DF69C" w14:textId="52069303" w:rsidR="00A03B97" w:rsidRPr="00506990" w:rsidRDefault="00C74064" w:rsidP="00A03B97">
      <w:pPr>
        <w:autoSpaceDE w:val="0"/>
        <w:autoSpaceDN w:val="0"/>
        <w:adjustRightInd w:val="0"/>
        <w:jc w:val="left"/>
        <w:rPr>
          <w:rFonts w:ascii="Times New Roman" w:hAnsi="Times New Roman" w:cs="Times New Roman"/>
          <w:bCs/>
          <w:iCs/>
          <w:color w:val="0D0D0D" w:themeColor="text1" w:themeTint="F2"/>
          <w:sz w:val="22"/>
          <w:szCs w:val="22"/>
          <w:lang w:val="es-AR"/>
        </w:rPr>
      </w:pPr>
      <w:r>
        <w:rPr>
          <w:noProof/>
          <w:lang w:val="es-AR" w:eastAsia="es-AR"/>
        </w:rPr>
        <w:drawing>
          <wp:inline distT="0" distB="0" distL="0" distR="0" wp14:anchorId="5C516496" wp14:editId="0EC5F495">
            <wp:extent cx="5613400" cy="2778125"/>
            <wp:effectExtent l="0" t="0" r="6350" b="3175"/>
            <wp:docPr id="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3400" cy="2778125"/>
                    </a:xfrm>
                    <a:prstGeom prst="rect">
                      <a:avLst/>
                    </a:prstGeom>
                    <a:noFill/>
                    <a:extLst/>
                  </pic:spPr>
                </pic:pic>
              </a:graphicData>
            </a:graphic>
          </wp:inline>
        </w:drawing>
      </w:r>
    </w:p>
    <w:p w14:paraId="2C61BBA4" w14:textId="77777777" w:rsidR="00A03B97" w:rsidRPr="0098446E" w:rsidRDefault="00A03B97" w:rsidP="0098446E">
      <w:pPr>
        <w:autoSpaceDE w:val="0"/>
        <w:autoSpaceDN w:val="0"/>
        <w:adjustRightInd w:val="0"/>
        <w:jc w:val="center"/>
        <w:rPr>
          <w:bCs/>
          <w:iCs/>
          <w:color w:val="0D0D0D" w:themeColor="text1" w:themeTint="F2"/>
          <w:sz w:val="22"/>
          <w:szCs w:val="22"/>
          <w:lang w:val="es-AR"/>
        </w:rPr>
      </w:pPr>
    </w:p>
    <w:p w14:paraId="6CB62799" w14:textId="77777777" w:rsidR="00CC479E" w:rsidRPr="00506990" w:rsidRDefault="00CC479E" w:rsidP="0098446E">
      <w:pPr>
        <w:pStyle w:val="Prrafodelista"/>
        <w:autoSpaceDE w:val="0"/>
        <w:autoSpaceDN w:val="0"/>
        <w:adjustRightInd w:val="0"/>
        <w:ind w:left="360"/>
        <w:rPr>
          <w:bCs/>
          <w:iCs/>
          <w:color w:val="0D0D0D" w:themeColor="text1" w:themeTint="F2"/>
          <w:sz w:val="22"/>
          <w:szCs w:val="22"/>
          <w:lang w:val="es-AR"/>
        </w:rPr>
      </w:pPr>
    </w:p>
    <w:p w14:paraId="03DAE392" w14:textId="77777777" w:rsidR="00CC479E" w:rsidRPr="00506990" w:rsidRDefault="00CC479E" w:rsidP="006E1DEB">
      <w:pPr>
        <w:pStyle w:val="Prrafodelista"/>
        <w:autoSpaceDE w:val="0"/>
        <w:autoSpaceDN w:val="0"/>
        <w:adjustRightInd w:val="0"/>
        <w:ind w:left="360"/>
        <w:rPr>
          <w:bCs/>
          <w:iCs/>
          <w:color w:val="0D0D0D" w:themeColor="text1" w:themeTint="F2"/>
          <w:sz w:val="22"/>
          <w:szCs w:val="22"/>
          <w:lang w:val="es-AR"/>
        </w:rPr>
      </w:pPr>
    </w:p>
    <w:p w14:paraId="7F58FABA" w14:textId="1A53600E" w:rsidR="00CC479E" w:rsidRPr="00506990" w:rsidRDefault="00CC479E" w:rsidP="006E1DEB">
      <w:pPr>
        <w:pStyle w:val="Prrafodelista"/>
        <w:shd w:val="clear" w:color="auto" w:fill="D9D9D9"/>
        <w:ind w:left="360"/>
        <w:rPr>
          <w:b/>
          <w:color w:val="0D0D0D" w:themeColor="text1" w:themeTint="F2"/>
          <w:sz w:val="22"/>
          <w:szCs w:val="22"/>
          <w:lang w:val="es-AR"/>
        </w:rPr>
      </w:pPr>
      <w:r w:rsidRPr="00506990">
        <w:rPr>
          <w:b/>
          <w:color w:val="0D0D0D" w:themeColor="text1" w:themeTint="F2"/>
          <w:sz w:val="22"/>
          <w:szCs w:val="22"/>
          <w:lang w:val="es-AR"/>
        </w:rPr>
        <w:t xml:space="preserve">ESTADO DE FLUJO DE FONDOS – </w:t>
      </w:r>
      <w:r w:rsidR="002A0DED" w:rsidRPr="00506990">
        <w:rPr>
          <w:b/>
          <w:color w:val="0D0D0D" w:themeColor="text1" w:themeTint="F2"/>
          <w:sz w:val="22"/>
          <w:szCs w:val="22"/>
          <w:lang w:val="es-AR"/>
        </w:rPr>
        <w:t xml:space="preserve">CONSUMO S.A. </w:t>
      </w:r>
    </w:p>
    <w:p w14:paraId="1C901E0B" w14:textId="77777777" w:rsidR="002A0DED" w:rsidRPr="0098446E" w:rsidRDefault="002A0DED" w:rsidP="0098446E">
      <w:pPr>
        <w:autoSpaceDE w:val="0"/>
        <w:autoSpaceDN w:val="0"/>
        <w:adjustRightInd w:val="0"/>
        <w:rPr>
          <w:b/>
          <w:color w:val="0D0D0D" w:themeColor="text1" w:themeTint="F2"/>
          <w:sz w:val="22"/>
          <w:szCs w:val="22"/>
          <w:lang w:val="es-AR"/>
        </w:rPr>
      </w:pPr>
    </w:p>
    <w:p w14:paraId="3E1E6428" w14:textId="644A8333" w:rsidR="00CC479E" w:rsidRPr="00B43F7C" w:rsidRDefault="00C74064" w:rsidP="0098446E">
      <w:pPr>
        <w:autoSpaceDE w:val="0"/>
        <w:autoSpaceDN w:val="0"/>
        <w:adjustRightInd w:val="0"/>
        <w:rPr>
          <w:bCs/>
          <w:iCs/>
          <w:color w:val="0D0D0D" w:themeColor="text1" w:themeTint="F2"/>
          <w:sz w:val="22"/>
          <w:szCs w:val="22"/>
        </w:rPr>
      </w:pPr>
      <w:r>
        <w:rPr>
          <w:noProof/>
          <w:lang w:val="es-AR" w:eastAsia="es-AR"/>
        </w:rPr>
        <w:drawing>
          <wp:inline distT="0" distB="0" distL="0" distR="0" wp14:anchorId="42CB6B1A" wp14:editId="1B506801">
            <wp:extent cx="5613400" cy="5396865"/>
            <wp:effectExtent l="0" t="0" r="6350" b="0"/>
            <wp:docPr id="5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3400" cy="5396865"/>
                    </a:xfrm>
                    <a:prstGeom prst="rect">
                      <a:avLst/>
                    </a:prstGeom>
                    <a:noFill/>
                    <a:extLst/>
                  </pic:spPr>
                </pic:pic>
              </a:graphicData>
            </a:graphic>
          </wp:inline>
        </w:drawing>
      </w:r>
    </w:p>
    <w:p w14:paraId="75ABF5AC" w14:textId="77777777" w:rsidR="00C37D1F" w:rsidRPr="00463985" w:rsidRDefault="00C37D1F" w:rsidP="0098446E">
      <w:pPr>
        <w:autoSpaceDE w:val="0"/>
        <w:autoSpaceDN w:val="0"/>
        <w:adjustRightInd w:val="0"/>
        <w:rPr>
          <w:bCs/>
          <w:iCs/>
          <w:color w:val="0D0D0D" w:themeColor="text1" w:themeTint="F2"/>
          <w:sz w:val="22"/>
          <w:szCs w:val="22"/>
        </w:rPr>
      </w:pPr>
    </w:p>
    <w:p w14:paraId="18FC0AF5" w14:textId="2707DB50" w:rsidR="004D57F1" w:rsidRPr="007F7C69" w:rsidRDefault="00475BAB" w:rsidP="0098446E">
      <w:pPr>
        <w:autoSpaceDE w:val="0"/>
        <w:autoSpaceDN w:val="0"/>
        <w:adjustRightInd w:val="0"/>
        <w:rPr>
          <w:bCs/>
          <w:iCs/>
          <w:color w:val="0D0D0D" w:themeColor="text1" w:themeTint="F2"/>
          <w:sz w:val="22"/>
          <w:szCs w:val="22"/>
        </w:rPr>
      </w:pPr>
      <w:r>
        <w:rPr>
          <w:rFonts w:ascii="Times New Roman" w:hAnsi="Times New Roman" w:cs="Times New Roman"/>
          <w:bCs/>
          <w:iCs/>
          <w:color w:val="0D0D0D" w:themeColor="text1" w:themeTint="F2"/>
          <w:sz w:val="22"/>
          <w:szCs w:val="22"/>
        </w:rPr>
        <w:t xml:space="preserve">La variación negativa de </w:t>
      </w:r>
      <w:r w:rsidR="004D57F1" w:rsidRPr="0098446E">
        <w:rPr>
          <w:rFonts w:ascii="Times New Roman" w:hAnsi="Times New Roman" w:cs="Times New Roman"/>
          <w:bCs/>
          <w:iCs/>
          <w:color w:val="0D0D0D" w:themeColor="text1" w:themeTint="F2"/>
          <w:sz w:val="22"/>
          <w:szCs w:val="22"/>
        </w:rPr>
        <w:t>Junio obedeció al pago de cuotas concursales</w:t>
      </w:r>
      <w:r>
        <w:rPr>
          <w:rFonts w:ascii="Times New Roman" w:hAnsi="Times New Roman" w:cs="Times New Roman"/>
          <w:bCs/>
          <w:iCs/>
          <w:color w:val="0D0D0D" w:themeColor="text1" w:themeTint="F2"/>
          <w:sz w:val="22"/>
          <w:szCs w:val="22"/>
        </w:rPr>
        <w:t xml:space="preserve">, </w:t>
      </w:r>
      <w:r w:rsidR="007F7C69">
        <w:rPr>
          <w:rFonts w:ascii="Times New Roman" w:hAnsi="Times New Roman" w:cs="Times New Roman"/>
          <w:bCs/>
          <w:iCs/>
          <w:color w:val="0D0D0D" w:themeColor="text1" w:themeTint="F2"/>
          <w:sz w:val="22"/>
          <w:szCs w:val="22"/>
        </w:rPr>
        <w:t xml:space="preserve">de </w:t>
      </w:r>
      <w:r w:rsidR="004D57F1" w:rsidRPr="0098446E">
        <w:rPr>
          <w:rFonts w:ascii="Times New Roman" w:hAnsi="Times New Roman" w:cs="Times New Roman"/>
          <w:bCs/>
          <w:iCs/>
          <w:color w:val="0D0D0D" w:themeColor="text1" w:themeTint="F2"/>
          <w:sz w:val="22"/>
          <w:szCs w:val="22"/>
        </w:rPr>
        <w:t>Agosto a la reducción del saldo adeudado a firmas vinculadas</w:t>
      </w:r>
      <w:r>
        <w:rPr>
          <w:rFonts w:ascii="Times New Roman" w:hAnsi="Times New Roman" w:cs="Times New Roman"/>
          <w:bCs/>
          <w:iCs/>
          <w:color w:val="0D0D0D" w:themeColor="text1" w:themeTint="F2"/>
          <w:sz w:val="22"/>
          <w:szCs w:val="22"/>
        </w:rPr>
        <w:t xml:space="preserve"> y </w:t>
      </w:r>
      <w:r w:rsidR="007F7C69">
        <w:rPr>
          <w:rFonts w:ascii="Times New Roman" w:hAnsi="Times New Roman" w:cs="Times New Roman"/>
          <w:bCs/>
          <w:iCs/>
          <w:color w:val="0D0D0D" w:themeColor="text1" w:themeTint="F2"/>
          <w:sz w:val="22"/>
          <w:szCs w:val="22"/>
        </w:rPr>
        <w:t xml:space="preserve">de </w:t>
      </w:r>
      <w:r>
        <w:rPr>
          <w:rFonts w:ascii="Times New Roman" w:hAnsi="Times New Roman" w:cs="Times New Roman"/>
          <w:bCs/>
          <w:iCs/>
          <w:color w:val="0D0D0D" w:themeColor="text1" w:themeTint="F2"/>
          <w:sz w:val="22"/>
          <w:szCs w:val="22"/>
        </w:rPr>
        <w:t xml:space="preserve">Noviembre </w:t>
      </w:r>
      <w:r w:rsidRPr="006E1DEB">
        <w:rPr>
          <w:rFonts w:ascii="Times New Roman" w:hAnsi="Times New Roman" w:cs="Times New Roman"/>
          <w:bCs/>
          <w:iCs/>
          <w:sz w:val="22"/>
          <w:szCs w:val="22"/>
        </w:rPr>
        <w:t xml:space="preserve">a </w:t>
      </w:r>
      <w:r w:rsidR="007F7C69" w:rsidRPr="006E1DEB">
        <w:rPr>
          <w:rFonts w:ascii="Calibri" w:hAnsi="Calibri"/>
          <w:sz w:val="22"/>
          <w:szCs w:val="22"/>
          <w:shd w:val="clear" w:color="auto" w:fill="FFFFFF"/>
        </w:rPr>
        <w:t>Retenciones de Ganancias por Dividendos Asign</w:t>
      </w:r>
      <w:r w:rsidR="007F7C69">
        <w:rPr>
          <w:rFonts w:ascii="Calibri" w:hAnsi="Calibri"/>
          <w:sz w:val="22"/>
          <w:szCs w:val="22"/>
          <w:shd w:val="clear" w:color="auto" w:fill="FFFFFF"/>
        </w:rPr>
        <w:t>ados en el mes, que compensan los</w:t>
      </w:r>
      <w:r w:rsidR="007F7C69" w:rsidRPr="006E1DEB">
        <w:rPr>
          <w:rFonts w:ascii="Calibri" w:hAnsi="Calibri"/>
          <w:sz w:val="22"/>
          <w:szCs w:val="22"/>
          <w:shd w:val="clear" w:color="auto" w:fill="FFFFFF"/>
        </w:rPr>
        <w:t xml:space="preserve"> retiros que los accionistas fueron realizando en períodos previos.</w:t>
      </w:r>
    </w:p>
    <w:p w14:paraId="183D176C" w14:textId="77777777" w:rsidR="004D57F1" w:rsidRPr="00463985" w:rsidRDefault="004D57F1" w:rsidP="0098446E">
      <w:pPr>
        <w:autoSpaceDE w:val="0"/>
        <w:autoSpaceDN w:val="0"/>
        <w:adjustRightInd w:val="0"/>
        <w:rPr>
          <w:bCs/>
          <w:iCs/>
          <w:color w:val="0D0D0D" w:themeColor="text1" w:themeTint="F2"/>
          <w:sz w:val="22"/>
          <w:szCs w:val="22"/>
        </w:rPr>
      </w:pPr>
    </w:p>
    <w:p w14:paraId="4B25B63E" w14:textId="77777777" w:rsidR="00C37D1F" w:rsidRPr="00780DEA" w:rsidRDefault="00C37D1F" w:rsidP="0098446E">
      <w:pPr>
        <w:autoSpaceDE w:val="0"/>
        <w:autoSpaceDN w:val="0"/>
        <w:adjustRightInd w:val="0"/>
        <w:rPr>
          <w:bCs/>
          <w:iCs/>
          <w:color w:val="0D0D0D" w:themeColor="text1" w:themeTint="F2"/>
          <w:sz w:val="22"/>
          <w:szCs w:val="22"/>
        </w:rPr>
      </w:pPr>
    </w:p>
    <w:p w14:paraId="2EF52780" w14:textId="77777777" w:rsidR="00CC479E" w:rsidRPr="0098446E" w:rsidRDefault="00CC479E" w:rsidP="0098446E">
      <w:pPr>
        <w:autoSpaceDE w:val="0"/>
        <w:autoSpaceDN w:val="0"/>
        <w:adjustRightInd w:val="0"/>
        <w:rPr>
          <w:bCs/>
          <w:iCs/>
          <w:color w:val="0D0D0D" w:themeColor="text1" w:themeTint="F2"/>
          <w:sz w:val="22"/>
          <w:szCs w:val="22"/>
        </w:rPr>
      </w:pPr>
    </w:p>
    <w:p w14:paraId="0DF93298" w14:textId="1A7422D4" w:rsidR="00CC479E" w:rsidRPr="0098446E" w:rsidRDefault="00CC479E" w:rsidP="00CC479E">
      <w:pPr>
        <w:pStyle w:val="Prrafodelista"/>
        <w:numPr>
          <w:ilvl w:val="0"/>
          <w:numId w:val="41"/>
        </w:numPr>
        <w:shd w:val="clear" w:color="auto" w:fill="D9D9D9"/>
        <w:rPr>
          <w:b/>
          <w:color w:val="0D0D0D" w:themeColor="text1" w:themeTint="F2"/>
          <w:sz w:val="22"/>
          <w:szCs w:val="22"/>
        </w:rPr>
      </w:pPr>
      <w:r w:rsidRPr="00506990">
        <w:rPr>
          <w:b/>
          <w:color w:val="0D0D0D" w:themeColor="text1" w:themeTint="F2"/>
          <w:sz w:val="22"/>
          <w:szCs w:val="22"/>
        </w:rPr>
        <w:t xml:space="preserve">Evolución de la cantidad de empleados </w:t>
      </w:r>
    </w:p>
    <w:p w14:paraId="0C2AB18C" w14:textId="1B71D82B" w:rsidR="002A0DED" w:rsidRPr="00506990" w:rsidRDefault="002A0DED" w:rsidP="0098446E">
      <w:pPr>
        <w:pStyle w:val="Prrafodelista"/>
        <w:ind w:left="360"/>
        <w:rPr>
          <w:color w:val="0D0D0D" w:themeColor="text1" w:themeTint="F2"/>
          <w:sz w:val="22"/>
          <w:szCs w:val="22"/>
        </w:rPr>
      </w:pPr>
      <w:r w:rsidRPr="00506990">
        <w:rPr>
          <w:color w:val="0D0D0D" w:themeColor="text1" w:themeTint="F2"/>
          <w:sz w:val="22"/>
          <w:szCs w:val="22"/>
        </w:rPr>
        <w:t xml:space="preserve">Cantidad de empleados al 31/05/2017: </w:t>
      </w:r>
      <w:r w:rsidR="00272B8A" w:rsidRPr="00506990">
        <w:rPr>
          <w:color w:val="0D0D0D" w:themeColor="text1" w:themeTint="F2"/>
          <w:sz w:val="22"/>
          <w:szCs w:val="22"/>
        </w:rPr>
        <w:t>7</w:t>
      </w:r>
    </w:p>
    <w:p w14:paraId="5CE9F244" w14:textId="797EA51C" w:rsidR="002A0DED" w:rsidRPr="00506990" w:rsidRDefault="002A0DED" w:rsidP="0098446E">
      <w:pPr>
        <w:pStyle w:val="Prrafodelista"/>
        <w:ind w:left="360"/>
        <w:rPr>
          <w:color w:val="0D0D0D" w:themeColor="text1" w:themeTint="F2"/>
          <w:sz w:val="22"/>
          <w:szCs w:val="22"/>
        </w:rPr>
      </w:pPr>
      <w:r w:rsidRPr="00506990">
        <w:rPr>
          <w:color w:val="0D0D0D" w:themeColor="text1" w:themeTint="F2"/>
          <w:sz w:val="22"/>
          <w:szCs w:val="22"/>
        </w:rPr>
        <w:t xml:space="preserve">Cantidad de empleados al 31/05/2018: </w:t>
      </w:r>
      <w:r w:rsidR="00272B8A" w:rsidRPr="00506990">
        <w:rPr>
          <w:color w:val="0D0D0D" w:themeColor="text1" w:themeTint="F2"/>
          <w:sz w:val="22"/>
          <w:szCs w:val="22"/>
        </w:rPr>
        <w:t>16</w:t>
      </w:r>
    </w:p>
    <w:p w14:paraId="16001391" w14:textId="744160BC" w:rsidR="002A0DED" w:rsidRPr="00506990" w:rsidRDefault="002A0DED" w:rsidP="0098446E">
      <w:pPr>
        <w:pStyle w:val="Prrafodelista"/>
        <w:ind w:left="360"/>
        <w:rPr>
          <w:color w:val="0D0D0D" w:themeColor="text1" w:themeTint="F2"/>
          <w:sz w:val="22"/>
          <w:szCs w:val="22"/>
        </w:rPr>
      </w:pPr>
      <w:r w:rsidRPr="00506990">
        <w:rPr>
          <w:color w:val="0D0D0D" w:themeColor="text1" w:themeTint="F2"/>
          <w:sz w:val="22"/>
          <w:szCs w:val="22"/>
        </w:rPr>
        <w:t>Cantidad de empleados al 3</w:t>
      </w:r>
      <w:r w:rsidR="00475BAB">
        <w:rPr>
          <w:color w:val="0D0D0D" w:themeColor="text1" w:themeTint="F2"/>
          <w:sz w:val="22"/>
          <w:szCs w:val="22"/>
        </w:rPr>
        <w:t>0</w:t>
      </w:r>
      <w:r w:rsidRPr="00506990">
        <w:rPr>
          <w:color w:val="0D0D0D" w:themeColor="text1" w:themeTint="F2"/>
          <w:sz w:val="22"/>
          <w:szCs w:val="22"/>
        </w:rPr>
        <w:t>/1</w:t>
      </w:r>
      <w:r w:rsidR="00475BAB">
        <w:rPr>
          <w:color w:val="0D0D0D" w:themeColor="text1" w:themeTint="F2"/>
          <w:sz w:val="22"/>
          <w:szCs w:val="22"/>
        </w:rPr>
        <w:t>1</w:t>
      </w:r>
      <w:r w:rsidRPr="00506990">
        <w:rPr>
          <w:color w:val="0D0D0D" w:themeColor="text1" w:themeTint="F2"/>
          <w:sz w:val="22"/>
          <w:szCs w:val="22"/>
        </w:rPr>
        <w:t>/2019: 9</w:t>
      </w:r>
    </w:p>
    <w:p w14:paraId="330C8359" w14:textId="77777777" w:rsidR="00E64FCD" w:rsidRPr="00506990" w:rsidRDefault="00E64FCD" w:rsidP="0098446E">
      <w:pPr>
        <w:pStyle w:val="Prrafodelista"/>
        <w:ind w:left="360"/>
        <w:rPr>
          <w:color w:val="0D0D0D" w:themeColor="text1" w:themeTint="F2"/>
          <w:sz w:val="22"/>
          <w:szCs w:val="22"/>
        </w:rPr>
      </w:pPr>
    </w:p>
    <w:p w14:paraId="4F092D5B" w14:textId="7C7ADDEA" w:rsidR="00E64FCD" w:rsidRPr="0098446E" w:rsidRDefault="00E64FCD" w:rsidP="00E64FCD">
      <w:pPr>
        <w:rPr>
          <w:rFonts w:ascii="Times New Roman" w:hAnsi="Times New Roman" w:cs="Times New Roman"/>
          <w:bCs/>
          <w:color w:val="0D0D0D" w:themeColor="text1" w:themeTint="F2"/>
          <w:sz w:val="22"/>
          <w:szCs w:val="22"/>
          <w:lang w:val="es-AR"/>
        </w:rPr>
      </w:pPr>
      <w:r w:rsidRPr="0098446E">
        <w:rPr>
          <w:rFonts w:ascii="Times New Roman" w:hAnsi="Times New Roman" w:cs="Times New Roman"/>
          <w:bCs/>
          <w:color w:val="0D0D0D" w:themeColor="text1" w:themeTint="F2"/>
          <w:sz w:val="22"/>
          <w:szCs w:val="22"/>
          <w:lang w:val="es-AR"/>
        </w:rPr>
        <w:t>Para la gestión operativa Consumo cuenta adicionalmente con los servicios de la empresa Avenida A.C.E. (que cuenta co</w:t>
      </w:r>
      <w:r w:rsidRPr="00C91547">
        <w:rPr>
          <w:rFonts w:ascii="Times New Roman" w:hAnsi="Times New Roman" w:cs="Times New Roman"/>
          <w:bCs/>
          <w:sz w:val="22"/>
          <w:szCs w:val="22"/>
          <w:lang w:val="es-AR"/>
        </w:rPr>
        <w:t>n 18</w:t>
      </w:r>
      <w:r w:rsidR="00475BAB">
        <w:rPr>
          <w:rFonts w:ascii="Times New Roman" w:hAnsi="Times New Roman" w:cs="Times New Roman"/>
          <w:bCs/>
          <w:sz w:val="22"/>
          <w:szCs w:val="22"/>
          <w:lang w:val="es-AR"/>
        </w:rPr>
        <w:t>7</w:t>
      </w:r>
      <w:r w:rsidRPr="00C91547">
        <w:rPr>
          <w:rFonts w:ascii="Times New Roman" w:hAnsi="Times New Roman" w:cs="Times New Roman"/>
          <w:bCs/>
          <w:sz w:val="22"/>
          <w:szCs w:val="22"/>
          <w:lang w:val="es-AR"/>
        </w:rPr>
        <w:t xml:space="preserve"> empleados al 3</w:t>
      </w:r>
      <w:r w:rsidR="00475BAB">
        <w:rPr>
          <w:rFonts w:ascii="Times New Roman" w:hAnsi="Times New Roman" w:cs="Times New Roman"/>
          <w:bCs/>
          <w:sz w:val="22"/>
          <w:szCs w:val="22"/>
          <w:lang w:val="es-AR"/>
        </w:rPr>
        <w:t>0</w:t>
      </w:r>
      <w:r w:rsidRPr="00C91547">
        <w:rPr>
          <w:rFonts w:ascii="Times New Roman" w:hAnsi="Times New Roman" w:cs="Times New Roman"/>
          <w:bCs/>
          <w:sz w:val="22"/>
          <w:szCs w:val="22"/>
          <w:lang w:val="es-AR"/>
        </w:rPr>
        <w:t xml:space="preserve"> de </w:t>
      </w:r>
      <w:r w:rsidR="00475BAB">
        <w:rPr>
          <w:rFonts w:ascii="Times New Roman" w:hAnsi="Times New Roman" w:cs="Times New Roman"/>
          <w:bCs/>
          <w:sz w:val="22"/>
          <w:szCs w:val="22"/>
          <w:lang w:val="es-AR"/>
        </w:rPr>
        <w:t>Noviem</w:t>
      </w:r>
      <w:r w:rsidRPr="00C91547">
        <w:rPr>
          <w:rFonts w:ascii="Times New Roman" w:hAnsi="Times New Roman" w:cs="Times New Roman"/>
          <w:bCs/>
          <w:sz w:val="22"/>
          <w:szCs w:val="22"/>
          <w:lang w:val="es-AR"/>
        </w:rPr>
        <w:t>bre de 2019).</w:t>
      </w:r>
    </w:p>
    <w:p w14:paraId="0217B531" w14:textId="77777777" w:rsidR="00E64FCD" w:rsidRPr="00506990" w:rsidRDefault="00E64FCD" w:rsidP="0098446E">
      <w:pPr>
        <w:pStyle w:val="Prrafodelista"/>
        <w:ind w:left="360"/>
        <w:rPr>
          <w:color w:val="0D0D0D" w:themeColor="text1" w:themeTint="F2"/>
          <w:sz w:val="22"/>
          <w:szCs w:val="22"/>
        </w:rPr>
      </w:pPr>
    </w:p>
    <w:p w14:paraId="7C1BC286" w14:textId="77777777" w:rsidR="002A0DED" w:rsidRPr="00506990" w:rsidRDefault="002A0DED" w:rsidP="0098446E">
      <w:pPr>
        <w:pStyle w:val="Prrafodelista"/>
        <w:shd w:val="clear" w:color="auto" w:fill="D9D9D9"/>
        <w:ind w:left="360"/>
        <w:rPr>
          <w:b/>
          <w:color w:val="0D0D0D" w:themeColor="text1" w:themeTint="F2"/>
          <w:sz w:val="22"/>
          <w:szCs w:val="22"/>
        </w:rPr>
      </w:pPr>
    </w:p>
    <w:p w14:paraId="48067021" w14:textId="77777777" w:rsidR="000C754E" w:rsidRPr="00506990" w:rsidRDefault="000C754E">
      <w:pPr>
        <w:autoSpaceDE w:val="0"/>
        <w:autoSpaceDN w:val="0"/>
        <w:adjustRightInd w:val="0"/>
        <w:jc w:val="center"/>
        <w:rPr>
          <w:rFonts w:ascii="Times New Roman" w:hAnsi="Times New Roman" w:cs="Times New Roman"/>
          <w:bCs/>
          <w:iCs/>
          <w:color w:val="0D0D0D" w:themeColor="text1" w:themeTint="F2"/>
          <w:sz w:val="22"/>
          <w:szCs w:val="22"/>
        </w:rPr>
      </w:pPr>
    </w:p>
    <w:p w14:paraId="7B76DB59" w14:textId="464E5935" w:rsidR="006B6B5E" w:rsidRPr="00506990" w:rsidRDefault="006B6B5E" w:rsidP="00B228F5">
      <w:pPr>
        <w:pStyle w:val="Ttulo1"/>
        <w:jc w:val="center"/>
        <w:rPr>
          <w:rFonts w:ascii="Times New Roman" w:hAnsi="Times New Roman"/>
          <w:sz w:val="22"/>
          <w:szCs w:val="22"/>
        </w:rPr>
      </w:pPr>
      <w:bookmarkStart w:id="86" w:name="_Toc521424870"/>
      <w:bookmarkStart w:id="87" w:name="_Toc20409086"/>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DEL ORGANIZADOR Y ASESOR FINANCIERO</w:t>
      </w:r>
      <w:bookmarkEnd w:id="86"/>
      <w:bookmarkEnd w:id="87"/>
    </w:p>
    <w:p w14:paraId="19C9CE62" w14:textId="77777777" w:rsidR="006B6B5E" w:rsidRPr="00506990" w:rsidRDefault="006B6B5E" w:rsidP="006B6B5E">
      <w:pPr>
        <w:rPr>
          <w:rFonts w:ascii="Times New Roman" w:hAnsi="Times New Roman" w:cs="Times New Roman"/>
          <w:color w:val="0D0D0D" w:themeColor="text1" w:themeTint="F2"/>
          <w:sz w:val="22"/>
          <w:szCs w:val="22"/>
          <w:lang w:val="es-AR"/>
        </w:rPr>
      </w:pPr>
    </w:p>
    <w:p w14:paraId="21620FCF" w14:textId="459D0C26"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First Corporate Finance Advisors S.A. (“FIRST”) se encuentra inscripta en Inspección General de Justicia el 08/02/99 bajo el Nro. 1.858, libro Nro. 4 de Sociedades por Acciones, el cambio por la de denominación social mencionada fue inscripto el 08/10/13 bajo el Nro. 20.031 del Libro Nro. 65 de Sociedades por Acciones. Tiene su sede social en la calle 25 de mayo 596, piso 20, de la Ciudad de 31Buenos Aires. Tel. 011-4311-6014. Fax: 011-4311-6018. Email info@firstcfa.com Sitio web institucional: http://www.firstcfa.com/ CUIT: 33-70097858-9.</w:t>
      </w:r>
    </w:p>
    <w:p w14:paraId="4A052FDF"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440A5647" w14:textId="77777777" w:rsidR="00C56DC8" w:rsidRPr="00506990" w:rsidRDefault="00C56DC8" w:rsidP="00C56DC8">
      <w:pPr>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Órgano de Administración</w:t>
      </w:r>
    </w:p>
    <w:p w14:paraId="5B9CBA95" w14:textId="77777777" w:rsidR="00C56DC8" w:rsidRPr="00506990" w:rsidRDefault="00C56DC8" w:rsidP="00C56DC8">
      <w:pPr>
        <w:rPr>
          <w:rFonts w:ascii="Times New Roman" w:hAnsi="Times New Roman" w:cs="Times New Roman"/>
          <w:b/>
          <w:bCs/>
          <w:color w:val="0D0D0D" w:themeColor="text1" w:themeTint="F2"/>
          <w:sz w:val="22"/>
          <w:szCs w:val="22"/>
          <w:lang w:val="es-AR"/>
        </w:rPr>
      </w:pPr>
    </w:p>
    <w:tbl>
      <w:tblPr>
        <w:tblStyle w:val="Tablaconcuadrcula"/>
        <w:tblW w:w="8152" w:type="dxa"/>
        <w:tblLook w:val="04A0" w:firstRow="1" w:lastRow="0" w:firstColumn="1" w:lastColumn="0" w:noHBand="0" w:noVBand="1"/>
      </w:tblPr>
      <w:tblGrid>
        <w:gridCol w:w="1908"/>
        <w:gridCol w:w="3597"/>
        <w:gridCol w:w="2647"/>
      </w:tblGrid>
      <w:tr w:rsidR="00C56DC8" w:rsidRPr="00506990" w14:paraId="133BE4CB" w14:textId="77777777" w:rsidTr="00546BED">
        <w:trPr>
          <w:trHeight w:val="234"/>
        </w:trPr>
        <w:tc>
          <w:tcPr>
            <w:tcW w:w="1908" w:type="dxa"/>
            <w:vAlign w:val="center"/>
          </w:tcPr>
          <w:p w14:paraId="26AEC956"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Cargo</w:t>
            </w:r>
          </w:p>
        </w:tc>
        <w:tc>
          <w:tcPr>
            <w:tcW w:w="3597" w:type="dxa"/>
            <w:vAlign w:val="center"/>
          </w:tcPr>
          <w:p w14:paraId="1A6EAE9A"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Nombre y Apellido</w:t>
            </w:r>
          </w:p>
        </w:tc>
        <w:tc>
          <w:tcPr>
            <w:tcW w:w="2647" w:type="dxa"/>
            <w:vAlign w:val="center"/>
          </w:tcPr>
          <w:p w14:paraId="232D12ED" w14:textId="77777777" w:rsidR="00C56DC8" w:rsidRPr="00506990" w:rsidRDefault="00C56DC8" w:rsidP="00546BED">
            <w:pPr>
              <w:rPr>
                <w:rFonts w:ascii="Times New Roman" w:hAnsi="Times New Roman" w:cs="Times New Roman"/>
                <w:b/>
                <w:sz w:val="22"/>
                <w:szCs w:val="22"/>
              </w:rPr>
            </w:pPr>
            <w:r w:rsidRPr="00506990">
              <w:rPr>
                <w:rFonts w:ascii="Times New Roman" w:hAnsi="Times New Roman" w:cs="Times New Roman"/>
                <w:b/>
                <w:sz w:val="22"/>
                <w:szCs w:val="22"/>
              </w:rPr>
              <w:t>Vto. de los Mandatos</w:t>
            </w:r>
          </w:p>
        </w:tc>
      </w:tr>
      <w:tr w:rsidR="00C56DC8" w:rsidRPr="00506990" w14:paraId="4CC55E03" w14:textId="77777777" w:rsidTr="00546BED">
        <w:trPr>
          <w:trHeight w:val="457"/>
        </w:trPr>
        <w:tc>
          <w:tcPr>
            <w:tcW w:w="1908" w:type="dxa"/>
            <w:vAlign w:val="center"/>
          </w:tcPr>
          <w:p w14:paraId="7BC4F94A"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Presidente</w:t>
            </w:r>
          </w:p>
        </w:tc>
        <w:tc>
          <w:tcPr>
            <w:tcW w:w="3597" w:type="dxa"/>
            <w:vAlign w:val="center"/>
          </w:tcPr>
          <w:p w14:paraId="4E9C78E7"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MIGUEL ANGEL ARRIGONI</w:t>
            </w:r>
          </w:p>
          <w:p w14:paraId="63D71AD8" w14:textId="77777777" w:rsidR="00C56DC8" w:rsidRPr="00506990" w:rsidRDefault="00C56DC8" w:rsidP="00546BED">
            <w:pPr>
              <w:rPr>
                <w:rFonts w:ascii="Times New Roman" w:hAnsi="Times New Roman" w:cs="Times New Roman"/>
                <w:sz w:val="22"/>
                <w:szCs w:val="22"/>
              </w:rPr>
            </w:pPr>
          </w:p>
        </w:tc>
        <w:tc>
          <w:tcPr>
            <w:tcW w:w="2647" w:type="dxa"/>
            <w:vAlign w:val="center"/>
          </w:tcPr>
          <w:p w14:paraId="4E2DC402"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r w:rsidR="00C56DC8" w:rsidRPr="00506990" w14:paraId="186A490E" w14:textId="77777777" w:rsidTr="00546BED">
        <w:trPr>
          <w:trHeight w:val="457"/>
        </w:trPr>
        <w:tc>
          <w:tcPr>
            <w:tcW w:w="1908" w:type="dxa"/>
            <w:vAlign w:val="center"/>
          </w:tcPr>
          <w:p w14:paraId="4AB47866"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Vicepresidente</w:t>
            </w:r>
          </w:p>
        </w:tc>
        <w:tc>
          <w:tcPr>
            <w:tcW w:w="3597" w:type="dxa"/>
            <w:vAlign w:val="center"/>
          </w:tcPr>
          <w:p w14:paraId="087BBCB2"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LUIS ALBERTO DUBISKI</w:t>
            </w:r>
          </w:p>
        </w:tc>
        <w:tc>
          <w:tcPr>
            <w:tcW w:w="2647" w:type="dxa"/>
            <w:vAlign w:val="center"/>
          </w:tcPr>
          <w:p w14:paraId="0E02B1C3"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r w:rsidR="00C56DC8" w:rsidRPr="00506990" w14:paraId="3CB4FE1D" w14:textId="77777777" w:rsidTr="00546BED">
        <w:trPr>
          <w:trHeight w:val="2517"/>
        </w:trPr>
        <w:tc>
          <w:tcPr>
            <w:tcW w:w="1908" w:type="dxa"/>
            <w:vAlign w:val="center"/>
          </w:tcPr>
          <w:p w14:paraId="40814EF1"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Directores</w:t>
            </w:r>
          </w:p>
        </w:tc>
        <w:tc>
          <w:tcPr>
            <w:tcW w:w="3597" w:type="dxa"/>
            <w:vAlign w:val="center"/>
          </w:tcPr>
          <w:p w14:paraId="3BBE3783"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DANIEL HORACIO ZUBILLAGA</w:t>
            </w:r>
          </w:p>
          <w:p w14:paraId="0B646CC4"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JOSE LUIS GAROFALO</w:t>
            </w:r>
          </w:p>
          <w:p w14:paraId="26AD5C51" w14:textId="77777777" w:rsidR="00C56DC8" w:rsidRPr="00506990" w:rsidRDefault="00C56DC8" w:rsidP="00502438">
            <w:pPr>
              <w:jc w:val="left"/>
              <w:rPr>
                <w:rFonts w:ascii="Times New Roman" w:hAnsi="Times New Roman" w:cs="Times New Roman"/>
                <w:sz w:val="22"/>
                <w:szCs w:val="22"/>
                <w:lang w:val="pt-BR"/>
              </w:rPr>
            </w:pPr>
            <w:r w:rsidRPr="00506990">
              <w:rPr>
                <w:rFonts w:ascii="Times New Roman" w:hAnsi="Times New Roman" w:cs="Times New Roman"/>
                <w:sz w:val="22"/>
                <w:szCs w:val="22"/>
                <w:lang w:val="pt-BR"/>
              </w:rPr>
              <w:t>GUILLERMO ALBERTO BARBERO</w:t>
            </w:r>
          </w:p>
          <w:p w14:paraId="63BB6358" w14:textId="77777777" w:rsidR="00C56DC8" w:rsidRPr="00506990" w:rsidRDefault="00C56DC8" w:rsidP="00502438">
            <w:pPr>
              <w:jc w:val="left"/>
              <w:rPr>
                <w:rFonts w:ascii="Times New Roman" w:hAnsi="Times New Roman" w:cs="Times New Roman"/>
                <w:sz w:val="22"/>
                <w:szCs w:val="22"/>
                <w:lang w:val="pt-BR"/>
              </w:rPr>
            </w:pPr>
            <w:r w:rsidRPr="00506990">
              <w:rPr>
                <w:rFonts w:ascii="Times New Roman" w:hAnsi="Times New Roman" w:cs="Times New Roman"/>
                <w:sz w:val="22"/>
                <w:szCs w:val="22"/>
                <w:lang w:val="pt-BR"/>
              </w:rPr>
              <w:t>MIGUEL ANGEL DARIO MOLFINO</w:t>
            </w:r>
          </w:p>
          <w:p w14:paraId="26DF1198"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GUIDO DALLA BONA MAINI</w:t>
            </w:r>
          </w:p>
          <w:p w14:paraId="56B2B9E7"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VICTOR LAMBERTI</w:t>
            </w:r>
          </w:p>
          <w:p w14:paraId="2192A9E9"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HORACIO CONTINO</w:t>
            </w:r>
          </w:p>
          <w:p w14:paraId="128D2511"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ESTEBAN CARLOS GARCIA BRUNELLI</w:t>
            </w:r>
          </w:p>
          <w:p w14:paraId="4BD3B359" w14:textId="77777777" w:rsidR="00C56DC8" w:rsidRPr="00506990" w:rsidRDefault="00C56DC8" w:rsidP="00502438">
            <w:pPr>
              <w:jc w:val="left"/>
              <w:rPr>
                <w:rFonts w:ascii="Times New Roman" w:hAnsi="Times New Roman" w:cs="Times New Roman"/>
                <w:sz w:val="22"/>
                <w:szCs w:val="22"/>
              </w:rPr>
            </w:pPr>
            <w:r w:rsidRPr="00506990">
              <w:rPr>
                <w:rFonts w:ascii="Times New Roman" w:hAnsi="Times New Roman" w:cs="Times New Roman"/>
                <w:sz w:val="22"/>
                <w:szCs w:val="22"/>
              </w:rPr>
              <w:t xml:space="preserve">DAVID EDUARDO MONTEMURRI </w:t>
            </w:r>
          </w:p>
        </w:tc>
        <w:tc>
          <w:tcPr>
            <w:tcW w:w="2647" w:type="dxa"/>
            <w:vAlign w:val="center"/>
          </w:tcPr>
          <w:p w14:paraId="2CF48C3E"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r w:rsidR="00C56DC8" w:rsidRPr="00506990" w14:paraId="2E85C88E" w14:textId="77777777" w:rsidTr="00546BED">
        <w:trPr>
          <w:trHeight w:val="468"/>
        </w:trPr>
        <w:tc>
          <w:tcPr>
            <w:tcW w:w="1908" w:type="dxa"/>
            <w:vAlign w:val="center"/>
          </w:tcPr>
          <w:p w14:paraId="06858557"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Director Suplente</w:t>
            </w:r>
          </w:p>
        </w:tc>
        <w:tc>
          <w:tcPr>
            <w:tcW w:w="3597" w:type="dxa"/>
            <w:vAlign w:val="center"/>
          </w:tcPr>
          <w:p w14:paraId="4B59162C" w14:textId="77777777" w:rsidR="00C56DC8" w:rsidRPr="00506990" w:rsidRDefault="00C56DC8" w:rsidP="00546BED">
            <w:pPr>
              <w:rPr>
                <w:rFonts w:ascii="Times New Roman" w:hAnsi="Times New Roman" w:cs="Times New Roman"/>
                <w:sz w:val="22"/>
                <w:szCs w:val="22"/>
              </w:rPr>
            </w:pPr>
            <w:r w:rsidRPr="00506990">
              <w:rPr>
                <w:rFonts w:ascii="Times New Roman" w:hAnsi="Times New Roman" w:cs="Times New Roman"/>
                <w:sz w:val="22"/>
                <w:szCs w:val="22"/>
              </w:rPr>
              <w:t>LEONARDO DE LUCA</w:t>
            </w:r>
          </w:p>
        </w:tc>
        <w:tc>
          <w:tcPr>
            <w:tcW w:w="2647" w:type="dxa"/>
            <w:vAlign w:val="center"/>
          </w:tcPr>
          <w:p w14:paraId="33B47F56" w14:textId="77777777" w:rsidR="00C56DC8" w:rsidRPr="00506990" w:rsidRDefault="00C56DC8" w:rsidP="00546BED">
            <w:pPr>
              <w:jc w:val="center"/>
              <w:rPr>
                <w:rFonts w:ascii="Times New Roman" w:hAnsi="Times New Roman" w:cs="Times New Roman"/>
                <w:sz w:val="22"/>
                <w:szCs w:val="22"/>
              </w:rPr>
            </w:pPr>
            <w:r w:rsidRPr="00506990">
              <w:rPr>
                <w:rFonts w:ascii="Times New Roman" w:hAnsi="Times New Roman" w:cs="Times New Roman"/>
                <w:sz w:val="22"/>
                <w:szCs w:val="22"/>
              </w:rPr>
              <w:t>Hasta la Asamblea que trate los EECC al 31/05/2021</w:t>
            </w:r>
          </w:p>
        </w:tc>
      </w:tr>
    </w:tbl>
    <w:p w14:paraId="5D6BBFE8" w14:textId="5D5500A5" w:rsidR="00C56DC8" w:rsidRPr="00506990" w:rsidRDefault="00C56DC8" w:rsidP="00C56DC8">
      <w:pPr>
        <w:rPr>
          <w:rFonts w:ascii="Times New Roman" w:hAnsi="Times New Roman" w:cs="Times New Roman"/>
          <w:b/>
          <w:bCs/>
          <w:color w:val="0D0D0D" w:themeColor="text1" w:themeTint="F2"/>
          <w:sz w:val="22"/>
          <w:szCs w:val="22"/>
          <w:lang w:val="es-AR"/>
        </w:rPr>
      </w:pPr>
    </w:p>
    <w:p w14:paraId="783DEF91" w14:textId="60948BB8" w:rsidR="00BD5808" w:rsidRPr="00506990" w:rsidRDefault="00BD5808" w:rsidP="00BD5808">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Los mandatos se mantienen en sus funciones hasta la celebración de asamblea que trate los estados contables al 31/05</w:t>
      </w:r>
      <w:r w:rsidRPr="00A1698E">
        <w:rPr>
          <w:rFonts w:ascii="Times New Roman" w:hAnsi="Times New Roman" w:cs="Times New Roman"/>
          <w:color w:val="0D0D0D" w:themeColor="text1" w:themeTint="F2"/>
          <w:sz w:val="22"/>
          <w:szCs w:val="22"/>
        </w:rPr>
        <w:t>/20</w:t>
      </w:r>
      <w:r w:rsidR="001C470F" w:rsidRPr="00A1698E">
        <w:rPr>
          <w:rFonts w:ascii="Times New Roman" w:hAnsi="Times New Roman" w:cs="Times New Roman"/>
          <w:color w:val="0D0D0D" w:themeColor="text1" w:themeTint="F2"/>
          <w:sz w:val="22"/>
          <w:szCs w:val="22"/>
        </w:rPr>
        <w:t>21</w:t>
      </w:r>
      <w:r w:rsidR="00DE116D" w:rsidRPr="00A1698E">
        <w:rPr>
          <w:rFonts w:ascii="Times New Roman" w:hAnsi="Times New Roman" w:cs="Times New Roman"/>
          <w:color w:val="0D0D0D" w:themeColor="text1" w:themeTint="F2"/>
          <w:sz w:val="22"/>
          <w:szCs w:val="22"/>
        </w:rPr>
        <w:t>.</w:t>
      </w:r>
    </w:p>
    <w:p w14:paraId="2106AD1C" w14:textId="77777777" w:rsidR="00BD5808" w:rsidRPr="00506990" w:rsidRDefault="00BD5808" w:rsidP="00C56DC8">
      <w:pPr>
        <w:rPr>
          <w:rFonts w:ascii="Times New Roman" w:hAnsi="Times New Roman" w:cs="Times New Roman"/>
          <w:b/>
          <w:bCs/>
          <w:color w:val="0D0D0D" w:themeColor="text1" w:themeTint="F2"/>
          <w:sz w:val="22"/>
          <w:szCs w:val="22"/>
        </w:rPr>
      </w:pPr>
    </w:p>
    <w:p w14:paraId="09AE1CB3" w14:textId="77777777" w:rsidR="00C56DC8" w:rsidRPr="00506990" w:rsidRDefault="00C56DC8" w:rsidP="00C56DC8">
      <w:pPr>
        <w:rPr>
          <w:rFonts w:ascii="Times New Roman" w:hAnsi="Times New Roman" w:cs="Times New Roman"/>
          <w:b/>
          <w:bCs/>
          <w:color w:val="0D0D0D" w:themeColor="text1" w:themeTint="F2"/>
          <w:sz w:val="22"/>
          <w:szCs w:val="22"/>
          <w:lang w:val="es-AR"/>
        </w:rPr>
      </w:pPr>
      <w:r w:rsidRPr="00506990">
        <w:rPr>
          <w:rFonts w:ascii="Times New Roman" w:hAnsi="Times New Roman" w:cs="Times New Roman"/>
          <w:b/>
          <w:bCs/>
          <w:color w:val="0D0D0D" w:themeColor="text1" w:themeTint="F2"/>
          <w:sz w:val="22"/>
          <w:szCs w:val="22"/>
          <w:lang w:val="es-AR"/>
        </w:rPr>
        <w:t xml:space="preserve">Órgano de fiscalización </w:t>
      </w:r>
    </w:p>
    <w:p w14:paraId="778FA457"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La sociedad prescinde de Sindicatura conforme lo dispuesto por el art. 284 de la Ley General de Sociedades.</w:t>
      </w:r>
    </w:p>
    <w:p w14:paraId="5CA088FA"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15B3C3E7"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FIRST está conformado por un equipo de profesionales con más de 30 años de experiencia en servicios de asesoramiento financiero en los principales mercados de América Latina. Los mismos se han especializado en la prestación de servicios de alta sofisticación a una amplia cartera de clientes que incluye tanto grandes conglomerados empresariales nacionales y extranjeros como a empresas familiares y Gobiernos Nacional, Provincial y Municipal, con fuerte foco en las principales industrias del espectro económico que conforman nuestra región.</w:t>
      </w:r>
    </w:p>
    <w:p w14:paraId="2C6F29AB"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 </w:t>
      </w:r>
    </w:p>
    <w:p w14:paraId="3F9E5A2A"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Con más de 20 años de experiencia en securitizaciones en la región, FIRST ha sido partícipe de los hechos más significativos de la historia reciente del mercado de capitales argentino. Alguno de estos hechos relevantes:</w:t>
      </w:r>
    </w:p>
    <w:p w14:paraId="38F5DD51"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o    Realización de la primera Securitización hecha en Argentina.</w:t>
      </w:r>
    </w:p>
    <w:p w14:paraId="4B384105"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4823396D"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o    Asesoramiento en la transacción con el primer Investment Grade International en América Latina (S&amp;P BBB-).</w:t>
      </w:r>
    </w:p>
    <w:p w14:paraId="0A5EF7EC"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7859CCBB"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o     Estructuración de más de 1.000 series de fideicomisos financieros por un monto superior a $ 55.000 millones.</w:t>
      </w:r>
    </w:p>
    <w:p w14:paraId="28102463" w14:textId="77777777" w:rsidR="00C56DC8" w:rsidRPr="00506990" w:rsidRDefault="00C56DC8" w:rsidP="00C56DC8">
      <w:pPr>
        <w:rPr>
          <w:rFonts w:ascii="Times New Roman" w:hAnsi="Times New Roman" w:cs="Times New Roman"/>
          <w:color w:val="0D0D0D" w:themeColor="text1" w:themeTint="F2"/>
          <w:sz w:val="22"/>
          <w:szCs w:val="22"/>
          <w:lang w:val="es-AR"/>
        </w:rPr>
      </w:pPr>
    </w:p>
    <w:p w14:paraId="0E50A696" w14:textId="77777777" w:rsidR="00C56DC8" w:rsidRPr="00506990" w:rsidRDefault="00C56DC8" w:rsidP="00C56DC8">
      <w:pP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Nuestras líneas de servicios incluyen Negocios (Business Strategy, Corporate Finance Advisory, M&amp;A, Valuación, Fairness Opinion y Infrastructure Advisory) y Financiamiento (Securitización, Deuda Corporativa, Reestructuración), contando con experiencia en diversas Industrias (Financial Services, Consumer Finance / Retail, Agibusiness, Energía y Recursos, Real Estate, Infraestructura, Tecnología, Media y Telecomunicaciones).</w:t>
      </w:r>
    </w:p>
    <w:p w14:paraId="239FD8F2" w14:textId="2FE8C0E8" w:rsidR="000D2637" w:rsidRPr="00506990" w:rsidRDefault="00A46B18" w:rsidP="00B228F5">
      <w:pPr>
        <w:pStyle w:val="Ttulo1"/>
        <w:jc w:val="center"/>
        <w:rPr>
          <w:rFonts w:ascii="Times New Roman" w:hAnsi="Times New Roman"/>
          <w:sz w:val="22"/>
          <w:szCs w:val="22"/>
        </w:rPr>
      </w:pPr>
      <w:bookmarkStart w:id="88" w:name="_Toc521424871"/>
      <w:bookmarkStart w:id="89" w:name="_Toc20409087"/>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88"/>
      <w:bookmarkEnd w:id="89"/>
    </w:p>
    <w:p w14:paraId="325F5E9F" w14:textId="77777777" w:rsidR="00372671" w:rsidRPr="00506990" w:rsidRDefault="00372671" w:rsidP="00DE2BB1">
      <w:pPr>
        <w:pStyle w:val="NormalWeb"/>
        <w:spacing w:after="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TINSA S.A. (COBRO EXPRESS)</w:t>
      </w:r>
    </w:p>
    <w:p w14:paraId="1014CD3A" w14:textId="77777777"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Denominación social:</w:t>
      </w:r>
      <w:r w:rsidRPr="00506990">
        <w:rPr>
          <w:rFonts w:eastAsia="Arial Unicode MS"/>
          <w:color w:val="0D0D0D" w:themeColor="text1" w:themeTint="F2"/>
          <w:sz w:val="22"/>
          <w:szCs w:val="22"/>
        </w:rPr>
        <w:t xml:space="preserve"> </w:t>
      </w:r>
      <w:r w:rsidR="00AD379D" w:rsidRPr="00506990">
        <w:rPr>
          <w:rFonts w:eastAsia="Arial Unicode MS"/>
          <w:color w:val="0D0D0D" w:themeColor="text1" w:themeTint="F2"/>
          <w:sz w:val="22"/>
          <w:szCs w:val="22"/>
        </w:rPr>
        <w:t>TIN</w:t>
      </w:r>
      <w:r w:rsidR="00B17C45" w:rsidRPr="00506990">
        <w:rPr>
          <w:rFonts w:eastAsia="Arial Unicode MS"/>
          <w:color w:val="0D0D0D" w:themeColor="text1" w:themeTint="F2"/>
          <w:sz w:val="22"/>
          <w:szCs w:val="22"/>
        </w:rPr>
        <w:t>S</w:t>
      </w:r>
      <w:r w:rsidRPr="00506990">
        <w:rPr>
          <w:rFonts w:eastAsia="Arial Unicode MS"/>
          <w:color w:val="0D0D0D" w:themeColor="text1" w:themeTint="F2"/>
          <w:sz w:val="22"/>
          <w:szCs w:val="22"/>
        </w:rPr>
        <w:t>A S.A.</w:t>
      </w:r>
    </w:p>
    <w:p w14:paraId="0911D84E" w14:textId="72725E35"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Domicilio Legal:</w:t>
      </w:r>
      <w:r w:rsidRPr="00506990">
        <w:rPr>
          <w:rFonts w:eastAsia="Arial Unicode MS"/>
          <w:color w:val="0D0D0D" w:themeColor="text1" w:themeTint="F2"/>
          <w:sz w:val="22"/>
          <w:szCs w:val="22"/>
        </w:rPr>
        <w:t xml:space="preserve"> </w:t>
      </w:r>
      <w:r w:rsidR="00C55026">
        <w:rPr>
          <w:rFonts w:eastAsia="Arial Unicode MS"/>
          <w:color w:val="0D0D0D" w:themeColor="text1" w:themeTint="F2"/>
          <w:sz w:val="22"/>
          <w:szCs w:val="22"/>
        </w:rPr>
        <w:t>Calle 3 N° 1045</w:t>
      </w:r>
      <w:r w:rsidR="0020399A" w:rsidRPr="00506990">
        <w:rPr>
          <w:rFonts w:eastAsia="Arial Unicode MS"/>
          <w:color w:val="0D0D0D" w:themeColor="text1" w:themeTint="F2"/>
          <w:sz w:val="22"/>
          <w:szCs w:val="22"/>
        </w:rPr>
        <w:t xml:space="preserve"> , Provincia de Santa Fe, (S2300KJA</w:t>
      </w:r>
    </w:p>
    <w:p w14:paraId="1A360A2C" w14:textId="1015A512" w:rsidR="00F54623" w:rsidRPr="0098446E" w:rsidRDefault="00372671" w:rsidP="00485551">
      <w:pPr>
        <w:rPr>
          <w:rFonts w:ascii="Times New Roman" w:hAnsi="Times New Roman" w:cs="Times New Roman"/>
          <w:b/>
        </w:rPr>
      </w:pPr>
      <w:r w:rsidRPr="00506990">
        <w:rPr>
          <w:rFonts w:ascii="Times New Roman" w:eastAsia="Arial Unicode MS" w:hAnsi="Times New Roman" w:cs="Times New Roman"/>
          <w:b/>
          <w:color w:val="0D0D0D" w:themeColor="text1" w:themeTint="F2"/>
          <w:sz w:val="22"/>
          <w:szCs w:val="22"/>
          <w:lang w:val="es-ES"/>
        </w:rPr>
        <w:t xml:space="preserve">Nro. </w:t>
      </w:r>
      <w:r w:rsidR="00870A44" w:rsidRPr="00506990">
        <w:rPr>
          <w:rFonts w:ascii="Times New Roman" w:eastAsia="Arial Unicode MS" w:hAnsi="Times New Roman" w:cs="Times New Roman"/>
          <w:b/>
          <w:color w:val="0D0D0D" w:themeColor="text1" w:themeTint="F2"/>
          <w:sz w:val="22"/>
          <w:szCs w:val="22"/>
          <w:lang w:val="es-ES"/>
        </w:rPr>
        <w:t xml:space="preserve">y Fecha </w:t>
      </w:r>
      <w:r w:rsidRPr="00506990">
        <w:rPr>
          <w:rFonts w:ascii="Times New Roman" w:eastAsia="Arial Unicode MS" w:hAnsi="Times New Roman" w:cs="Times New Roman"/>
          <w:b/>
          <w:color w:val="0D0D0D" w:themeColor="text1" w:themeTint="F2"/>
          <w:sz w:val="22"/>
          <w:szCs w:val="22"/>
          <w:lang w:val="es-ES"/>
        </w:rPr>
        <w:t xml:space="preserve">de inscripción en </w:t>
      </w:r>
      <w:r w:rsidR="00870A44" w:rsidRPr="00506990">
        <w:rPr>
          <w:rFonts w:ascii="Times New Roman" w:eastAsia="Arial Unicode MS" w:hAnsi="Times New Roman" w:cs="Times New Roman"/>
          <w:b/>
          <w:color w:val="0D0D0D" w:themeColor="text1" w:themeTint="F2"/>
          <w:sz w:val="22"/>
          <w:szCs w:val="22"/>
          <w:lang w:val="es-ES"/>
        </w:rPr>
        <w:t>el Registro Público de Rafaela</w:t>
      </w:r>
      <w:r w:rsidRPr="00506990">
        <w:rPr>
          <w:rFonts w:ascii="Times New Roman" w:eastAsia="Arial Unicode MS" w:hAnsi="Times New Roman" w:cs="Times New Roman"/>
          <w:b/>
          <w:color w:val="0D0D0D" w:themeColor="text1" w:themeTint="F2"/>
          <w:sz w:val="22"/>
          <w:szCs w:val="22"/>
          <w:lang w:val="es-ES"/>
        </w:rPr>
        <w:t>:</w:t>
      </w:r>
      <w:r w:rsidR="00870A44" w:rsidRPr="00506990">
        <w:rPr>
          <w:rFonts w:ascii="Times New Roman" w:eastAsia="Arial Unicode MS" w:hAnsi="Times New Roman" w:cs="Times New Roman"/>
          <w:color w:val="0D0D0D" w:themeColor="text1" w:themeTint="F2"/>
          <w:sz w:val="22"/>
          <w:szCs w:val="22"/>
          <w:lang w:val="es-ES"/>
        </w:rPr>
        <w:t xml:space="preserve"> </w:t>
      </w:r>
      <w:r w:rsidR="00870A44" w:rsidRPr="00506990">
        <w:rPr>
          <w:rFonts w:ascii="Times New Roman" w:eastAsia="Arial Unicode MS" w:hAnsi="Times New Roman" w:cs="Times New Roman"/>
          <w:color w:val="0D0D0D" w:themeColor="text1" w:themeTint="F2"/>
          <w:sz w:val="22"/>
          <w:szCs w:val="22"/>
        </w:rPr>
        <w:t>Del</w:t>
      </w:r>
      <w:r w:rsidR="0020399A" w:rsidRPr="00506990">
        <w:rPr>
          <w:rFonts w:ascii="Times New Roman" w:eastAsia="Arial Unicode MS" w:hAnsi="Times New Roman" w:cs="Times New Roman"/>
          <w:color w:val="0D0D0D" w:themeColor="text1" w:themeTint="F2"/>
          <w:sz w:val="22"/>
          <w:szCs w:val="22"/>
        </w:rPr>
        <w:t xml:space="preserve"> Estatuto Original: 24 de septiembre de 2001, bajo el Número 403 Folio 119 a 120 del Libro I de Estatutos de Sociedades Anónimas. De las modificaciones al Estatuto: 29 de Julio de 2003, bajo el Número 589 Folio 67 del Libro II de Estatutos de Sociedades Anónimas</w:t>
      </w:r>
      <w:r w:rsidR="00870A44" w:rsidRPr="00506990">
        <w:rPr>
          <w:rFonts w:ascii="Times New Roman" w:eastAsia="Arial Unicode MS" w:hAnsi="Times New Roman" w:cs="Times New Roman"/>
          <w:color w:val="0D0D0D" w:themeColor="text1" w:themeTint="F2"/>
          <w:sz w:val="22"/>
          <w:szCs w:val="22"/>
        </w:rPr>
        <w:t xml:space="preserve"> y</w:t>
      </w:r>
      <w:r w:rsidR="0020399A" w:rsidRPr="00506990">
        <w:rPr>
          <w:rFonts w:ascii="Times New Roman" w:eastAsia="Arial Unicode MS" w:hAnsi="Times New Roman" w:cs="Times New Roman"/>
          <w:color w:val="0D0D0D" w:themeColor="text1" w:themeTint="F2"/>
          <w:sz w:val="22"/>
          <w:szCs w:val="22"/>
        </w:rPr>
        <w:t xml:space="preserve"> 26 de Septiembre de 2012, bajo el Número 2454 Folio 397 del Libro III de Estatutos de Sociedades Anónimas.</w:t>
      </w:r>
    </w:p>
    <w:p w14:paraId="3C220124" w14:textId="0B5125BC"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Actividad:</w:t>
      </w:r>
      <w:r w:rsidR="0020399A" w:rsidRPr="00506990">
        <w:rPr>
          <w:rFonts w:eastAsia="Arial Unicode MS"/>
          <w:color w:val="0D0D0D" w:themeColor="text1" w:themeTint="F2"/>
          <w:sz w:val="22"/>
          <w:szCs w:val="22"/>
        </w:rPr>
        <w:t xml:space="preserve"> Servicio electrónico de pagos y/o cobranzas por cuenta y orden de terceros, de facturas de servicios públicos, impuestos y otros servicios.</w:t>
      </w:r>
    </w:p>
    <w:p w14:paraId="7F929E29" w14:textId="328BA612"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CUIT:</w:t>
      </w:r>
      <w:r w:rsidR="0020399A" w:rsidRPr="00506990">
        <w:rPr>
          <w:rFonts w:eastAsia="Arial Unicode MS"/>
          <w:color w:val="0D0D0D" w:themeColor="text1" w:themeTint="F2"/>
          <w:sz w:val="22"/>
          <w:szCs w:val="22"/>
        </w:rPr>
        <w:t xml:space="preserve"> 30-70758637-7</w:t>
      </w:r>
    </w:p>
    <w:p w14:paraId="36CA942A" w14:textId="7DD63E3B" w:rsidR="00372671" w:rsidRPr="00506990" w:rsidRDefault="00372671" w:rsidP="00372671">
      <w:pPr>
        <w:pStyle w:val="Default0"/>
        <w:rPr>
          <w:rFonts w:eastAsia="Arial Unicode MS"/>
          <w:color w:val="0D0D0D" w:themeColor="text1" w:themeTint="F2"/>
          <w:sz w:val="22"/>
          <w:szCs w:val="22"/>
        </w:rPr>
      </w:pPr>
      <w:r w:rsidRPr="00506990">
        <w:rPr>
          <w:rFonts w:eastAsia="Arial Unicode MS"/>
          <w:b/>
          <w:color w:val="0D0D0D" w:themeColor="text1" w:themeTint="F2"/>
          <w:sz w:val="22"/>
          <w:szCs w:val="22"/>
        </w:rPr>
        <w:t>Tel/ Fax:</w:t>
      </w:r>
      <w:r w:rsidRPr="00506990">
        <w:rPr>
          <w:rFonts w:eastAsia="Arial Unicode MS"/>
          <w:color w:val="0D0D0D" w:themeColor="text1" w:themeTint="F2"/>
          <w:sz w:val="22"/>
          <w:szCs w:val="22"/>
        </w:rPr>
        <w:t xml:space="preserve"> </w:t>
      </w:r>
      <w:r w:rsidR="0020399A" w:rsidRPr="00506990">
        <w:rPr>
          <w:rFonts w:eastAsia="Arial Unicode MS"/>
          <w:color w:val="0D0D0D" w:themeColor="text1" w:themeTint="F2"/>
          <w:sz w:val="22"/>
          <w:szCs w:val="22"/>
        </w:rPr>
        <w:t>tel 03492-439000 / fax 03492 439000 interno 8400</w:t>
      </w:r>
    </w:p>
    <w:p w14:paraId="24F68300" w14:textId="77777777" w:rsidR="0020399A" w:rsidRPr="00506990" w:rsidRDefault="00372671" w:rsidP="0020399A">
      <w:pPr>
        <w:shd w:val="clear" w:color="auto" w:fill="FFFFFF"/>
        <w:rPr>
          <w:rFonts w:ascii="Times New Roman" w:eastAsia="Times New Roman" w:hAnsi="Times New Roman" w:cs="Times New Roman"/>
          <w:color w:val="0D0D0D" w:themeColor="text1" w:themeTint="F2"/>
          <w:sz w:val="22"/>
          <w:szCs w:val="22"/>
          <w:lang w:val="es-ES" w:eastAsia="es-AR"/>
        </w:rPr>
      </w:pPr>
      <w:r w:rsidRPr="00506990">
        <w:rPr>
          <w:rFonts w:ascii="Times New Roman" w:hAnsi="Times New Roman" w:cs="Times New Roman"/>
          <w:b/>
          <w:bCs/>
          <w:color w:val="0D0D0D" w:themeColor="text1" w:themeTint="F2"/>
          <w:sz w:val="22"/>
          <w:szCs w:val="22"/>
        </w:rPr>
        <w:t xml:space="preserve">E-mail: </w:t>
      </w:r>
      <w:hyperlink r:id="rId52" w:tgtFrame="_blank" w:history="1">
        <w:r w:rsidR="0020399A" w:rsidRPr="00506990">
          <w:rPr>
            <w:rFonts w:ascii="Times New Roman" w:eastAsia="Times New Roman" w:hAnsi="Times New Roman" w:cs="Times New Roman"/>
            <w:color w:val="0D0D0D" w:themeColor="text1" w:themeTint="F2"/>
            <w:sz w:val="22"/>
            <w:szCs w:val="22"/>
            <w:u w:val="single"/>
            <w:lang w:val="es-AR" w:eastAsia="es-AR"/>
          </w:rPr>
          <w:t>info@cobroexpress.com.ar</w:t>
        </w:r>
      </w:hyperlink>
      <w:r w:rsidR="0020399A" w:rsidRPr="00506990">
        <w:rPr>
          <w:rFonts w:ascii="Times New Roman" w:eastAsia="Times New Roman" w:hAnsi="Times New Roman" w:cs="Times New Roman"/>
          <w:color w:val="0D0D0D" w:themeColor="text1" w:themeTint="F2"/>
          <w:sz w:val="22"/>
          <w:szCs w:val="22"/>
          <w:lang w:val="es-AR" w:eastAsia="es-AR"/>
        </w:rPr>
        <w:t> - Web: </w:t>
      </w:r>
      <w:hyperlink r:id="rId53" w:tgtFrame="_blank" w:history="1">
        <w:r w:rsidR="0020399A" w:rsidRPr="00506990">
          <w:rPr>
            <w:rFonts w:ascii="Times New Roman" w:eastAsia="Times New Roman" w:hAnsi="Times New Roman" w:cs="Times New Roman"/>
            <w:color w:val="0D0D0D" w:themeColor="text1" w:themeTint="F2"/>
            <w:sz w:val="22"/>
            <w:szCs w:val="22"/>
            <w:u w:val="single"/>
            <w:lang w:val="es-AR" w:eastAsia="es-AR"/>
          </w:rPr>
          <w:t>www.cobroexpress.com.ar</w:t>
        </w:r>
      </w:hyperlink>
      <w:r w:rsidR="0020399A" w:rsidRPr="00506990">
        <w:rPr>
          <w:rFonts w:ascii="Times New Roman" w:eastAsia="Times New Roman" w:hAnsi="Times New Roman" w:cs="Times New Roman"/>
          <w:color w:val="0D0D0D" w:themeColor="text1" w:themeTint="F2"/>
          <w:sz w:val="22"/>
          <w:szCs w:val="22"/>
          <w:lang w:val="es-AR" w:eastAsia="es-AR"/>
        </w:rPr>
        <w:t>.</w:t>
      </w:r>
    </w:p>
    <w:p w14:paraId="1F1E5BD7" w14:textId="77777777" w:rsidR="003C6A63" w:rsidRPr="00506990" w:rsidRDefault="003C6A63" w:rsidP="007154AA">
      <w:pPr>
        <w:pStyle w:val="Default0"/>
        <w:rPr>
          <w:color w:val="0D0D0D" w:themeColor="text1" w:themeTint="F2"/>
          <w:sz w:val="22"/>
          <w:szCs w:val="22"/>
        </w:rPr>
      </w:pPr>
    </w:p>
    <w:p w14:paraId="69A0C2FB" w14:textId="0A43FADA"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Tinsa S.A. es una empresa dedicada al cobro extrabancario de Impuestos y Servicios y recarga virtual de crédito prepago de Telefonía celular y fija, cuyo nombre comercial es Cobro Express.</w:t>
      </w:r>
    </w:p>
    <w:p w14:paraId="5764F571"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COBRO EXPRESS “Un servicio seguro”, es una red nacional de cobranza donde todas las personas pueden abonar impuestos, servicios y cualquier otro tipo de facturas de empresas adheridas al sistema. Posee una estructura tecnológica que permite el pago las 24 horas del día, los 365 días del año.</w:t>
      </w:r>
    </w:p>
    <w:p w14:paraId="5728DD38" w14:textId="77777777" w:rsidR="00747260" w:rsidRPr="00506990" w:rsidRDefault="00747260" w:rsidP="00747260">
      <w:pPr>
        <w:pStyle w:val="NormalWeb"/>
        <w:spacing w:after="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Actualmente posee una red de más de 1.200 agentes y 2.650 puntos de cobranza ubicados en más de 700 localidades de las 23 provincias del Territorio Nacional.</w:t>
      </w:r>
    </w:p>
    <w:p w14:paraId="31AA8E21" w14:textId="77777777" w:rsidR="00586FF2" w:rsidRPr="00506990" w:rsidRDefault="00586FF2" w:rsidP="00892BBE">
      <w:pPr>
        <w:pStyle w:val="Default0"/>
        <w:jc w:val="both"/>
        <w:rPr>
          <w:bCs/>
          <w:color w:val="0D0D0D" w:themeColor="text1" w:themeTint="F2"/>
          <w:sz w:val="22"/>
          <w:szCs w:val="22"/>
        </w:rPr>
      </w:pPr>
    </w:p>
    <w:p w14:paraId="771B6319" w14:textId="24C5AAB6" w:rsidR="00586FF2" w:rsidRPr="00506990" w:rsidRDefault="00CC479E" w:rsidP="00892BBE">
      <w:pPr>
        <w:pStyle w:val="Default0"/>
        <w:jc w:val="both"/>
        <w:rPr>
          <w:bCs/>
          <w:color w:val="0D0D0D" w:themeColor="text1" w:themeTint="F2"/>
          <w:sz w:val="22"/>
          <w:szCs w:val="22"/>
        </w:rPr>
      </w:pPr>
      <w:r w:rsidRPr="00506990">
        <w:rPr>
          <w:bCs/>
          <w:color w:val="0D0D0D" w:themeColor="text1" w:themeTint="F2"/>
          <w:sz w:val="22"/>
          <w:szCs w:val="22"/>
        </w:rPr>
        <w:t>Bazar Avenida S.A.</w:t>
      </w:r>
      <w:r w:rsidR="00586FF2" w:rsidRPr="00506990">
        <w:rPr>
          <w:bCs/>
          <w:color w:val="0D0D0D" w:themeColor="text1" w:themeTint="F2"/>
          <w:sz w:val="22"/>
          <w:szCs w:val="22"/>
        </w:rPr>
        <w:t xml:space="preserve"> y el Agente Recaudador son empresas vinculadas, siendo los accionistas de Tinsa S.A. a su vez accionistas de Bazar Avenida S.A. y ambas compañías comparten tres directores titulares y un director suplente.</w:t>
      </w:r>
    </w:p>
    <w:p w14:paraId="7CF21EB8" w14:textId="77777777" w:rsidR="00A52B9F" w:rsidRPr="00506990" w:rsidRDefault="00A52B9F" w:rsidP="00CC479E">
      <w:pPr>
        <w:pStyle w:val="Default0"/>
        <w:jc w:val="both"/>
        <w:rPr>
          <w:bCs/>
          <w:color w:val="0D0D0D" w:themeColor="text1" w:themeTint="F2"/>
          <w:sz w:val="22"/>
          <w:szCs w:val="22"/>
        </w:rPr>
      </w:pPr>
      <w:r w:rsidRPr="00506990">
        <w:rPr>
          <w:bCs/>
          <w:color w:val="0D0D0D" w:themeColor="text1" w:themeTint="F2"/>
          <w:sz w:val="22"/>
          <w:szCs w:val="22"/>
        </w:rPr>
        <w:t>Consumo S.A. y el Agente Recaudador son empresas vinculadas, siendo los accionistas de Tinsa S.A. a su vez accionistas de Consumo S.A. y ambas compañías comparten tres directores titulares y un director suplente</w:t>
      </w:r>
    </w:p>
    <w:p w14:paraId="548DED87" w14:textId="77777777" w:rsidR="00CC479E" w:rsidRPr="00506990" w:rsidRDefault="00CC479E" w:rsidP="00892BBE">
      <w:pPr>
        <w:pStyle w:val="Default0"/>
        <w:jc w:val="both"/>
        <w:rPr>
          <w:bCs/>
          <w:color w:val="0D0D0D" w:themeColor="text1" w:themeTint="F2"/>
          <w:sz w:val="22"/>
          <w:szCs w:val="22"/>
        </w:rPr>
      </w:pPr>
    </w:p>
    <w:p w14:paraId="619F2B91"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 xml:space="preserve">TINSA S.A. cuenta con el soporte de </w:t>
      </w:r>
      <w:r w:rsidRPr="00506990">
        <w:rPr>
          <w:b/>
          <w:bCs/>
          <w:color w:val="0D0D0D" w:themeColor="text1" w:themeTint="F2"/>
          <w:sz w:val="22"/>
          <w:szCs w:val="22"/>
        </w:rPr>
        <w:t>Avenida A.C.E.</w:t>
      </w:r>
      <w:r w:rsidRPr="00506990">
        <w:rPr>
          <w:bCs/>
          <w:color w:val="0D0D0D" w:themeColor="text1" w:themeTint="F2"/>
          <w:sz w:val="22"/>
          <w:szCs w:val="22"/>
        </w:rPr>
        <w:t xml:space="preserve"> en diversas áreas de trabajo tales como marketing y comunicación, recursos humanos, administración e impuestos, finanzas y auditoría.</w:t>
      </w:r>
    </w:p>
    <w:p w14:paraId="325745A6"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relación entre AVENIDA A.C.E. y el Agente Recaudador surge del contrato de colaboración empresaria de fecha 01/12/2001, inscripto en el Registro Público el 29/04/2002 bajo el N° 19, a folios 17, 18, 19 y 20 del Libro I de Agrupación de Colaboración.</w:t>
      </w:r>
    </w:p>
    <w:p w14:paraId="5917C154"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Los participantes que emanan de la última modificación al contrato según acta del 17/07/2015 son: Bazar Avenida SA, Consumo SA, Tinsa SA, Total Support SA y Logme S.A.</w:t>
      </w:r>
    </w:p>
    <w:p w14:paraId="7F608D0D"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duración original del contrato es de 10 años a partir de la inscripción en el Registro Público. Dicha duración fue prorrogada y la misma fue inscripta en el Registro Público el 27 de agosto de 2012 bajo el N° 68 al folio 43 del Libro 1 de Agrupaciones de Colaboración Empresaria.</w:t>
      </w:r>
    </w:p>
    <w:p w14:paraId="36102E40" w14:textId="77777777"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La Cláusula 3ª en vigencia establece: “El término de duración será de diez (10) años contados a partir de la fecha 29 de abril de 2012, término que podrá ser prorrogado antes de su vencimiento por decisión unánime de los participantes de la agrupación.”</w:t>
      </w:r>
    </w:p>
    <w:p w14:paraId="1C51E069" w14:textId="25CB10EA" w:rsidR="000F1A22" w:rsidRPr="00506990" w:rsidRDefault="000F1A22" w:rsidP="00892BBE">
      <w:pPr>
        <w:pStyle w:val="Default0"/>
        <w:jc w:val="both"/>
        <w:rPr>
          <w:bCs/>
          <w:color w:val="0D0D0D" w:themeColor="text1" w:themeTint="F2"/>
          <w:sz w:val="22"/>
          <w:szCs w:val="22"/>
        </w:rPr>
      </w:pPr>
      <w:r w:rsidRPr="00506990">
        <w:rPr>
          <w:bCs/>
          <w:color w:val="0D0D0D" w:themeColor="text1" w:themeTint="F2"/>
          <w:sz w:val="22"/>
          <w:szCs w:val="22"/>
        </w:rPr>
        <w:t>Se debe tener presente que TINSA S.A. dispone de capacidad propia suficiente para llevar a cabo las funciones que le corresponden como Agente Recaudador de la presente serie.</w:t>
      </w:r>
    </w:p>
    <w:p w14:paraId="3BE3000F" w14:textId="77777777" w:rsidR="00482F96" w:rsidRPr="00506990" w:rsidRDefault="00482F96" w:rsidP="00892BBE">
      <w:pPr>
        <w:pStyle w:val="Default0"/>
        <w:jc w:val="both"/>
        <w:rPr>
          <w:bCs/>
          <w:color w:val="0D0D0D" w:themeColor="text1" w:themeTint="F2"/>
          <w:sz w:val="22"/>
          <w:szCs w:val="22"/>
          <w:highlight w:val="green"/>
        </w:rPr>
      </w:pPr>
    </w:p>
    <w:p w14:paraId="23AC8752" w14:textId="77777777" w:rsidR="00311E62" w:rsidRPr="00506990" w:rsidRDefault="00311E62">
      <w:pPr>
        <w:spacing w:line="240" w:lineRule="atLeast"/>
        <w:rPr>
          <w:rFonts w:ascii="Times New Roman" w:hAnsi="Times New Roman" w:cs="Times New Roman"/>
          <w:iCs/>
          <w:color w:val="0D0D0D" w:themeColor="text1" w:themeTint="F2"/>
          <w:sz w:val="22"/>
          <w:szCs w:val="22"/>
        </w:rPr>
      </w:pPr>
      <w:bookmarkStart w:id="90" w:name="_DV_M263"/>
      <w:bookmarkStart w:id="91" w:name="_DV_M264"/>
      <w:bookmarkStart w:id="92" w:name="_DV_M265"/>
      <w:bookmarkStart w:id="93" w:name="_DV_M262"/>
      <w:bookmarkStart w:id="94" w:name="_DV_M172"/>
      <w:bookmarkStart w:id="95" w:name="_DV_M173"/>
      <w:bookmarkStart w:id="96" w:name="_DV_M174"/>
      <w:bookmarkStart w:id="97" w:name="_DV_M175"/>
      <w:bookmarkStart w:id="98" w:name="OLE_LINK1"/>
      <w:bookmarkStart w:id="99" w:name="_Hlk153012116"/>
      <w:bookmarkStart w:id="100" w:name="_DV_M518"/>
      <w:bookmarkStart w:id="101" w:name="_DV_M519"/>
      <w:bookmarkStart w:id="102" w:name="_DV_M520"/>
      <w:bookmarkEnd w:id="90"/>
      <w:bookmarkEnd w:id="91"/>
      <w:bookmarkEnd w:id="92"/>
      <w:bookmarkEnd w:id="93"/>
      <w:bookmarkEnd w:id="94"/>
      <w:bookmarkEnd w:id="95"/>
      <w:bookmarkEnd w:id="96"/>
      <w:bookmarkEnd w:id="97"/>
      <w:bookmarkEnd w:id="98"/>
      <w:bookmarkEnd w:id="99"/>
      <w:bookmarkEnd w:id="100"/>
      <w:bookmarkEnd w:id="101"/>
      <w:bookmarkEnd w:id="102"/>
    </w:p>
    <w:p w14:paraId="6078AB35" w14:textId="3D74DA7C" w:rsidR="006B6B5E" w:rsidRPr="00506990" w:rsidRDefault="006B6B5E" w:rsidP="00B228F5">
      <w:pPr>
        <w:pStyle w:val="Ttulo1"/>
        <w:jc w:val="center"/>
        <w:rPr>
          <w:rFonts w:ascii="Times New Roman" w:hAnsi="Times New Roman"/>
          <w:sz w:val="22"/>
          <w:szCs w:val="22"/>
        </w:rPr>
      </w:pPr>
      <w:bookmarkStart w:id="103" w:name="_Toc521424872"/>
      <w:bookmarkStart w:id="104" w:name="_Toc20409088"/>
      <w:r w:rsidRPr="00506990">
        <w:rPr>
          <w:rFonts w:ascii="Times New Roman" w:hAnsi="Times New Roman"/>
          <w:sz w:val="22"/>
          <w:szCs w:val="22"/>
        </w:rPr>
        <w:t>I</w:t>
      </w:r>
      <w:r w:rsidR="00F74B80" w:rsidRPr="00506990">
        <w:rPr>
          <w:rFonts w:ascii="Times New Roman" w:hAnsi="Times New Roman"/>
          <w:sz w:val="22"/>
          <w:szCs w:val="22"/>
        </w:rPr>
        <w:t>X</w:t>
      </w:r>
      <w:r w:rsidRPr="00506990">
        <w:rPr>
          <w:rFonts w:ascii="Times New Roman" w:hAnsi="Times New Roman"/>
          <w:sz w:val="22"/>
          <w:szCs w:val="22"/>
        </w:rPr>
        <w:t>. DESCRIPCIÓN DEL AGENTE DE CUSTODIA</w:t>
      </w:r>
      <w:bookmarkEnd w:id="103"/>
      <w:bookmarkEnd w:id="104"/>
    </w:p>
    <w:p w14:paraId="3001DC32" w14:textId="77777777" w:rsidR="00F51C68" w:rsidRPr="00506990" w:rsidRDefault="00F51C68" w:rsidP="006B6B5E">
      <w:pPr>
        <w:rPr>
          <w:rFonts w:ascii="Times New Roman" w:hAnsi="Times New Roman" w:cs="Times New Roman"/>
          <w:color w:val="0D0D0D" w:themeColor="text1" w:themeTint="F2"/>
          <w:sz w:val="22"/>
          <w:szCs w:val="22"/>
        </w:rPr>
      </w:pPr>
    </w:p>
    <w:p w14:paraId="6D10B6BB" w14:textId="7B89E806" w:rsidR="006B6B5E" w:rsidRPr="00506990" w:rsidRDefault="006B6B5E"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Centibox S.A. (CUIT N° 30-70150409-3) es una sociedad anónima inscripta en el Registro Público de Comercio de la ciudad de Rosario bajo </w:t>
      </w:r>
      <w:r w:rsidR="00BD4283" w:rsidRPr="00506990">
        <w:rPr>
          <w:rFonts w:ascii="Times New Roman" w:hAnsi="Times New Roman" w:cs="Times New Roman"/>
          <w:color w:val="0D0D0D" w:themeColor="text1" w:themeTint="F2"/>
          <w:sz w:val="22"/>
          <w:szCs w:val="22"/>
        </w:rPr>
        <w:t>el Tomo 80 Folio 11.051 Número 539 del libro de Estatutos</w:t>
      </w:r>
      <w:r w:rsidRPr="00506990">
        <w:rPr>
          <w:rFonts w:ascii="Times New Roman" w:hAnsi="Times New Roman" w:cs="Times New Roman"/>
          <w:color w:val="0D0D0D" w:themeColor="text1" w:themeTint="F2"/>
          <w:sz w:val="22"/>
          <w:szCs w:val="22"/>
        </w:rPr>
        <w:t xml:space="preserve"> de Sociedades Anónimas por Acciones. Su sede social se encuentra sita en Av. Arijón 26 bis, de la ciudad de Rosario, su teléfono/fax es 0341-4619595 / 0341-4622163, su página web es www.centibox.com.ar, y su correo electrónico consultas@centibox.com.ar.</w:t>
      </w:r>
    </w:p>
    <w:p w14:paraId="70BD8BCA" w14:textId="77777777" w:rsidR="00F74B80" w:rsidRPr="00506990" w:rsidRDefault="00F74B80" w:rsidP="00F74B80">
      <w:pPr>
        <w:rPr>
          <w:rFonts w:ascii="Times New Roman" w:hAnsi="Times New Roman" w:cs="Times New Roman"/>
          <w:b/>
          <w:color w:val="0D0D0D" w:themeColor="text1" w:themeTint="F2"/>
          <w:sz w:val="22"/>
          <w:szCs w:val="22"/>
          <w:u w:val="single"/>
        </w:rPr>
      </w:pPr>
    </w:p>
    <w:p w14:paraId="3A27A3F8" w14:textId="64583923" w:rsidR="006B6B5E" w:rsidRPr="00506990" w:rsidRDefault="00F74B80"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 la custodia de los Documentos correspondientes a los Activos Fideicomitidos, el Fiduciario y</w:t>
      </w:r>
      <w:r w:rsidR="00F00900">
        <w:rPr>
          <w:rFonts w:ascii="Times New Roman" w:hAnsi="Times New Roman" w:cs="Times New Roman"/>
          <w:color w:val="0D0D0D" w:themeColor="text1" w:themeTint="F2"/>
          <w:sz w:val="22"/>
          <w:szCs w:val="22"/>
        </w:rPr>
        <w:t xml:space="preserve"> cada uno de </w:t>
      </w:r>
      <w:r w:rsidRPr="00506990">
        <w:rPr>
          <w:rFonts w:ascii="Times New Roman" w:hAnsi="Times New Roman" w:cs="Times New Roman"/>
          <w:color w:val="0D0D0D" w:themeColor="text1" w:themeTint="F2"/>
          <w:sz w:val="22"/>
          <w:szCs w:val="22"/>
        </w:rPr>
        <w:t>l</w:t>
      </w:r>
      <w:r w:rsidR="006E36BA"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6E36BA"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han acordado</w:t>
      </w:r>
      <w:r w:rsidR="00F0090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la designación de Centibox S.A. (el “Agente de Custodia”) con domicilio legal en Av. Arijón 26 bis, de la ciudad de Rosario, domicilio en el cual se realizar</w:t>
      </w:r>
      <w:r w:rsidR="00F51C68" w:rsidRPr="00506990">
        <w:rPr>
          <w:rFonts w:ascii="Times New Roman" w:hAnsi="Times New Roman" w:cs="Times New Roman"/>
          <w:color w:val="0D0D0D" w:themeColor="text1" w:themeTint="F2"/>
          <w:sz w:val="22"/>
          <w:szCs w:val="22"/>
        </w:rPr>
        <w:t>á</w:t>
      </w:r>
      <w:r w:rsidRPr="00506990">
        <w:rPr>
          <w:rFonts w:ascii="Times New Roman" w:hAnsi="Times New Roman" w:cs="Times New Roman"/>
          <w:color w:val="0D0D0D" w:themeColor="text1" w:themeTint="F2"/>
          <w:sz w:val="22"/>
          <w:szCs w:val="22"/>
        </w:rPr>
        <w:t xml:space="preserve"> la custodia de los Documentos Respaldatorios</w:t>
      </w:r>
      <w:r w:rsidR="00F51C68"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A tales efectos, se suscribi</w:t>
      </w:r>
      <w:r w:rsidR="00F00900">
        <w:rPr>
          <w:rFonts w:ascii="Times New Roman" w:hAnsi="Times New Roman" w:cs="Times New Roman"/>
          <w:color w:val="0D0D0D" w:themeColor="text1" w:themeTint="F2"/>
          <w:sz w:val="22"/>
          <w:szCs w:val="22"/>
        </w:rPr>
        <w:t>eron</w:t>
      </w:r>
      <w:r w:rsidRPr="00506990">
        <w:rPr>
          <w:rFonts w:ascii="Times New Roman" w:hAnsi="Times New Roman" w:cs="Times New Roman"/>
          <w:color w:val="0D0D0D" w:themeColor="text1" w:themeTint="F2"/>
          <w:sz w:val="22"/>
          <w:szCs w:val="22"/>
        </w:rPr>
        <w:t xml:space="preserve"> </w:t>
      </w:r>
      <w:r w:rsidR="00F00900">
        <w:rPr>
          <w:rFonts w:ascii="Times New Roman" w:hAnsi="Times New Roman" w:cs="Times New Roman"/>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respectivo</w:t>
      </w:r>
      <w:r w:rsidR="00F0090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contrato</w:t>
      </w:r>
      <w:r w:rsidR="00F0090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custodia entre el Fiduciario, </w:t>
      </w:r>
      <w:r w:rsidR="00F00900">
        <w:rPr>
          <w:rFonts w:ascii="Times New Roman" w:hAnsi="Times New Roman" w:cs="Times New Roman"/>
          <w:color w:val="0D0D0D" w:themeColor="text1" w:themeTint="F2"/>
          <w:sz w:val="22"/>
          <w:szCs w:val="22"/>
        </w:rPr>
        <w:t>Bazar Avenida S.A. en su carácter de Fiduciante</w:t>
      </w:r>
      <w:r w:rsidRPr="00506990">
        <w:rPr>
          <w:rFonts w:ascii="Times New Roman" w:hAnsi="Times New Roman" w:cs="Times New Roman"/>
          <w:color w:val="0D0D0D" w:themeColor="text1" w:themeTint="F2"/>
          <w:sz w:val="22"/>
          <w:szCs w:val="22"/>
        </w:rPr>
        <w:t xml:space="preserve"> y el Agente de Custodia en fecha </w:t>
      </w:r>
      <w:r w:rsidR="00F00900">
        <w:rPr>
          <w:rFonts w:ascii="Times New Roman" w:hAnsi="Times New Roman" w:cs="Times New Roman"/>
          <w:color w:val="0D0D0D" w:themeColor="text1" w:themeTint="F2"/>
          <w:sz w:val="22"/>
          <w:szCs w:val="22"/>
        </w:rPr>
        <w:t>29</w:t>
      </w:r>
      <w:r w:rsidR="002F6DE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de </w:t>
      </w:r>
      <w:r w:rsidR="00F00900">
        <w:rPr>
          <w:rFonts w:ascii="Times New Roman" w:hAnsi="Times New Roman" w:cs="Times New Roman"/>
          <w:color w:val="0D0D0D" w:themeColor="text1" w:themeTint="F2"/>
          <w:sz w:val="22"/>
          <w:szCs w:val="22"/>
        </w:rPr>
        <w:t>Noviembre</w:t>
      </w:r>
      <w:r w:rsidR="002F6DE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de 201</w:t>
      </w:r>
      <w:r w:rsidR="002F6DE8" w:rsidRPr="00506990">
        <w:rPr>
          <w:rFonts w:ascii="Times New Roman" w:hAnsi="Times New Roman" w:cs="Times New Roman"/>
          <w:color w:val="0D0D0D" w:themeColor="text1" w:themeTint="F2"/>
          <w:sz w:val="22"/>
          <w:szCs w:val="22"/>
        </w:rPr>
        <w:t>9</w:t>
      </w:r>
      <w:r w:rsidR="00F00900">
        <w:rPr>
          <w:rFonts w:ascii="Times New Roman" w:hAnsi="Times New Roman" w:cs="Times New Roman"/>
          <w:color w:val="0D0D0D" w:themeColor="text1" w:themeTint="F2"/>
          <w:sz w:val="22"/>
          <w:szCs w:val="22"/>
        </w:rPr>
        <w:t xml:space="preserve"> y entre el Fiduciario, CONSUMO S.A. en su carácter de Fiduciante y el Agente de Custodia en fecha 29 de Noviembre de 2019</w:t>
      </w:r>
      <w:r w:rsidRPr="00506990">
        <w:rPr>
          <w:rFonts w:ascii="Times New Roman" w:hAnsi="Times New Roman" w:cs="Times New Roman"/>
          <w:color w:val="0D0D0D" w:themeColor="text1" w:themeTint="F2"/>
          <w:sz w:val="22"/>
          <w:szCs w:val="22"/>
        </w:rPr>
        <w:t xml:space="preserve">. </w:t>
      </w:r>
    </w:p>
    <w:p w14:paraId="1DCA35D7" w14:textId="77777777" w:rsidR="006B6B5E" w:rsidRPr="00506990" w:rsidRDefault="006B6B5E" w:rsidP="006B6B5E">
      <w:pPr>
        <w:rPr>
          <w:rFonts w:ascii="Times New Roman" w:hAnsi="Times New Roman" w:cs="Times New Roman"/>
          <w:color w:val="0D0D0D" w:themeColor="text1" w:themeTint="F2"/>
          <w:sz w:val="22"/>
          <w:szCs w:val="22"/>
        </w:rPr>
      </w:pPr>
    </w:p>
    <w:p w14:paraId="71803D4A" w14:textId="77777777" w:rsidR="006B6B5E" w:rsidRPr="00506990" w:rsidRDefault="006B6B5E" w:rsidP="006B6B5E">
      <w:pPr>
        <w:rPr>
          <w:rFonts w:ascii="Times New Roman" w:hAnsi="Times New Roman" w:cs="Times New Roman"/>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Órgano de Administración:</w:t>
      </w:r>
    </w:p>
    <w:p w14:paraId="5FBC24F6" w14:textId="77777777" w:rsidR="006B6B5E" w:rsidRPr="00506990" w:rsidRDefault="006B6B5E" w:rsidP="006B6B5E">
      <w:pPr>
        <w:rPr>
          <w:rFonts w:ascii="Times New Roman" w:hAnsi="Times New Roman" w:cs="Times New Roman"/>
          <w:color w:val="0D0D0D" w:themeColor="text1" w:themeTint="F2"/>
          <w:sz w:val="22"/>
          <w:szCs w:val="22"/>
        </w:rPr>
      </w:pPr>
    </w:p>
    <w:tbl>
      <w:tblPr>
        <w:tblW w:w="0" w:type="auto"/>
        <w:tblInd w:w="108" w:type="dxa"/>
        <w:tblCellMar>
          <w:left w:w="0" w:type="dxa"/>
          <w:right w:w="0" w:type="dxa"/>
        </w:tblCellMar>
        <w:tblLook w:val="04A0" w:firstRow="1" w:lastRow="0" w:firstColumn="1" w:lastColumn="0" w:noHBand="0" w:noVBand="1"/>
      </w:tblPr>
      <w:tblGrid>
        <w:gridCol w:w="2149"/>
        <w:gridCol w:w="2069"/>
        <w:gridCol w:w="2388"/>
        <w:gridCol w:w="2106"/>
      </w:tblGrid>
      <w:tr w:rsidR="006B6B5E" w:rsidRPr="00506990" w14:paraId="08ADAC9D" w14:textId="77777777" w:rsidTr="00C91547">
        <w:tc>
          <w:tcPr>
            <w:tcW w:w="2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2CC8E" w14:textId="77777777" w:rsidR="006B6B5E" w:rsidRPr="00506990" w:rsidRDefault="006B6B5E" w:rsidP="006B6B5E">
            <w:pPr>
              <w:rPr>
                <w:rFonts w:ascii="Times New Roman" w:hAnsi="Times New Roman" w:cs="Times New Roman"/>
                <w:sz w:val="20"/>
                <w:szCs w:val="20"/>
              </w:rPr>
            </w:pPr>
            <w:r w:rsidRPr="00506990">
              <w:rPr>
                <w:rFonts w:ascii="Times New Roman" w:hAnsi="Times New Roman" w:cs="Times New Roman"/>
                <w:sz w:val="20"/>
                <w:szCs w:val="20"/>
              </w:rPr>
              <w:t>Nombre</w:t>
            </w:r>
          </w:p>
        </w:tc>
        <w:tc>
          <w:tcPr>
            <w:tcW w:w="2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CE3F99"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Cargo</w:t>
            </w:r>
          </w:p>
        </w:tc>
        <w:tc>
          <w:tcPr>
            <w:tcW w:w="2410" w:type="dxa"/>
            <w:tcBorders>
              <w:top w:val="single" w:sz="8" w:space="0" w:color="auto"/>
              <w:left w:val="nil"/>
              <w:bottom w:val="single" w:sz="8" w:space="0" w:color="auto"/>
              <w:right w:val="single" w:sz="4" w:space="0" w:color="auto"/>
            </w:tcBorders>
          </w:tcPr>
          <w:p w14:paraId="656AAC84"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Nombramiento</w:t>
            </w:r>
          </w:p>
        </w:tc>
        <w:tc>
          <w:tcPr>
            <w:tcW w:w="212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8693F49"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Vencimiento</w:t>
            </w:r>
          </w:p>
        </w:tc>
      </w:tr>
      <w:tr w:rsidR="006B6B5E" w:rsidRPr="00506990" w14:paraId="4DFE661D" w14:textId="77777777" w:rsidTr="00C91547">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C3B564" w14:textId="77777777" w:rsidR="006B6B5E" w:rsidRPr="00506990" w:rsidRDefault="006B6B5E" w:rsidP="006B6B5E">
            <w:pPr>
              <w:rPr>
                <w:rFonts w:ascii="Times New Roman" w:hAnsi="Times New Roman" w:cs="Times New Roman"/>
                <w:sz w:val="20"/>
                <w:szCs w:val="20"/>
              </w:rPr>
            </w:pPr>
            <w:r w:rsidRPr="00506990">
              <w:rPr>
                <w:rFonts w:ascii="Times New Roman" w:hAnsi="Times New Roman" w:cs="Times New Roman"/>
                <w:sz w:val="20"/>
                <w:szCs w:val="20"/>
              </w:rPr>
              <w:t>Miguel Angel Milano</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27334" w14:textId="77777777" w:rsidR="006B6B5E" w:rsidRPr="000579E7" w:rsidRDefault="006B6B5E" w:rsidP="006B6B5E">
            <w:pPr>
              <w:rPr>
                <w:rFonts w:ascii="Times New Roman" w:hAnsi="Times New Roman" w:cs="Times New Roman"/>
                <w:sz w:val="20"/>
                <w:szCs w:val="20"/>
              </w:rPr>
            </w:pPr>
            <w:r w:rsidRPr="000579E7">
              <w:rPr>
                <w:rFonts w:ascii="Times New Roman" w:hAnsi="Times New Roman" w:cs="Times New Roman"/>
                <w:sz w:val="20"/>
                <w:szCs w:val="20"/>
              </w:rPr>
              <w:t>Presidente</w:t>
            </w:r>
          </w:p>
        </w:tc>
        <w:tc>
          <w:tcPr>
            <w:tcW w:w="2410" w:type="dxa"/>
            <w:tcBorders>
              <w:top w:val="single" w:sz="8" w:space="0" w:color="auto"/>
              <w:left w:val="nil"/>
              <w:bottom w:val="single" w:sz="8" w:space="0" w:color="auto"/>
              <w:right w:val="single" w:sz="4" w:space="0" w:color="auto"/>
            </w:tcBorders>
          </w:tcPr>
          <w:p w14:paraId="42DA5C5F" w14:textId="3DC0FB91" w:rsidR="006B6B5E" w:rsidRPr="000579E7" w:rsidRDefault="00787D0C" w:rsidP="006B6B5E">
            <w:pPr>
              <w:rPr>
                <w:rFonts w:ascii="Times New Roman" w:hAnsi="Times New Roman" w:cs="Times New Roman"/>
                <w:sz w:val="20"/>
                <w:szCs w:val="20"/>
              </w:rPr>
            </w:pPr>
            <w:r>
              <w:rPr>
                <w:rFonts w:ascii="Times New Roman" w:hAnsi="Times New Roman" w:cs="Times New Roman"/>
                <w:sz w:val="20"/>
                <w:szCs w:val="20"/>
              </w:rPr>
              <w:t>19/10/2019</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E16711E" w14:textId="7AEC074A" w:rsidR="006B6B5E" w:rsidRPr="000579E7" w:rsidRDefault="0033127E" w:rsidP="006B6B5E">
            <w:pPr>
              <w:rPr>
                <w:rFonts w:ascii="Times New Roman" w:hAnsi="Times New Roman" w:cs="Times New Roman"/>
                <w:sz w:val="20"/>
                <w:szCs w:val="20"/>
              </w:rPr>
            </w:pPr>
            <w:r>
              <w:rPr>
                <w:rFonts w:ascii="Times New Roman" w:hAnsi="Times New Roman" w:cs="Times New Roman"/>
                <w:sz w:val="20"/>
                <w:szCs w:val="20"/>
              </w:rPr>
              <w:t>*</w:t>
            </w:r>
          </w:p>
        </w:tc>
      </w:tr>
      <w:tr w:rsidR="002F6DE8" w:rsidRPr="00506990" w14:paraId="720C3F82" w14:textId="77777777" w:rsidTr="00C91547">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A034B0" w14:textId="77777777" w:rsidR="002F6DE8" w:rsidRPr="00506990" w:rsidRDefault="002F6DE8" w:rsidP="002F6DE8">
            <w:pPr>
              <w:rPr>
                <w:rFonts w:ascii="Times New Roman" w:hAnsi="Times New Roman" w:cs="Times New Roman"/>
                <w:sz w:val="20"/>
                <w:szCs w:val="20"/>
              </w:rPr>
            </w:pPr>
            <w:r w:rsidRPr="00506990">
              <w:rPr>
                <w:rFonts w:ascii="Times New Roman" w:hAnsi="Times New Roman" w:cs="Times New Roman"/>
                <w:sz w:val="20"/>
                <w:szCs w:val="20"/>
              </w:rPr>
              <w:t>Carmen Curabba</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208B9" w14:textId="77777777" w:rsidR="002F6DE8" w:rsidRPr="000579E7" w:rsidRDefault="002F6DE8" w:rsidP="002F6DE8">
            <w:pPr>
              <w:rPr>
                <w:rFonts w:ascii="Times New Roman" w:hAnsi="Times New Roman" w:cs="Times New Roman"/>
                <w:sz w:val="20"/>
                <w:szCs w:val="20"/>
              </w:rPr>
            </w:pPr>
            <w:r w:rsidRPr="000579E7">
              <w:rPr>
                <w:rFonts w:ascii="Times New Roman" w:hAnsi="Times New Roman" w:cs="Times New Roman"/>
                <w:sz w:val="20"/>
                <w:szCs w:val="20"/>
              </w:rPr>
              <w:t>Vicepresidente</w:t>
            </w:r>
          </w:p>
        </w:tc>
        <w:tc>
          <w:tcPr>
            <w:tcW w:w="2410" w:type="dxa"/>
            <w:tcBorders>
              <w:top w:val="single" w:sz="8" w:space="0" w:color="auto"/>
              <w:left w:val="nil"/>
              <w:bottom w:val="single" w:sz="8" w:space="0" w:color="auto"/>
              <w:right w:val="single" w:sz="4" w:space="0" w:color="auto"/>
            </w:tcBorders>
          </w:tcPr>
          <w:p w14:paraId="62E5714E" w14:textId="552E7D19" w:rsidR="002F6DE8" w:rsidRPr="000579E7" w:rsidRDefault="00787D0C" w:rsidP="002F6DE8">
            <w:pPr>
              <w:rPr>
                <w:rFonts w:ascii="Times New Roman" w:hAnsi="Times New Roman" w:cs="Times New Roman"/>
                <w:sz w:val="20"/>
                <w:szCs w:val="20"/>
              </w:rPr>
            </w:pPr>
            <w:r>
              <w:rPr>
                <w:rFonts w:ascii="Times New Roman" w:hAnsi="Times New Roman" w:cs="Times New Roman"/>
                <w:sz w:val="20"/>
                <w:szCs w:val="20"/>
              </w:rPr>
              <w:t>19/10/2019</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7389DD9" w14:textId="4BE08B62" w:rsidR="00787D0C" w:rsidRPr="000579E7" w:rsidRDefault="0033127E" w:rsidP="002F6DE8">
            <w:pPr>
              <w:rPr>
                <w:rFonts w:ascii="Times New Roman" w:hAnsi="Times New Roman" w:cs="Times New Roman"/>
                <w:sz w:val="20"/>
                <w:szCs w:val="20"/>
              </w:rPr>
            </w:pPr>
            <w:r>
              <w:rPr>
                <w:rFonts w:ascii="Times New Roman" w:hAnsi="Times New Roman" w:cs="Times New Roman"/>
                <w:sz w:val="20"/>
                <w:szCs w:val="20"/>
              </w:rPr>
              <w:t>*</w:t>
            </w:r>
          </w:p>
        </w:tc>
      </w:tr>
      <w:tr w:rsidR="002F6DE8" w:rsidRPr="00506990" w14:paraId="225EC9CB" w14:textId="77777777" w:rsidTr="00C91547">
        <w:tc>
          <w:tcPr>
            <w:tcW w:w="21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ED4879" w14:textId="77777777" w:rsidR="002F6DE8" w:rsidRPr="00506990" w:rsidRDefault="002F6DE8" w:rsidP="002F6DE8">
            <w:pPr>
              <w:rPr>
                <w:rFonts w:ascii="Times New Roman" w:hAnsi="Times New Roman" w:cs="Times New Roman"/>
                <w:sz w:val="20"/>
                <w:szCs w:val="20"/>
              </w:rPr>
            </w:pPr>
            <w:r w:rsidRPr="00506990">
              <w:rPr>
                <w:rFonts w:ascii="Times New Roman" w:hAnsi="Times New Roman" w:cs="Times New Roman"/>
                <w:sz w:val="20"/>
                <w:szCs w:val="20"/>
              </w:rPr>
              <w:t>Marcelo Milano</w:t>
            </w:r>
          </w:p>
        </w:tc>
        <w:tc>
          <w:tcPr>
            <w:tcW w:w="20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239AC" w14:textId="77777777" w:rsidR="002F6DE8" w:rsidRPr="000579E7" w:rsidRDefault="002F6DE8" w:rsidP="002F6DE8">
            <w:pPr>
              <w:rPr>
                <w:rFonts w:ascii="Times New Roman" w:hAnsi="Times New Roman" w:cs="Times New Roman"/>
                <w:sz w:val="20"/>
                <w:szCs w:val="20"/>
              </w:rPr>
            </w:pPr>
            <w:r w:rsidRPr="000579E7">
              <w:rPr>
                <w:rFonts w:ascii="Times New Roman" w:hAnsi="Times New Roman" w:cs="Times New Roman"/>
                <w:sz w:val="20"/>
                <w:szCs w:val="20"/>
              </w:rPr>
              <w:t>Director Suplente</w:t>
            </w:r>
          </w:p>
        </w:tc>
        <w:tc>
          <w:tcPr>
            <w:tcW w:w="2410" w:type="dxa"/>
            <w:tcBorders>
              <w:top w:val="single" w:sz="8" w:space="0" w:color="auto"/>
              <w:left w:val="nil"/>
              <w:bottom w:val="single" w:sz="8" w:space="0" w:color="auto"/>
              <w:right w:val="single" w:sz="4" w:space="0" w:color="auto"/>
            </w:tcBorders>
          </w:tcPr>
          <w:p w14:paraId="5C6B7504" w14:textId="5C3A7BCB" w:rsidR="002F6DE8" w:rsidRPr="000579E7" w:rsidRDefault="00787D0C" w:rsidP="002F6DE8">
            <w:pPr>
              <w:rPr>
                <w:rFonts w:ascii="Times New Roman" w:hAnsi="Times New Roman" w:cs="Times New Roman"/>
                <w:sz w:val="20"/>
                <w:szCs w:val="20"/>
              </w:rPr>
            </w:pPr>
            <w:r>
              <w:rPr>
                <w:rFonts w:ascii="Times New Roman" w:hAnsi="Times New Roman" w:cs="Times New Roman"/>
                <w:sz w:val="20"/>
                <w:szCs w:val="20"/>
              </w:rPr>
              <w:t>19/10/2019</w:t>
            </w:r>
          </w:p>
        </w:tc>
        <w:tc>
          <w:tcPr>
            <w:tcW w:w="212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1750C1F" w14:textId="004FFEDB" w:rsidR="002F6DE8" w:rsidRPr="000579E7" w:rsidRDefault="0033127E" w:rsidP="002F6DE8">
            <w:pPr>
              <w:rPr>
                <w:rFonts w:ascii="Times New Roman" w:hAnsi="Times New Roman" w:cs="Times New Roman"/>
                <w:sz w:val="20"/>
                <w:szCs w:val="20"/>
              </w:rPr>
            </w:pPr>
            <w:r>
              <w:rPr>
                <w:rFonts w:ascii="Times New Roman" w:hAnsi="Times New Roman" w:cs="Times New Roman"/>
                <w:sz w:val="20"/>
                <w:szCs w:val="20"/>
              </w:rPr>
              <w:t>*</w:t>
            </w:r>
          </w:p>
        </w:tc>
      </w:tr>
    </w:tbl>
    <w:p w14:paraId="297043FE" w14:textId="77777777" w:rsidR="006B6B5E" w:rsidRPr="00506990" w:rsidRDefault="006B6B5E" w:rsidP="006B6B5E">
      <w:pPr>
        <w:rPr>
          <w:rFonts w:ascii="Times New Roman" w:hAnsi="Times New Roman" w:cs="Times New Roman"/>
          <w:color w:val="0D0D0D" w:themeColor="text1" w:themeTint="F2"/>
          <w:sz w:val="22"/>
          <w:szCs w:val="22"/>
        </w:rPr>
      </w:pPr>
    </w:p>
    <w:p w14:paraId="08F358CB" w14:textId="74AC7D47" w:rsidR="00610C23" w:rsidRPr="0098446E" w:rsidRDefault="00610C23" w:rsidP="00610C23">
      <w:pPr>
        <w:rPr>
          <w:rFonts w:ascii="Times New Roman" w:hAnsi="Times New Roman" w:cs="Times New Roman"/>
          <w:color w:val="0D0D0D"/>
          <w:sz w:val="20"/>
          <w:szCs w:val="20"/>
        </w:rPr>
      </w:pP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sz w:val="20"/>
          <w:szCs w:val="20"/>
        </w:rPr>
        <w:t xml:space="preserve">Los mandatos se mantendrán vigentes hasta la asamblea que trate los Estados Contables </w:t>
      </w:r>
      <w:r w:rsidR="00787D0C">
        <w:rPr>
          <w:rFonts w:ascii="Times New Roman" w:hAnsi="Times New Roman" w:cs="Times New Roman"/>
          <w:color w:val="0D0D0D"/>
          <w:sz w:val="20"/>
          <w:szCs w:val="20"/>
        </w:rPr>
        <w:t>al 31/05/2019.</w:t>
      </w:r>
    </w:p>
    <w:p w14:paraId="71C57444" w14:textId="3A09CF0B" w:rsidR="006B6B5E" w:rsidRPr="00506990" w:rsidRDefault="006B6B5E" w:rsidP="006B6B5E">
      <w:pPr>
        <w:rPr>
          <w:rFonts w:ascii="Times New Roman" w:hAnsi="Times New Roman" w:cs="Times New Roman"/>
          <w:color w:val="0D0D0D" w:themeColor="text1" w:themeTint="F2"/>
          <w:sz w:val="22"/>
          <w:szCs w:val="22"/>
        </w:rPr>
      </w:pPr>
    </w:p>
    <w:p w14:paraId="3F0A4EB0" w14:textId="77777777" w:rsidR="006B6B5E" w:rsidRPr="00506990" w:rsidRDefault="006B6B5E" w:rsidP="006B6B5E">
      <w:pPr>
        <w:rPr>
          <w:rFonts w:ascii="Times New Roman" w:hAnsi="Times New Roman" w:cs="Times New Roman"/>
          <w:color w:val="0D0D0D" w:themeColor="text1" w:themeTint="F2"/>
          <w:sz w:val="22"/>
          <w:szCs w:val="22"/>
          <w:u w:val="single"/>
        </w:rPr>
      </w:pPr>
      <w:r w:rsidRPr="00506990">
        <w:rPr>
          <w:rFonts w:ascii="Times New Roman" w:hAnsi="Times New Roman" w:cs="Times New Roman"/>
          <w:color w:val="0D0D0D" w:themeColor="text1" w:themeTint="F2"/>
          <w:sz w:val="22"/>
          <w:szCs w:val="22"/>
          <w:u w:val="single"/>
        </w:rPr>
        <w:t>Órgano de fiscalización:</w:t>
      </w:r>
    </w:p>
    <w:p w14:paraId="097984B1" w14:textId="77777777" w:rsidR="006B6B5E" w:rsidRPr="00506990" w:rsidRDefault="006B6B5E" w:rsidP="006B6B5E">
      <w:pPr>
        <w:rPr>
          <w:rFonts w:ascii="Times New Roman" w:hAnsi="Times New Roman" w:cs="Times New Roman"/>
          <w:color w:val="0D0D0D" w:themeColor="text1" w:themeTint="F2"/>
          <w:sz w:val="22"/>
          <w:szCs w:val="22"/>
        </w:rPr>
      </w:pPr>
    </w:p>
    <w:p w14:paraId="15E42A1C" w14:textId="77777777" w:rsidR="006B6B5E" w:rsidRPr="00506990" w:rsidRDefault="006B6B5E"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Centibox S.A. prescinde de Sindicatura conforme lo dispuesto por el art. 284 de la Ley General de Sociedades.</w:t>
      </w:r>
    </w:p>
    <w:p w14:paraId="133E20F5" w14:textId="77777777" w:rsidR="00747260" w:rsidRPr="00506990" w:rsidRDefault="00747260" w:rsidP="00747260">
      <w:pPr>
        <w:rPr>
          <w:rFonts w:ascii="Times New Roman" w:hAnsi="Times New Roman" w:cs="Times New Roman"/>
          <w:color w:val="0D0D0D" w:themeColor="text1" w:themeTint="F2"/>
          <w:sz w:val="22"/>
          <w:szCs w:val="22"/>
        </w:rPr>
      </w:pPr>
    </w:p>
    <w:p w14:paraId="6EBAE708"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Centibox S.A. es una empresa líder en la administración documental que inició sus actividades el 1° de noviembre de 1998. Es una de las más antiguas administradora de archivos de la Provincia de Santa Fe. Desde 1998 Centibox S.A. ha introducido el servicio y el concepto de la tercerización de archivos en un mercado que no conocía esta modalidad. Ello motivó una tarea de educación de los clientes, arribando a un cambio conceptual de la cultura del almacenamiento de papel que actualmente es mucho más dinámica. La cartera y antigüedad de los clientes de Centibox S.A. demuestran una fidelidad a un servicio ágil, económico y diferenciado por su sencillez. El objetivo fundamental de la Compañía es aportar soluciones a los clientes en la gestión diaria de sus documentos. </w:t>
      </w:r>
    </w:p>
    <w:p w14:paraId="24F00E31" w14:textId="77777777" w:rsidR="00747260" w:rsidRPr="00506990" w:rsidRDefault="00747260" w:rsidP="00747260">
      <w:pPr>
        <w:rPr>
          <w:rFonts w:ascii="Times New Roman" w:hAnsi="Times New Roman" w:cs="Times New Roman"/>
          <w:color w:val="0D0D0D" w:themeColor="text1" w:themeTint="F2"/>
          <w:sz w:val="22"/>
          <w:szCs w:val="22"/>
        </w:rPr>
      </w:pPr>
    </w:p>
    <w:p w14:paraId="0C76875D"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Entre los servicios ofrecidos por la compañía se encuentran los siguientes:</w:t>
      </w:r>
    </w:p>
    <w:p w14:paraId="3A33BBFA"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Administración y guarda de archivos</w:t>
      </w:r>
    </w:p>
    <w:p w14:paraId="6DBF3156"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Logística de retiro de documentación</w:t>
      </w:r>
    </w:p>
    <w:p w14:paraId="5AD4A4C1"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Digitalización masiva de documentos</w:t>
      </w:r>
    </w:p>
    <w:p w14:paraId="2AC16B56"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Firma Digital</w:t>
      </w:r>
    </w:p>
    <w:p w14:paraId="593F994F"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Destrucción segura de documentos</w:t>
      </w:r>
    </w:p>
    <w:p w14:paraId="77E94815"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Mudanza de oficinas</w:t>
      </w:r>
    </w:p>
    <w:p w14:paraId="4B7F4C68"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Custodia de soportes informáticos</w:t>
      </w:r>
    </w:p>
    <w:p w14:paraId="6DA31881" w14:textId="77777777" w:rsidR="00747260" w:rsidRPr="00506990" w:rsidRDefault="00747260" w:rsidP="0074726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ab/>
        <w:t>Relevamientos e inventarios</w:t>
      </w:r>
    </w:p>
    <w:p w14:paraId="6D30234D" w14:textId="77777777" w:rsidR="006B6B5E" w:rsidRPr="00506990" w:rsidRDefault="006B6B5E" w:rsidP="006B6B5E">
      <w:pPr>
        <w:rPr>
          <w:rFonts w:ascii="Times New Roman" w:hAnsi="Times New Roman" w:cs="Times New Roman"/>
          <w:color w:val="0D0D0D" w:themeColor="text1" w:themeTint="F2"/>
          <w:sz w:val="22"/>
          <w:szCs w:val="22"/>
        </w:rPr>
      </w:pPr>
    </w:p>
    <w:p w14:paraId="6AC7247A" w14:textId="77777777" w:rsidR="006B6B5E" w:rsidRPr="00506990" w:rsidRDefault="006B6B5E" w:rsidP="006B6B5E">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Se aclara que la información precedente relativa a Centibox S.A. proviene de fuentes públicas o fue provista por dicha sociedad. </w:t>
      </w:r>
    </w:p>
    <w:p w14:paraId="74CF3E8C" w14:textId="77777777" w:rsidR="006B6B5E" w:rsidRPr="00506990" w:rsidRDefault="006B6B5E" w:rsidP="006B6B5E">
      <w:pPr>
        <w:rPr>
          <w:rFonts w:ascii="Times New Roman" w:hAnsi="Times New Roman" w:cs="Times New Roman"/>
          <w:iCs/>
          <w:color w:val="0D0D0D" w:themeColor="text1" w:themeTint="F2"/>
          <w:sz w:val="22"/>
          <w:szCs w:val="22"/>
        </w:rPr>
      </w:pPr>
    </w:p>
    <w:p w14:paraId="2CD02C28" w14:textId="46EE9EDD" w:rsidR="000D2637" w:rsidRPr="00506990" w:rsidRDefault="00F74B80" w:rsidP="00B228F5">
      <w:pPr>
        <w:pStyle w:val="Ttulo1"/>
        <w:jc w:val="center"/>
        <w:rPr>
          <w:rFonts w:ascii="Times New Roman" w:hAnsi="Times New Roman"/>
          <w:sz w:val="22"/>
          <w:szCs w:val="22"/>
        </w:rPr>
      </w:pPr>
      <w:bookmarkStart w:id="105" w:name="_Toc521424873"/>
      <w:bookmarkStart w:id="106" w:name="_Toc20409089"/>
      <w:r w:rsidRPr="00506990">
        <w:rPr>
          <w:rFonts w:ascii="Times New Roman" w:hAnsi="Times New Roman"/>
          <w:sz w:val="22"/>
          <w:szCs w:val="22"/>
        </w:rPr>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105"/>
      <w:bookmarkEnd w:id="106"/>
    </w:p>
    <w:p w14:paraId="493ACC6D" w14:textId="77777777" w:rsidR="004A22EF" w:rsidRPr="00506990" w:rsidRDefault="004A22EF" w:rsidP="00B228F5">
      <w:pPr>
        <w:pStyle w:val="Ttulo1"/>
        <w:jc w:val="center"/>
        <w:rPr>
          <w:rFonts w:ascii="Times New Roman" w:hAnsi="Times New Roman"/>
          <w:noProof/>
          <w:sz w:val="22"/>
          <w:szCs w:val="22"/>
        </w:rPr>
      </w:pPr>
    </w:p>
    <w:p w14:paraId="34D4D2BE" w14:textId="77777777" w:rsidR="002B4886" w:rsidRPr="00506990" w:rsidRDefault="00C84872" w:rsidP="00C84872">
      <w:pPr>
        <w:rPr>
          <w:rFonts w:ascii="Times New Roman" w:eastAsia="Arial Unicode MS" w:hAnsi="Times New Roman" w:cs="Times New Roman"/>
          <w:noProof/>
          <w:color w:val="0D0D0D" w:themeColor="text1" w:themeTint="F2"/>
          <w:sz w:val="22"/>
          <w:szCs w:val="22"/>
        </w:rPr>
      </w:pPr>
      <w:r w:rsidRPr="00506990">
        <w:rPr>
          <w:rFonts w:ascii="Times New Roman" w:eastAsia="Arial Unicode MS" w:hAnsi="Times New Roman" w:cs="Times New Roman"/>
          <w:noProof/>
          <w:color w:val="0D0D0D" w:themeColor="text1" w:themeTint="F2"/>
          <w:sz w:val="22"/>
          <w:szCs w:val="22"/>
        </w:rPr>
        <w:t>El Agente de Control y Revisión titular de los informes</w:t>
      </w:r>
      <w:r w:rsidR="002B4886" w:rsidRPr="00506990">
        <w:rPr>
          <w:rFonts w:ascii="Times New Roman" w:eastAsia="Arial Unicode MS" w:hAnsi="Times New Roman" w:cs="Times New Roman"/>
          <w:noProof/>
          <w:color w:val="0D0D0D" w:themeColor="text1" w:themeTint="F2"/>
          <w:sz w:val="22"/>
          <w:szCs w:val="22"/>
        </w:rPr>
        <w:t xml:space="preserve"> es</w:t>
      </w:r>
      <w:r w:rsidRPr="00506990">
        <w:rPr>
          <w:rFonts w:ascii="Times New Roman" w:eastAsia="Arial Unicode MS" w:hAnsi="Times New Roman" w:cs="Times New Roman"/>
          <w:noProof/>
          <w:color w:val="0D0D0D" w:themeColor="text1" w:themeTint="F2"/>
          <w:sz w:val="22"/>
          <w:szCs w:val="22"/>
        </w:rPr>
        <w:t xml:space="preserve"> Daniel H. Zubillaga, Contador Público (UBA), C.P.C.E.C.A.B.A. T° 127 F° 154, Fecha de inscripción 19/01/1983– C.P.C.E. Prov. Santa Fe M.N. 10727, Fecha de inscripción 05/07/1993, CUIT: 23-13404269-9. </w:t>
      </w:r>
    </w:p>
    <w:p w14:paraId="611877A2" w14:textId="77777777" w:rsidR="002B4886" w:rsidRPr="00506990" w:rsidRDefault="002B4886" w:rsidP="00C84872">
      <w:pPr>
        <w:rPr>
          <w:rFonts w:ascii="Times New Roman" w:eastAsia="Arial Unicode MS" w:hAnsi="Times New Roman" w:cs="Times New Roman"/>
          <w:noProof/>
          <w:color w:val="0D0D0D" w:themeColor="text1" w:themeTint="F2"/>
          <w:sz w:val="22"/>
          <w:szCs w:val="22"/>
        </w:rPr>
      </w:pPr>
    </w:p>
    <w:p w14:paraId="1C6F363A" w14:textId="3AA103BB" w:rsidR="00C84872" w:rsidRPr="00506990" w:rsidRDefault="00C84872" w:rsidP="00C84872">
      <w:pPr>
        <w:rPr>
          <w:rFonts w:ascii="Times New Roman" w:eastAsia="Arial Unicode MS" w:hAnsi="Times New Roman" w:cs="Times New Roman"/>
          <w:noProof/>
          <w:color w:val="0D0D0D" w:themeColor="text1" w:themeTint="F2"/>
          <w:sz w:val="22"/>
          <w:szCs w:val="22"/>
        </w:rPr>
      </w:pPr>
      <w:r w:rsidRPr="00506990">
        <w:rPr>
          <w:rFonts w:ascii="Times New Roman" w:eastAsia="Arial Unicode MS" w:hAnsi="Times New Roman" w:cs="Times New Roman"/>
          <w:noProof/>
          <w:color w:val="0D0D0D" w:themeColor="text1" w:themeTint="F2"/>
          <w:sz w:val="22"/>
          <w:szCs w:val="22"/>
        </w:rPr>
        <w:t>El Agente de Control y Revisión suplente</w:t>
      </w:r>
      <w:r w:rsidR="002B4886" w:rsidRPr="00506990">
        <w:rPr>
          <w:rFonts w:ascii="Times New Roman" w:eastAsia="Arial Unicode MS" w:hAnsi="Times New Roman" w:cs="Times New Roman"/>
          <w:noProof/>
          <w:color w:val="0D0D0D" w:themeColor="text1" w:themeTint="F2"/>
          <w:sz w:val="22"/>
          <w:szCs w:val="22"/>
        </w:rPr>
        <w:t xml:space="preserve"> es</w:t>
      </w:r>
      <w:r w:rsidRPr="00506990">
        <w:rPr>
          <w:rFonts w:ascii="Times New Roman" w:eastAsia="Arial Unicode MS" w:hAnsi="Times New Roman" w:cs="Times New Roman"/>
          <w:noProof/>
          <w:color w:val="0D0D0D" w:themeColor="text1" w:themeTint="F2"/>
          <w:sz w:val="22"/>
          <w:szCs w:val="22"/>
        </w:rPr>
        <w:t xml:space="preserve"> </w:t>
      </w:r>
      <w:r w:rsidR="004F501C" w:rsidRPr="00506990">
        <w:rPr>
          <w:rFonts w:ascii="Times New Roman" w:eastAsia="Arial Unicode MS" w:hAnsi="Times New Roman" w:cs="Times New Roman"/>
          <w:noProof/>
          <w:color w:val="0D0D0D" w:themeColor="text1" w:themeTint="F2"/>
          <w:sz w:val="22"/>
          <w:szCs w:val="22"/>
        </w:rPr>
        <w:t>Víctor Lamberti</w:t>
      </w:r>
      <w:r w:rsidRPr="00506990">
        <w:rPr>
          <w:rFonts w:ascii="Times New Roman" w:eastAsia="Arial Unicode MS" w:hAnsi="Times New Roman" w:cs="Times New Roman"/>
          <w:noProof/>
          <w:color w:val="0D0D0D" w:themeColor="text1" w:themeTint="F2"/>
          <w:sz w:val="22"/>
          <w:szCs w:val="22"/>
        </w:rPr>
        <w:t xml:space="preserve">, Contador Público, C.P.C.E.C.A.B.A. T° </w:t>
      </w:r>
      <w:r w:rsidR="004F501C" w:rsidRPr="00506990">
        <w:rPr>
          <w:rFonts w:ascii="Times New Roman" w:eastAsia="Arial Unicode MS" w:hAnsi="Times New Roman" w:cs="Times New Roman"/>
          <w:noProof/>
          <w:color w:val="0D0D0D" w:themeColor="text1" w:themeTint="F2"/>
          <w:sz w:val="22"/>
          <w:szCs w:val="22"/>
        </w:rPr>
        <w:t>176</w:t>
      </w:r>
      <w:r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Pr="00506990">
        <w:rPr>
          <w:rFonts w:ascii="Times New Roman" w:eastAsia="Arial Unicode MS" w:hAnsi="Times New Roman" w:cs="Times New Roman"/>
          <w:noProof/>
          <w:color w:val="0D0D0D" w:themeColor="text1" w:themeTint="F2"/>
          <w:sz w:val="22"/>
          <w:szCs w:val="22"/>
        </w:rPr>
        <w:t xml:space="preserve">, Fecha de inscripción: </w:t>
      </w:r>
      <w:r w:rsidR="004F501C" w:rsidRPr="00506990">
        <w:rPr>
          <w:rFonts w:ascii="Times New Roman" w:eastAsia="Arial Unicode MS" w:hAnsi="Times New Roman" w:cs="Times New Roman"/>
          <w:noProof/>
          <w:color w:val="0D0D0D" w:themeColor="text1" w:themeTint="F2"/>
          <w:sz w:val="22"/>
          <w:szCs w:val="22"/>
        </w:rPr>
        <w:t>21/12/1988</w:t>
      </w:r>
      <w:r w:rsidRPr="00506990">
        <w:rPr>
          <w:rFonts w:ascii="Times New Roman" w:eastAsia="Arial Unicode MS" w:hAnsi="Times New Roman" w:cs="Times New Roman"/>
          <w:noProof/>
          <w:color w:val="0D0D0D" w:themeColor="text1" w:themeTint="F2"/>
          <w:sz w:val="22"/>
          <w:szCs w:val="22"/>
        </w:rPr>
        <w:t>, CPCE Prov. Santa Fe M.N. 01/</w:t>
      </w:r>
      <w:r w:rsidR="004F501C" w:rsidRPr="00506990">
        <w:rPr>
          <w:rFonts w:ascii="Times New Roman" w:eastAsia="Arial Unicode MS" w:hAnsi="Times New Roman" w:cs="Times New Roman"/>
          <w:noProof/>
          <w:color w:val="0D0D0D" w:themeColor="text1" w:themeTint="F2"/>
          <w:sz w:val="22"/>
          <w:szCs w:val="22"/>
        </w:rPr>
        <w:t>18859</w:t>
      </w:r>
      <w:r w:rsidRPr="00506990">
        <w:rPr>
          <w:rFonts w:ascii="Times New Roman" w:eastAsia="Arial Unicode MS" w:hAnsi="Times New Roman" w:cs="Times New Roman"/>
          <w:noProof/>
          <w:color w:val="0D0D0D" w:themeColor="text1" w:themeTint="F2"/>
          <w:sz w:val="22"/>
          <w:szCs w:val="22"/>
        </w:rPr>
        <w:t xml:space="preserve">, fecha de inscripción </w:t>
      </w:r>
      <w:r w:rsidR="004F501C" w:rsidRPr="00506990">
        <w:rPr>
          <w:rFonts w:ascii="Times New Roman" w:eastAsia="Arial Unicode MS" w:hAnsi="Times New Roman" w:cs="Times New Roman"/>
          <w:noProof/>
          <w:color w:val="0D0D0D" w:themeColor="text1" w:themeTint="F2"/>
          <w:sz w:val="22"/>
          <w:szCs w:val="22"/>
        </w:rPr>
        <w:t>24/02/2014</w:t>
      </w:r>
      <w:r w:rsidRPr="00506990">
        <w:rPr>
          <w:rFonts w:ascii="Times New Roman" w:eastAsia="Arial Unicode MS" w:hAnsi="Times New Roman" w:cs="Times New Roman"/>
          <w:noProof/>
          <w:color w:val="0D0D0D" w:themeColor="text1" w:themeTint="F2"/>
          <w:sz w:val="22"/>
          <w:szCs w:val="22"/>
        </w:rPr>
        <w:t xml:space="preserve">, CUIT: </w:t>
      </w:r>
      <w:r w:rsidR="004F501C" w:rsidRPr="00506990">
        <w:rPr>
          <w:rFonts w:ascii="Times New Roman" w:eastAsia="Arial Unicode MS" w:hAnsi="Times New Roman" w:cs="Times New Roman"/>
          <w:noProof/>
          <w:color w:val="0D0D0D" w:themeColor="text1" w:themeTint="F2"/>
          <w:sz w:val="22"/>
          <w:szCs w:val="22"/>
        </w:rPr>
        <w:t>20-14563149-2</w:t>
      </w:r>
      <w:r w:rsidRPr="00506990">
        <w:rPr>
          <w:rFonts w:ascii="Times New Roman" w:eastAsia="Arial Unicode MS" w:hAnsi="Times New Roman" w:cs="Times New Roman"/>
          <w:noProof/>
          <w:color w:val="0D0D0D" w:themeColor="text1" w:themeTint="F2"/>
          <w:sz w:val="22"/>
          <w:szCs w:val="22"/>
        </w:rPr>
        <w:t xml:space="preserve">. </w:t>
      </w:r>
    </w:p>
    <w:p w14:paraId="56842B51" w14:textId="77777777" w:rsidR="00C84872" w:rsidRPr="00506990" w:rsidRDefault="00C84872" w:rsidP="00C84872">
      <w:pPr>
        <w:rPr>
          <w:rFonts w:ascii="Times New Roman" w:eastAsia="Arial Unicode MS" w:hAnsi="Times New Roman" w:cs="Times New Roman"/>
          <w:noProof/>
          <w:color w:val="0D0D0D" w:themeColor="text1" w:themeTint="F2"/>
          <w:sz w:val="22"/>
          <w:szCs w:val="22"/>
        </w:rPr>
      </w:pPr>
    </w:p>
    <w:p w14:paraId="6CE278C2" w14:textId="77777777" w:rsidR="00747260" w:rsidRPr="00506990" w:rsidRDefault="00747260" w:rsidP="00C6005E">
      <w:pPr>
        <w:rPr>
          <w:rFonts w:ascii="Times New Roman" w:eastAsia="Arial Unicode MS" w:hAnsi="Times New Roman" w:cs="Times New Roman"/>
          <w:noProof/>
          <w:color w:val="0D0D0D" w:themeColor="text1" w:themeTint="F2"/>
          <w:sz w:val="22"/>
          <w:szCs w:val="22"/>
        </w:rPr>
      </w:pPr>
    </w:p>
    <w:p w14:paraId="48490AC3" w14:textId="2B5F0836" w:rsidR="00C6005E" w:rsidRPr="00506990" w:rsidRDefault="003E181B" w:rsidP="00C6005E">
      <w:pPr>
        <w:rPr>
          <w:rFonts w:ascii="Times New Roman" w:eastAsia="Arial Unicode MS" w:hAnsi="Times New Roman" w:cs="Times New Roman"/>
          <w:noProof/>
          <w:color w:val="0D0D0D" w:themeColor="text1" w:themeTint="F2"/>
          <w:sz w:val="22"/>
          <w:szCs w:val="22"/>
        </w:rPr>
      </w:pPr>
      <w:r w:rsidRPr="00506990">
        <w:rPr>
          <w:rFonts w:ascii="Times New Roman" w:eastAsia="Arial Unicode MS" w:hAnsi="Times New Roman" w:cs="Times New Roman"/>
          <w:noProof/>
          <w:color w:val="0D0D0D" w:themeColor="text1" w:themeTint="F2"/>
          <w:sz w:val="22"/>
          <w:szCs w:val="22"/>
        </w:rPr>
        <w:t xml:space="preserve">Los informes </w:t>
      </w:r>
      <w:r w:rsidR="006178D9" w:rsidRPr="00506990">
        <w:rPr>
          <w:rFonts w:ascii="Times New Roman" w:eastAsia="Arial Unicode MS" w:hAnsi="Times New Roman" w:cs="Times New Roman"/>
          <w:noProof/>
          <w:color w:val="0D0D0D" w:themeColor="text1" w:themeTint="F2"/>
          <w:sz w:val="22"/>
          <w:szCs w:val="22"/>
        </w:rPr>
        <w:t xml:space="preserve">mensuales </w:t>
      </w:r>
      <w:r w:rsidRPr="00506990">
        <w:rPr>
          <w:rFonts w:ascii="Times New Roman" w:eastAsia="Arial Unicode MS" w:hAnsi="Times New Roman" w:cs="Times New Roman"/>
          <w:noProof/>
          <w:color w:val="0D0D0D" w:themeColor="text1" w:themeTint="F2"/>
          <w:sz w:val="22"/>
          <w:szCs w:val="22"/>
        </w:rPr>
        <w:t>del Agente de Control y Revisión se publicarán</w:t>
      </w:r>
      <w:r w:rsidR="00A1698E">
        <w:rPr>
          <w:rFonts w:ascii="Times New Roman" w:eastAsia="Arial Unicode MS" w:hAnsi="Times New Roman" w:cs="Times New Roman"/>
          <w:noProof/>
          <w:color w:val="0D0D0D" w:themeColor="text1" w:themeTint="F2"/>
          <w:sz w:val="22"/>
          <w:szCs w:val="22"/>
        </w:rPr>
        <w:t xml:space="preserve"> según corresponda por el</w:t>
      </w:r>
      <w:r w:rsidRPr="00506990">
        <w:rPr>
          <w:rFonts w:ascii="Times New Roman" w:eastAsia="Arial Unicode MS" w:hAnsi="Times New Roman" w:cs="Times New Roman"/>
          <w:noProof/>
          <w:color w:val="0D0D0D" w:themeColor="text1" w:themeTint="F2"/>
          <w:sz w:val="22"/>
          <w:szCs w:val="22"/>
        </w:rPr>
        <w:t xml:space="preserve"> Fiduciario</w:t>
      </w:r>
      <w:r w:rsidR="005E493D" w:rsidRPr="00506990">
        <w:rPr>
          <w:rFonts w:ascii="Times New Roman" w:eastAsia="Arial Unicode MS" w:hAnsi="Times New Roman" w:cs="Times New Roman"/>
          <w:noProof/>
          <w:color w:val="0D0D0D" w:themeColor="text1" w:themeTint="F2"/>
          <w:sz w:val="22"/>
          <w:szCs w:val="22"/>
        </w:rPr>
        <w:t>, en un plazo de quince (15) días hábiles de finalizado el mes al que corresponda el informe,</w:t>
      </w:r>
      <w:r w:rsidR="00D012ED" w:rsidRPr="00506990">
        <w:rPr>
          <w:rFonts w:ascii="Times New Roman" w:eastAsia="Arial Unicode MS" w:hAnsi="Times New Roman" w:cs="Times New Roman"/>
          <w:noProof/>
          <w:color w:val="0D0D0D" w:themeColor="text1" w:themeTint="F2"/>
          <w:sz w:val="22"/>
          <w:szCs w:val="22"/>
        </w:rPr>
        <w:t xml:space="preserve"> de conformidad con lo dispuesto en el art. 28</w:t>
      </w:r>
      <w:r w:rsidR="00EB2E2D">
        <w:rPr>
          <w:rFonts w:ascii="Times New Roman" w:eastAsia="Arial Unicode MS" w:hAnsi="Times New Roman" w:cs="Times New Roman"/>
          <w:noProof/>
          <w:color w:val="0D0D0D" w:themeColor="text1" w:themeTint="F2"/>
          <w:sz w:val="22"/>
          <w:szCs w:val="22"/>
        </w:rPr>
        <w:t xml:space="preserve"> Sección XII Capítulo IV Título V </w:t>
      </w:r>
      <w:r w:rsidR="00D012ED" w:rsidRPr="00506990">
        <w:rPr>
          <w:rFonts w:ascii="Times New Roman" w:eastAsia="Arial Unicode MS" w:hAnsi="Times New Roman" w:cs="Times New Roman"/>
          <w:noProof/>
          <w:color w:val="0D0D0D" w:themeColor="text1" w:themeTint="F2"/>
          <w:sz w:val="22"/>
          <w:szCs w:val="22"/>
        </w:rPr>
        <w:t xml:space="preserve"> de las NORMAS</w:t>
      </w:r>
      <w:r w:rsidR="00EB2E2D">
        <w:rPr>
          <w:rFonts w:ascii="Times New Roman" w:eastAsia="Arial Unicode MS" w:hAnsi="Times New Roman" w:cs="Times New Roman"/>
          <w:noProof/>
          <w:color w:val="0D0D0D" w:themeColor="text1" w:themeTint="F2"/>
          <w:sz w:val="22"/>
          <w:szCs w:val="22"/>
        </w:rPr>
        <w:t xml:space="preserve"> de la CNV</w:t>
      </w:r>
      <w:r w:rsidR="00D012ED" w:rsidRPr="00506990">
        <w:rPr>
          <w:rFonts w:ascii="Times New Roman" w:eastAsia="Arial Unicode MS" w:hAnsi="Times New Roman" w:cs="Times New Roman"/>
          <w:noProof/>
          <w:color w:val="0D0D0D" w:themeColor="text1" w:themeTint="F2"/>
          <w:sz w:val="22"/>
          <w:szCs w:val="22"/>
        </w:rPr>
        <w:t>.</w:t>
      </w:r>
    </w:p>
    <w:p w14:paraId="77459DE1" w14:textId="77777777" w:rsidR="00D253B0" w:rsidRPr="00506990" w:rsidRDefault="00D253B0" w:rsidP="00ED10B6">
      <w:pPr>
        <w:autoSpaceDE w:val="0"/>
        <w:autoSpaceDN w:val="0"/>
        <w:adjustRightInd w:val="0"/>
        <w:rPr>
          <w:rFonts w:ascii="Times New Roman" w:eastAsia="Arial Unicode MS" w:hAnsi="Times New Roman" w:cs="Times New Roman"/>
          <w:b/>
          <w:noProof/>
          <w:color w:val="0D0D0D" w:themeColor="text1" w:themeTint="F2"/>
          <w:sz w:val="22"/>
          <w:szCs w:val="22"/>
        </w:rPr>
      </w:pPr>
    </w:p>
    <w:p w14:paraId="14BDE342" w14:textId="64FE71B2" w:rsidR="00482F96" w:rsidRPr="00506990" w:rsidRDefault="00577C2C" w:rsidP="00B228F5">
      <w:pPr>
        <w:pStyle w:val="Ttulo1"/>
        <w:jc w:val="center"/>
        <w:rPr>
          <w:rFonts w:ascii="Times New Roman" w:hAnsi="Times New Roman"/>
          <w:sz w:val="22"/>
          <w:szCs w:val="22"/>
        </w:rPr>
      </w:pPr>
      <w:bookmarkStart w:id="107" w:name="_Toc521424874"/>
      <w:bookmarkStart w:id="108" w:name="_Toc20409090"/>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107"/>
      <w:bookmarkEnd w:id="108"/>
    </w:p>
    <w:p w14:paraId="267EE661" w14:textId="77777777" w:rsidR="00482F96" w:rsidRPr="00506990" w:rsidRDefault="00482F96" w:rsidP="00B228F5">
      <w:pPr>
        <w:pStyle w:val="Ttulo1"/>
        <w:jc w:val="center"/>
        <w:rPr>
          <w:rFonts w:ascii="Times New Roman" w:hAnsi="Times New Roman"/>
          <w:sz w:val="22"/>
          <w:szCs w:val="22"/>
          <w:lang w:val="es-AR"/>
        </w:rPr>
      </w:pPr>
    </w:p>
    <w:p w14:paraId="27075CE3" w14:textId="38F4727C" w:rsidR="00F74B80" w:rsidRPr="0050699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listado de los créditos que integran el haber fideicomitido se adjunta en un </w:t>
      </w:r>
      <w:r w:rsidR="007F182D" w:rsidRPr="00506990">
        <w:rPr>
          <w:rFonts w:ascii="Times New Roman" w:hAnsi="Times New Roman" w:cs="Times New Roman"/>
          <w:iCs/>
          <w:color w:val="0D0D0D" w:themeColor="text1" w:themeTint="F2"/>
          <w:sz w:val="22"/>
          <w:szCs w:val="22"/>
        </w:rPr>
        <w:t>DVD</w:t>
      </w:r>
      <w:r w:rsidRPr="00506990">
        <w:rPr>
          <w:rFonts w:ascii="Times New Roman" w:hAnsi="Times New Roman" w:cs="Times New Roman"/>
          <w:iCs/>
          <w:color w:val="0D0D0D" w:themeColor="text1" w:themeTint="F2"/>
          <w:sz w:val="22"/>
          <w:szCs w:val="22"/>
        </w:rPr>
        <w:t xml:space="preserve"> Marca</w:t>
      </w:r>
      <w:r w:rsidRPr="00506990" w:rsidDel="009E3E04">
        <w:rPr>
          <w:rFonts w:ascii="Times New Roman" w:hAnsi="Times New Roman" w:cs="Times New Roman"/>
          <w:color w:val="0D0D0D" w:themeColor="text1" w:themeTint="F2"/>
          <w:sz w:val="22"/>
          <w:szCs w:val="22"/>
          <w:lang w:val="es-MX"/>
        </w:rPr>
        <w:t xml:space="preserve"> </w:t>
      </w:r>
      <w:r w:rsidR="007F182D" w:rsidRPr="00506990">
        <w:rPr>
          <w:rFonts w:ascii="Times New Roman" w:hAnsi="Times New Roman" w:cs="Times New Roman"/>
          <w:bCs/>
          <w:iCs/>
          <w:color w:val="0D0D0D" w:themeColor="text1" w:themeTint="F2"/>
          <w:sz w:val="22"/>
          <w:szCs w:val="22"/>
        </w:rPr>
        <w:t>Verbatim</w:t>
      </w:r>
      <w:r w:rsidR="00F85C06" w:rsidRPr="00506990">
        <w:rPr>
          <w:rFonts w:ascii="Times New Roman" w:hAnsi="Times New Roman" w:cs="Times New Roman"/>
          <w:color w:val="0D0D0D" w:themeColor="text1" w:themeTint="F2"/>
          <w:sz w:val="22"/>
          <w:szCs w:val="22"/>
          <w:lang w:val="es-MX"/>
        </w:rPr>
        <w:t xml:space="preserve"> </w:t>
      </w:r>
      <w:r w:rsidRPr="00506990">
        <w:rPr>
          <w:rFonts w:ascii="Times New Roman" w:hAnsi="Times New Roman" w:cs="Times New Roman"/>
          <w:color w:val="0D0D0D" w:themeColor="text1" w:themeTint="F2"/>
          <w:sz w:val="22"/>
          <w:szCs w:val="22"/>
          <w:lang w:val="es-MX"/>
        </w:rPr>
        <w:t>N°</w:t>
      </w:r>
      <w:r w:rsidR="00B30407" w:rsidRPr="00506990">
        <w:rPr>
          <w:rFonts w:ascii="Times New Roman" w:hAnsi="Times New Roman" w:cs="Times New Roman"/>
          <w:color w:val="0D0D0D" w:themeColor="text1" w:themeTint="F2"/>
          <w:sz w:val="22"/>
          <w:szCs w:val="22"/>
          <w:lang w:val="es-MX"/>
        </w:rPr>
        <w:t xml:space="preserve"> </w:t>
      </w:r>
      <w:r w:rsidR="00787D0C">
        <w:rPr>
          <w:rFonts w:ascii="Times New Roman" w:hAnsi="Times New Roman" w:cs="Times New Roman"/>
          <w:b/>
          <w:bCs/>
          <w:iCs/>
          <w:color w:val="0D0D0D" w:themeColor="text1" w:themeTint="F2"/>
          <w:sz w:val="22"/>
          <w:szCs w:val="22"/>
        </w:rPr>
        <w:t>B336529REB11368</w:t>
      </w:r>
      <w:r w:rsidR="00787D0C" w:rsidRPr="00506990">
        <w:rPr>
          <w:rFonts w:ascii="Times New Roman" w:hAnsi="Times New Roman" w:cs="Times New Roman"/>
          <w:color w:val="0D0D0D" w:themeColor="text1" w:themeTint="F2"/>
          <w:sz w:val="22"/>
          <w:szCs w:val="22"/>
          <w:lang w:val="es-MX"/>
        </w:rPr>
        <w:t xml:space="preserve"> </w:t>
      </w:r>
      <w:r w:rsidRPr="00506990">
        <w:rPr>
          <w:rFonts w:ascii="Times New Roman" w:hAnsi="Times New Roman" w:cs="Times New Roman"/>
          <w:color w:val="0D0D0D" w:themeColor="text1" w:themeTint="F2"/>
          <w:sz w:val="22"/>
          <w:szCs w:val="22"/>
        </w:rPr>
        <w:t>que</w:t>
      </w:r>
      <w:r w:rsidRPr="00506990">
        <w:rPr>
          <w:rFonts w:ascii="Times New Roman" w:hAnsi="Times New Roman" w:cs="Times New Roman"/>
          <w:iCs/>
          <w:color w:val="0D0D0D" w:themeColor="text1" w:themeTint="F2"/>
          <w:sz w:val="22"/>
          <w:szCs w:val="22"/>
        </w:rPr>
        <w:t xml:space="preserve"> forman parte integrante del Suplemento de Prospecto y se encuentra a disposición de los inversores en las oficinas del Fiduciario.</w:t>
      </w:r>
    </w:p>
    <w:p w14:paraId="608329DC" w14:textId="77777777" w:rsidR="00F74B80" w:rsidRPr="00506990" w:rsidRDefault="00F74B80" w:rsidP="00F74B80">
      <w:pPr>
        <w:rPr>
          <w:rFonts w:ascii="Times New Roman" w:hAnsi="Times New Roman" w:cs="Times New Roman"/>
          <w:iCs/>
          <w:color w:val="0D0D0D" w:themeColor="text1" w:themeTint="F2"/>
          <w:sz w:val="22"/>
          <w:szCs w:val="22"/>
        </w:rPr>
      </w:pPr>
    </w:p>
    <w:p w14:paraId="22E9BC02" w14:textId="7ADDF9E6" w:rsidR="00F74B80" w:rsidRPr="00506990" w:rsidRDefault="00F74B80" w:rsidP="00F74B80">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cartera seleccionada que forma parte del presente fideicomiso corresponde a créditos que a la Fecha de Selección no observan atrasos mayores a 30 días y corresponden a operaciones no refinanciadas. La cesión de los Créditos al presente Fideicomiso tuvo lugar en fecha</w:t>
      </w:r>
      <w:r w:rsidR="00E147B0" w:rsidRPr="00506990">
        <w:rPr>
          <w:rFonts w:ascii="Times New Roman" w:hAnsi="Times New Roman" w:cs="Times New Roman"/>
          <w:color w:val="0D0D0D" w:themeColor="text1" w:themeTint="F2"/>
          <w:sz w:val="22"/>
          <w:szCs w:val="22"/>
        </w:rPr>
        <w:t xml:space="preserve"> </w:t>
      </w:r>
      <w:r w:rsidR="00D014F1">
        <w:rPr>
          <w:rFonts w:ascii="Times New Roman" w:hAnsi="Times New Roman" w:cs="Times New Roman"/>
          <w:b/>
          <w:bCs/>
          <w:iCs/>
          <w:color w:val="0D0D0D" w:themeColor="text1" w:themeTint="F2"/>
          <w:sz w:val="22"/>
          <w:szCs w:val="22"/>
        </w:rPr>
        <w:t>4 de diciembre de 2019</w:t>
      </w:r>
      <w:r w:rsidR="00D014F1"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sobre cartera analizada al</w:t>
      </w:r>
      <w:r w:rsidR="00E147B0" w:rsidRPr="00506990">
        <w:rPr>
          <w:rFonts w:ascii="Times New Roman" w:hAnsi="Times New Roman" w:cs="Times New Roman"/>
          <w:color w:val="0D0D0D" w:themeColor="text1" w:themeTint="F2"/>
          <w:sz w:val="22"/>
          <w:szCs w:val="22"/>
        </w:rPr>
        <w:t xml:space="preserve"> </w:t>
      </w:r>
      <w:r w:rsidR="00D014F1">
        <w:rPr>
          <w:rFonts w:ascii="Times New Roman" w:hAnsi="Times New Roman" w:cs="Times New Roman"/>
          <w:b/>
          <w:bCs/>
          <w:iCs/>
          <w:color w:val="0D0D0D" w:themeColor="text1" w:themeTint="F2"/>
          <w:sz w:val="22"/>
          <w:szCs w:val="22"/>
        </w:rPr>
        <w:t>2</w:t>
      </w:r>
      <w:r w:rsidR="001B097B">
        <w:rPr>
          <w:rFonts w:ascii="Times New Roman" w:hAnsi="Times New Roman" w:cs="Times New Roman"/>
          <w:b/>
          <w:bCs/>
          <w:iCs/>
          <w:color w:val="0D0D0D" w:themeColor="text1" w:themeTint="F2"/>
          <w:sz w:val="22"/>
          <w:szCs w:val="22"/>
        </w:rPr>
        <w:t>2</w:t>
      </w:r>
      <w:r w:rsidR="00D014F1" w:rsidRPr="00506990">
        <w:rPr>
          <w:rFonts w:ascii="Times New Roman" w:hAnsi="Times New Roman" w:cs="Times New Roman"/>
          <w:color w:val="0D0D0D" w:themeColor="text1" w:themeTint="F2"/>
          <w:sz w:val="22"/>
          <w:szCs w:val="22"/>
        </w:rPr>
        <w:t xml:space="preserve"> </w:t>
      </w:r>
      <w:r w:rsidR="00844A2A" w:rsidRPr="00506990">
        <w:rPr>
          <w:rFonts w:ascii="Times New Roman" w:hAnsi="Times New Roman" w:cs="Times New Roman"/>
          <w:color w:val="0D0D0D" w:themeColor="text1" w:themeTint="F2"/>
          <w:sz w:val="22"/>
          <w:szCs w:val="22"/>
        </w:rPr>
        <w:t xml:space="preserve">de </w:t>
      </w:r>
      <w:r w:rsidR="00D014F1">
        <w:rPr>
          <w:rFonts w:ascii="Times New Roman" w:hAnsi="Times New Roman" w:cs="Times New Roman"/>
          <w:b/>
          <w:bCs/>
          <w:iCs/>
          <w:color w:val="0D0D0D" w:themeColor="text1" w:themeTint="F2"/>
          <w:sz w:val="22"/>
          <w:szCs w:val="22"/>
        </w:rPr>
        <w:t>noviembre</w:t>
      </w:r>
      <w:r w:rsidR="00D014F1" w:rsidRPr="00506990">
        <w:rPr>
          <w:rFonts w:ascii="Times New Roman" w:hAnsi="Times New Roman" w:cs="Times New Roman"/>
          <w:color w:val="0D0D0D" w:themeColor="text1" w:themeTint="F2"/>
          <w:sz w:val="22"/>
          <w:szCs w:val="22"/>
        </w:rPr>
        <w:t xml:space="preserve"> </w:t>
      </w:r>
      <w:r w:rsidR="00C56DC8" w:rsidRPr="00506990">
        <w:rPr>
          <w:rFonts w:ascii="Times New Roman" w:hAnsi="Times New Roman" w:cs="Times New Roman"/>
          <w:color w:val="0D0D0D" w:themeColor="text1" w:themeTint="F2"/>
          <w:sz w:val="22"/>
          <w:szCs w:val="22"/>
        </w:rPr>
        <w:t>de 2019</w:t>
      </w:r>
      <w:r w:rsidRPr="00506990">
        <w:rPr>
          <w:rFonts w:ascii="Times New Roman" w:hAnsi="Times New Roman" w:cs="Times New Roman"/>
          <w:color w:val="0D0D0D" w:themeColor="text1" w:themeTint="F2"/>
          <w:sz w:val="22"/>
          <w:szCs w:val="22"/>
        </w:rPr>
        <w:t>.</w:t>
      </w:r>
    </w:p>
    <w:p w14:paraId="7BDE5F75" w14:textId="77777777" w:rsidR="00F74B80" w:rsidRPr="00506990" w:rsidRDefault="00F74B80" w:rsidP="00F74B80">
      <w:pPr>
        <w:rPr>
          <w:rFonts w:ascii="Times New Roman" w:hAnsi="Times New Roman" w:cs="Times New Roman"/>
          <w:iCs/>
          <w:color w:val="0D0D0D" w:themeColor="text1" w:themeTint="F2"/>
          <w:sz w:val="22"/>
          <w:szCs w:val="22"/>
        </w:rPr>
      </w:pPr>
    </w:p>
    <w:p w14:paraId="6BA59527" w14:textId="77777777" w:rsidR="00F74B80" w:rsidRPr="00506990" w:rsidRDefault="00F74B80" w:rsidP="00482F96">
      <w:pPr>
        <w:rPr>
          <w:rFonts w:ascii="Times New Roman" w:hAnsi="Times New Roman" w:cs="Times New Roman"/>
          <w:iCs/>
          <w:color w:val="0D0D0D" w:themeColor="text1" w:themeTint="F2"/>
          <w:sz w:val="22"/>
          <w:szCs w:val="22"/>
        </w:rPr>
      </w:pPr>
    </w:p>
    <w:p w14:paraId="3CE61B76" w14:textId="77777777"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506990">
        <w:rPr>
          <w:rFonts w:ascii="Times New Roman" w:hAnsi="Times New Roman" w:cs="Times New Roman"/>
          <w:b/>
          <w:bCs/>
          <w:iCs/>
          <w:color w:val="0D0D0D" w:themeColor="text1" w:themeTint="F2"/>
          <w:sz w:val="22"/>
          <w:szCs w:val="22"/>
          <w:u w:val="single"/>
          <w:lang w:val="es-AR"/>
        </w:rPr>
        <w:t>DESCRIPCIÓN DE LAS NORMAS DE ORIGINACIÓN Y COBRANZA DE LOS CRÉDITOS</w:t>
      </w:r>
    </w:p>
    <w:p w14:paraId="62B855C2" w14:textId="77777777" w:rsidR="00F74B80" w:rsidRPr="00506990"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417E8BC1" w14:textId="290C2615" w:rsidR="00CC479E" w:rsidRPr="00506990" w:rsidRDefault="00F74B80" w:rsidP="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BAZAR AVENIDA S.A. </w:t>
      </w:r>
      <w:r w:rsidR="00CC479E" w:rsidRPr="00506990">
        <w:rPr>
          <w:rFonts w:ascii="Times New Roman" w:hAnsi="Times New Roman" w:cs="Times New Roman"/>
          <w:b/>
          <w:color w:val="0D0D0D" w:themeColor="text1" w:themeTint="F2"/>
          <w:sz w:val="22"/>
          <w:szCs w:val="22"/>
        </w:rPr>
        <w:t>–</w:t>
      </w:r>
      <w:r w:rsidRPr="00506990">
        <w:rPr>
          <w:rFonts w:ascii="Times New Roman" w:hAnsi="Times New Roman" w:cs="Times New Roman"/>
          <w:b/>
          <w:color w:val="0D0D0D" w:themeColor="text1" w:themeTint="F2"/>
          <w:sz w:val="22"/>
          <w:szCs w:val="22"/>
        </w:rPr>
        <w:t xml:space="preserve"> </w:t>
      </w:r>
    </w:p>
    <w:p w14:paraId="0796EC1D" w14:textId="77777777" w:rsidR="00CC479E" w:rsidRPr="0098446E" w:rsidRDefault="00CC479E" w:rsidP="0098446E">
      <w:pPr>
        <w:spacing w:after="200"/>
        <w:rPr>
          <w:rFonts w:ascii="Times New Roman" w:hAnsi="Times New Roman" w:cs="Times New Roman"/>
          <w:color w:val="0D0D0D" w:themeColor="text1" w:themeTint="F2"/>
          <w:sz w:val="22"/>
          <w:szCs w:val="22"/>
        </w:rPr>
      </w:pPr>
    </w:p>
    <w:p w14:paraId="54BECFCA" w14:textId="5510FBC1" w:rsidR="00F74B80" w:rsidRPr="00506990" w:rsidRDefault="00F74B80" w:rsidP="00F74B80">
      <w:pPr>
        <w:shd w:val="clear" w:color="auto" w:fill="D9D9D9"/>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NORMAS DE ORIGINACIÓN – financiación de electrodomésticos</w:t>
      </w:r>
    </w:p>
    <w:p w14:paraId="373649D5" w14:textId="77777777" w:rsidR="00F74B80" w:rsidRPr="00506990" w:rsidRDefault="00F74B80" w:rsidP="00F74B80">
      <w:pPr>
        <w:rPr>
          <w:rFonts w:ascii="Times New Roman" w:hAnsi="Times New Roman" w:cs="Times New Roman"/>
          <w:b/>
          <w:color w:val="0D0D0D" w:themeColor="text1" w:themeTint="F2"/>
          <w:sz w:val="22"/>
          <w:szCs w:val="22"/>
          <w:u w:val="single"/>
        </w:rPr>
      </w:pPr>
    </w:p>
    <w:p w14:paraId="38BB34DD" w14:textId="77777777" w:rsidR="00F74B80" w:rsidRPr="00506990" w:rsidRDefault="00F74B80" w:rsidP="00F74B80">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Requisitos de otorgamiento de los créditos</w:t>
      </w:r>
    </w:p>
    <w:p w14:paraId="00E7DCE1" w14:textId="77777777"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Capacidad</w:t>
      </w:r>
    </w:p>
    <w:p w14:paraId="5A114801" w14:textId="77777777" w:rsidR="00F74B80" w:rsidRPr="00506990" w:rsidRDefault="00F74B80" w:rsidP="00270AFD">
      <w:pPr>
        <w:pStyle w:val="Prrafodelista"/>
        <w:numPr>
          <w:ilvl w:val="0"/>
          <w:numId w:val="6"/>
        </w:numPr>
        <w:spacing w:after="200"/>
        <w:jc w:val="both"/>
        <w:rPr>
          <w:color w:val="0D0D0D" w:themeColor="text1" w:themeTint="F2"/>
          <w:sz w:val="22"/>
          <w:szCs w:val="22"/>
          <w:lang w:val="es-ES_tradnl"/>
        </w:rPr>
      </w:pPr>
      <w:r w:rsidRPr="00506990">
        <w:rPr>
          <w:color w:val="0D0D0D" w:themeColor="text1" w:themeTint="F2"/>
          <w:sz w:val="22"/>
          <w:szCs w:val="22"/>
          <w:lang w:val="es-ES_tradnl"/>
        </w:rPr>
        <w:t>Personas Humanas:</w:t>
      </w:r>
    </w:p>
    <w:p w14:paraId="640424E8"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Mayores de 18 años y hasta 79 años</w:t>
      </w:r>
    </w:p>
    <w:p w14:paraId="0E08B5B8" w14:textId="77777777" w:rsidR="00F74B80" w:rsidRPr="00506990" w:rsidRDefault="00F74B80" w:rsidP="00270AFD">
      <w:pPr>
        <w:pStyle w:val="Prrafodelista"/>
        <w:numPr>
          <w:ilvl w:val="0"/>
          <w:numId w:val="6"/>
        </w:numPr>
        <w:spacing w:after="200"/>
        <w:jc w:val="both"/>
        <w:rPr>
          <w:color w:val="0D0D0D" w:themeColor="text1" w:themeTint="F2"/>
          <w:sz w:val="22"/>
          <w:szCs w:val="22"/>
          <w:lang w:val="es-ES_tradnl"/>
        </w:rPr>
      </w:pPr>
      <w:r w:rsidRPr="00506990">
        <w:rPr>
          <w:color w:val="0D0D0D" w:themeColor="text1" w:themeTint="F2"/>
          <w:sz w:val="22"/>
          <w:szCs w:val="22"/>
          <w:lang w:val="es-ES_tradnl"/>
        </w:rPr>
        <w:t>Personas Jurídicas:</w:t>
      </w:r>
    </w:p>
    <w:p w14:paraId="7F301AB9"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Representatividad: la persona jurídica se obliga por medio de un representante.</w:t>
      </w:r>
    </w:p>
    <w:p w14:paraId="737E24F6"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Limitaciones: las personas Jurídicas no podrán ser garantes.</w:t>
      </w:r>
    </w:p>
    <w:p w14:paraId="495CF803" w14:textId="455D7B73"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 xml:space="preserve">Capital a prestar: </w:t>
      </w:r>
      <w:r w:rsidR="00EC3619" w:rsidRPr="00506990">
        <w:rPr>
          <w:color w:val="0D0D0D" w:themeColor="text1" w:themeTint="F2"/>
          <w:sz w:val="22"/>
          <w:szCs w:val="22"/>
          <w:lang w:val="es-ES_tradnl"/>
        </w:rPr>
        <w:t>hasta</w:t>
      </w:r>
      <w:r w:rsidRPr="00506990">
        <w:rPr>
          <w:color w:val="0D0D0D" w:themeColor="text1" w:themeTint="F2"/>
          <w:sz w:val="22"/>
          <w:szCs w:val="22"/>
          <w:lang w:val="es-ES_tradnl"/>
        </w:rPr>
        <w:t xml:space="preserve"> $72.000 según nivel de riesgo.</w:t>
      </w:r>
    </w:p>
    <w:p w14:paraId="0EA374AB" w14:textId="50E78839"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 xml:space="preserve">Plazo: hasta </w:t>
      </w:r>
      <w:r w:rsidR="00F13673" w:rsidRPr="00506990">
        <w:rPr>
          <w:color w:val="0D0D0D" w:themeColor="text1" w:themeTint="F2"/>
          <w:sz w:val="22"/>
          <w:szCs w:val="22"/>
          <w:lang w:val="es-ES_tradnl"/>
        </w:rPr>
        <w:t>24</w:t>
      </w:r>
      <w:r w:rsidRPr="00506990">
        <w:rPr>
          <w:color w:val="0D0D0D" w:themeColor="text1" w:themeTint="F2"/>
          <w:sz w:val="22"/>
          <w:szCs w:val="22"/>
          <w:lang w:val="es-ES_tradnl"/>
        </w:rPr>
        <w:t xml:space="preserve"> cuotas.</w:t>
      </w:r>
    </w:p>
    <w:p w14:paraId="2FBF74FA" w14:textId="2D6187A5"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Documentación que se emite: factura en donde se enuncian las condiciones del crédito</w:t>
      </w:r>
      <w:r w:rsidR="00EC3619" w:rsidRPr="00506990">
        <w:rPr>
          <w:color w:val="0D0D0D" w:themeColor="text1" w:themeTint="F2"/>
          <w:sz w:val="22"/>
          <w:szCs w:val="22"/>
          <w:lang w:val="es-ES_tradnl"/>
        </w:rPr>
        <w:t>,</w:t>
      </w:r>
      <w:r w:rsidRPr="00506990">
        <w:rPr>
          <w:color w:val="0D0D0D" w:themeColor="text1" w:themeTint="F2"/>
          <w:sz w:val="22"/>
          <w:szCs w:val="22"/>
          <w:lang w:val="es-ES_tradnl"/>
        </w:rPr>
        <w:t xml:space="preserve"> Pagaré</w:t>
      </w:r>
      <w:r w:rsidR="00EC3619" w:rsidRPr="00506990">
        <w:rPr>
          <w:color w:val="0D0D0D" w:themeColor="text1" w:themeTint="F2"/>
          <w:sz w:val="22"/>
          <w:szCs w:val="22"/>
          <w:lang w:val="es-ES_tradnl"/>
        </w:rPr>
        <w:t xml:space="preserve"> y constancia de Adhesión Seguro Saldo Deudor, todos</w:t>
      </w:r>
      <w:r w:rsidRPr="00506990">
        <w:rPr>
          <w:color w:val="0D0D0D" w:themeColor="text1" w:themeTint="F2"/>
          <w:sz w:val="22"/>
          <w:szCs w:val="22"/>
          <w:lang w:val="es-ES_tradnl"/>
        </w:rPr>
        <w:t xml:space="preserve"> firmados por el solicitante.</w:t>
      </w:r>
    </w:p>
    <w:p w14:paraId="5EF75EC7" w14:textId="77777777"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Ingresos:</w:t>
      </w:r>
    </w:p>
    <w:p w14:paraId="52FBEED4"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Mínimos requeridos: ingresos netos $2.000</w:t>
      </w:r>
    </w:p>
    <w:p w14:paraId="2606227E"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Límites relación “cuota/ingreso”: desde 20%, hasta 40%; según nivel de riesgo, en este último caso para clientes con historia crediticia en la empresa y excelente comportamiento de pago en el mercado.</w:t>
      </w:r>
    </w:p>
    <w:p w14:paraId="54660FB1"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Límites cantidad de ingresos: desde 1 hasta 6 ingresos (máximo capital otorgado acumulado); según nivel de riesgo; en este último caso para clientes con historia crediticia en la empresa y excelente comportamiento de pago en el mercado.</w:t>
      </w:r>
    </w:p>
    <w:p w14:paraId="6A74E3EC" w14:textId="77777777"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Antigüedad:</w:t>
      </w:r>
    </w:p>
    <w:p w14:paraId="2158C0C8" w14:textId="119D95CB"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 xml:space="preserve">Empleados en relación de dependencia: se requiere mínima de </w:t>
      </w:r>
      <w:r w:rsidR="00EC3619" w:rsidRPr="00506990">
        <w:rPr>
          <w:color w:val="0D0D0D" w:themeColor="text1" w:themeTint="F2"/>
          <w:sz w:val="22"/>
          <w:szCs w:val="22"/>
          <w:lang w:val="es-ES_tradnl"/>
        </w:rPr>
        <w:t>6</w:t>
      </w:r>
      <w:r w:rsidRPr="00506990">
        <w:rPr>
          <w:color w:val="0D0D0D" w:themeColor="text1" w:themeTint="F2"/>
          <w:sz w:val="22"/>
          <w:szCs w:val="22"/>
          <w:lang w:val="es-ES_tradnl"/>
        </w:rPr>
        <w:t xml:space="preserve"> meses.</w:t>
      </w:r>
    </w:p>
    <w:p w14:paraId="64E88FA5" w14:textId="65883FD8"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 xml:space="preserve">Empleados rurales, de construcción, de limpieza y otras categorías: se requiere antigüedad mínima de </w:t>
      </w:r>
      <w:r w:rsidR="00EC3619" w:rsidRPr="00506990">
        <w:rPr>
          <w:color w:val="0D0D0D" w:themeColor="text1" w:themeTint="F2"/>
          <w:sz w:val="22"/>
          <w:szCs w:val="22"/>
          <w:lang w:val="es-ES_tradnl"/>
        </w:rPr>
        <w:t>12</w:t>
      </w:r>
      <w:r w:rsidRPr="00506990">
        <w:rPr>
          <w:color w:val="0D0D0D" w:themeColor="text1" w:themeTint="F2"/>
          <w:sz w:val="22"/>
          <w:szCs w:val="22"/>
          <w:lang w:val="es-ES_tradnl"/>
        </w:rPr>
        <w:t xml:space="preserve"> meses.</w:t>
      </w:r>
    </w:p>
    <w:p w14:paraId="48DBA8B9"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Trabajadores Autónomos: se requiere antigüedad mínima de 12 meses.</w:t>
      </w:r>
    </w:p>
    <w:p w14:paraId="2DE49DBF" w14:textId="77777777" w:rsidR="00F74B80" w:rsidRPr="00506990" w:rsidRDefault="00F74B80" w:rsidP="00270AFD">
      <w:pPr>
        <w:pStyle w:val="Prrafodelista"/>
        <w:numPr>
          <w:ilvl w:val="0"/>
          <w:numId w:val="5"/>
        </w:numPr>
        <w:spacing w:before="360" w:after="120"/>
        <w:ind w:left="357" w:hanging="357"/>
        <w:contextualSpacing w:val="0"/>
        <w:jc w:val="both"/>
        <w:rPr>
          <w:color w:val="0D0D0D" w:themeColor="text1" w:themeTint="F2"/>
          <w:sz w:val="22"/>
          <w:szCs w:val="22"/>
          <w:lang w:val="es-ES_tradnl"/>
        </w:rPr>
      </w:pPr>
      <w:r w:rsidRPr="00506990">
        <w:rPr>
          <w:color w:val="0D0D0D" w:themeColor="text1" w:themeTint="F2"/>
          <w:sz w:val="22"/>
          <w:szCs w:val="22"/>
          <w:lang w:val="es-ES_tradnl"/>
        </w:rPr>
        <w:t>Teléfonos:</w:t>
      </w:r>
    </w:p>
    <w:p w14:paraId="36846860" w14:textId="37063D07" w:rsidR="00F74B80" w:rsidRPr="00506990" w:rsidRDefault="00EC3619" w:rsidP="00270AFD">
      <w:pPr>
        <w:pStyle w:val="Prrafodelista"/>
        <w:numPr>
          <w:ilvl w:val="0"/>
          <w:numId w:val="7"/>
        </w:numPr>
        <w:spacing w:after="200"/>
        <w:jc w:val="both"/>
        <w:rPr>
          <w:color w:val="0D0D0D" w:themeColor="text1" w:themeTint="F2"/>
          <w:sz w:val="22"/>
          <w:szCs w:val="22"/>
          <w:lang w:val="es-ES_tradnl"/>
        </w:rPr>
      </w:pPr>
      <w:r w:rsidRPr="00506990">
        <w:rPr>
          <w:color w:val="0D0D0D" w:themeColor="text1" w:themeTint="F2"/>
          <w:sz w:val="22"/>
          <w:szCs w:val="22"/>
          <w:lang w:val="es-ES_tradnl"/>
        </w:rPr>
        <w:t>Tres</w:t>
      </w:r>
      <w:r w:rsidR="00F74B80" w:rsidRPr="00506990">
        <w:rPr>
          <w:color w:val="0D0D0D" w:themeColor="text1" w:themeTint="F2"/>
          <w:sz w:val="22"/>
          <w:szCs w:val="22"/>
          <w:lang w:val="es-ES_tradnl"/>
        </w:rPr>
        <w:t xml:space="preserve"> teléfonos celulares.</w:t>
      </w:r>
    </w:p>
    <w:p w14:paraId="2664EA23" w14:textId="77777777" w:rsidR="00F74B80" w:rsidRPr="00506990" w:rsidRDefault="00F74B80" w:rsidP="00270AFD">
      <w:pPr>
        <w:pStyle w:val="Prrafodelista"/>
        <w:numPr>
          <w:ilvl w:val="0"/>
          <w:numId w:val="7"/>
        </w:numPr>
        <w:spacing w:after="200"/>
        <w:jc w:val="both"/>
        <w:rPr>
          <w:color w:val="0D0D0D" w:themeColor="text1" w:themeTint="F2"/>
          <w:sz w:val="22"/>
          <w:szCs w:val="22"/>
          <w:lang w:val="es-ES_tradnl"/>
        </w:rPr>
      </w:pPr>
      <w:r w:rsidRPr="00506990">
        <w:rPr>
          <w:color w:val="0D0D0D" w:themeColor="text1" w:themeTint="F2"/>
          <w:sz w:val="22"/>
          <w:szCs w:val="22"/>
          <w:lang w:val="es-ES_tradnl"/>
        </w:rPr>
        <w:t>Número telefónico fijo (domicilio, trabajo o alternativo) debe ser corroborado.</w:t>
      </w:r>
    </w:p>
    <w:p w14:paraId="087700C8" w14:textId="77777777" w:rsidR="00F74B80" w:rsidRPr="00506990" w:rsidRDefault="00F74B80" w:rsidP="00F74B80">
      <w:pPr>
        <w:pStyle w:val="Prrafodelista"/>
        <w:ind w:left="1080"/>
        <w:jc w:val="both"/>
        <w:rPr>
          <w:color w:val="0D0D0D" w:themeColor="text1" w:themeTint="F2"/>
          <w:sz w:val="22"/>
          <w:szCs w:val="22"/>
          <w:lang w:val="es-ES_tradnl"/>
        </w:rPr>
      </w:pPr>
    </w:p>
    <w:p w14:paraId="5865B7BF" w14:textId="77777777" w:rsidR="00F74B80" w:rsidRPr="00506990" w:rsidRDefault="00F74B80" w:rsidP="00F74B80">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u w:val="single"/>
        </w:rPr>
        <w:t>Otros Requisitos / Evaluaciones</w:t>
      </w:r>
      <w:r w:rsidRPr="00506990">
        <w:rPr>
          <w:rFonts w:ascii="Times New Roman" w:hAnsi="Times New Roman" w:cs="Times New Roman"/>
          <w:color w:val="0D0D0D" w:themeColor="text1" w:themeTint="F2"/>
          <w:sz w:val="22"/>
          <w:szCs w:val="22"/>
        </w:rPr>
        <w:t>:</w:t>
      </w:r>
    </w:p>
    <w:p w14:paraId="5146F1FA" w14:textId="30E37764" w:rsidR="00F74B80" w:rsidRPr="00506990" w:rsidRDefault="00F74B80" w:rsidP="00270AFD">
      <w:pPr>
        <w:pStyle w:val="Prrafodelista"/>
        <w:numPr>
          <w:ilvl w:val="1"/>
          <w:numId w:val="5"/>
        </w:numPr>
        <w:spacing w:before="360"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Antecedentes crediticios</w:t>
      </w:r>
      <w:r w:rsidRPr="00506990">
        <w:rPr>
          <w:color w:val="0D0D0D" w:themeColor="text1" w:themeTint="F2"/>
          <w:sz w:val="22"/>
          <w:szCs w:val="22"/>
          <w:lang w:val="es-ES_tradnl"/>
        </w:rPr>
        <w:t xml:space="preserve">: a través de referencias de base propia de datos y herramientas del centro de informes nacionales y regionales. </w:t>
      </w:r>
    </w:p>
    <w:p w14:paraId="29BDEAA0" w14:textId="77777777" w:rsidR="00F74B80" w:rsidRPr="00506990" w:rsidRDefault="00F74B80" w:rsidP="00270AFD">
      <w:pPr>
        <w:pStyle w:val="Prrafodelista"/>
        <w:numPr>
          <w:ilvl w:val="1"/>
          <w:numId w:val="5"/>
        </w:numPr>
        <w:spacing w:before="360"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Calificación crediticia</w:t>
      </w:r>
      <w:r w:rsidRPr="00506990">
        <w:rPr>
          <w:color w:val="0D0D0D" w:themeColor="text1" w:themeTint="F2"/>
          <w:sz w:val="22"/>
          <w:szCs w:val="22"/>
          <w:lang w:val="es-ES_tradnl"/>
        </w:rPr>
        <w:t>: la solicitud de crédito se procesa en sistema de scoring, que evalúa comportamiento de pago del cliente en la empresa (en caso de que exista), factores demográficos y comportamiento crediticio en el mercado; definiendo así el perfil de riesgo del cliente; perfil que define la posibilidad de otorgar el crédito, y en su caso el monto máximo y relación cuota/ingreso.</w:t>
      </w:r>
    </w:p>
    <w:p w14:paraId="75DEB7B1" w14:textId="77777777" w:rsidR="00F74B80" w:rsidRPr="00506990" w:rsidRDefault="00F74B80" w:rsidP="00270AFD">
      <w:pPr>
        <w:pStyle w:val="Prrafodelista"/>
        <w:numPr>
          <w:ilvl w:val="1"/>
          <w:numId w:val="5"/>
        </w:numPr>
        <w:spacing w:before="360"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Entrega del producto en el domicilio en el cliente nuevo</w:t>
      </w:r>
      <w:r w:rsidRPr="00506990">
        <w:rPr>
          <w:color w:val="0D0D0D" w:themeColor="text1" w:themeTint="F2"/>
          <w:sz w:val="22"/>
          <w:szCs w:val="22"/>
          <w:lang w:val="es-ES_tradnl"/>
        </w:rPr>
        <w:t>: como forma de verificación de domicilio; depende del capital adquirido como también de la localidad donde se realizó la venta (localidades calificadas como de mayor riesgo crediticio).</w:t>
      </w:r>
    </w:p>
    <w:p w14:paraId="7C39EAA6" w14:textId="77777777" w:rsidR="00F74B80" w:rsidRPr="00506990" w:rsidRDefault="00F74B80" w:rsidP="00270AFD">
      <w:pPr>
        <w:pStyle w:val="Prrafodelista"/>
        <w:numPr>
          <w:ilvl w:val="1"/>
          <w:numId w:val="5"/>
        </w:numPr>
        <w:spacing w:before="360"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Excepciones</w:t>
      </w:r>
      <w:r w:rsidRPr="00506990">
        <w:rPr>
          <w:color w:val="0D0D0D" w:themeColor="text1" w:themeTint="F2"/>
          <w:sz w:val="22"/>
          <w:szCs w:val="22"/>
          <w:lang w:val="es-ES_tradnl"/>
        </w:rPr>
        <w:t>: a consideración por instancia superior</w:t>
      </w:r>
    </w:p>
    <w:p w14:paraId="54EBCB21" w14:textId="77777777" w:rsidR="00F74B80" w:rsidRPr="00506990" w:rsidRDefault="00F74B80" w:rsidP="00BA443A">
      <w:pPr>
        <w:pStyle w:val="Prrafodelista"/>
        <w:jc w:val="both"/>
        <w:rPr>
          <w:color w:val="0D0D0D" w:themeColor="text1" w:themeTint="F2"/>
          <w:sz w:val="22"/>
          <w:szCs w:val="22"/>
          <w:lang w:val="es-ES_tradnl"/>
        </w:rPr>
      </w:pPr>
    </w:p>
    <w:p w14:paraId="74DC8F52" w14:textId="77777777" w:rsidR="00F74B80" w:rsidRPr="00506990" w:rsidRDefault="00F74B80">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u w:val="single"/>
        </w:rPr>
        <w:t>Documentación a presentar</w:t>
      </w:r>
      <w:r w:rsidRPr="00506990">
        <w:rPr>
          <w:rFonts w:ascii="Times New Roman" w:hAnsi="Times New Roman" w:cs="Times New Roman"/>
          <w:b/>
          <w:color w:val="0D0D0D" w:themeColor="text1" w:themeTint="F2"/>
          <w:sz w:val="22"/>
          <w:szCs w:val="22"/>
        </w:rPr>
        <w:t>:</w:t>
      </w:r>
      <w:r w:rsidRPr="00506990">
        <w:rPr>
          <w:rFonts w:ascii="Times New Roman" w:hAnsi="Times New Roman" w:cs="Times New Roman"/>
          <w:color w:val="0D0D0D" w:themeColor="text1" w:themeTint="F2"/>
          <w:sz w:val="22"/>
          <w:szCs w:val="22"/>
        </w:rPr>
        <w:t xml:space="preserve"> de acuerdo a la modalidad seleccionada.</w:t>
      </w:r>
    </w:p>
    <w:p w14:paraId="4C7330ED" w14:textId="77777777" w:rsidR="00F74B80" w:rsidRPr="00506990" w:rsidRDefault="00F74B80" w:rsidP="00270AFD">
      <w:pPr>
        <w:pStyle w:val="Prrafodelista"/>
        <w:numPr>
          <w:ilvl w:val="0"/>
          <w:numId w:val="8"/>
        </w:numPr>
        <w:spacing w:after="200"/>
        <w:jc w:val="both"/>
        <w:rPr>
          <w:color w:val="0D0D0D" w:themeColor="text1" w:themeTint="F2"/>
          <w:sz w:val="22"/>
          <w:szCs w:val="22"/>
          <w:lang w:val="es-ES_tradnl"/>
        </w:rPr>
      </w:pPr>
      <w:r w:rsidRPr="00506990">
        <w:rPr>
          <w:b/>
          <w:color w:val="0D0D0D" w:themeColor="text1" w:themeTint="F2"/>
          <w:sz w:val="22"/>
          <w:szCs w:val="22"/>
          <w:lang w:val="es-ES_tradnl"/>
        </w:rPr>
        <w:t>Clásica</w:t>
      </w:r>
      <w:r w:rsidRPr="00506990">
        <w:rPr>
          <w:color w:val="0D0D0D" w:themeColor="text1" w:themeTint="F2"/>
          <w:sz w:val="22"/>
          <w:szCs w:val="22"/>
          <w:lang w:val="es-ES_tradnl"/>
        </w:rPr>
        <w:t>:</w:t>
      </w:r>
    </w:p>
    <w:p w14:paraId="7A28E2EA"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Identificación</w:t>
      </w:r>
    </w:p>
    <w:p w14:paraId="0D961DA7" w14:textId="77777777" w:rsidR="00F74B80" w:rsidRPr="00506990" w:rsidRDefault="00F74B80" w:rsidP="00270AFD">
      <w:pPr>
        <w:pStyle w:val="Prrafodelista"/>
        <w:numPr>
          <w:ilvl w:val="2"/>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DNI</w:t>
      </w:r>
    </w:p>
    <w:p w14:paraId="18F862BD"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Constancia de domicilio: a través de copia de pago de servicios, impuestos o un resumen de una tarjeta de crédito; en todos los casos del último mes.</w:t>
      </w:r>
    </w:p>
    <w:p w14:paraId="0BF0AA68" w14:textId="77777777" w:rsidR="00F74B80" w:rsidRPr="00506990" w:rsidRDefault="00F74B80" w:rsidP="00270AFD">
      <w:pPr>
        <w:pStyle w:val="Prrafodelista"/>
        <w:numPr>
          <w:ilvl w:val="1"/>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Justificación de Ingresos:</w:t>
      </w:r>
    </w:p>
    <w:p w14:paraId="2AC5FEAC" w14:textId="77777777" w:rsidR="00F74B80" w:rsidRPr="00506990" w:rsidRDefault="00F74B80" w:rsidP="00270AFD">
      <w:pPr>
        <w:pStyle w:val="Prrafodelista"/>
        <w:numPr>
          <w:ilvl w:val="2"/>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En relación de Dependencia: último recibo de sueldo.</w:t>
      </w:r>
    </w:p>
    <w:p w14:paraId="08C7CA61" w14:textId="77777777" w:rsidR="00F74B80" w:rsidRPr="00506990" w:rsidRDefault="00F74B80" w:rsidP="00270AFD">
      <w:pPr>
        <w:pStyle w:val="Prrafodelista"/>
        <w:numPr>
          <w:ilvl w:val="2"/>
          <w:numId w:val="5"/>
        </w:numPr>
        <w:tabs>
          <w:tab w:val="left" w:pos="1985"/>
        </w:tabs>
        <w:spacing w:after="200"/>
        <w:jc w:val="both"/>
        <w:rPr>
          <w:color w:val="0D0D0D" w:themeColor="text1" w:themeTint="F2"/>
          <w:sz w:val="22"/>
          <w:szCs w:val="22"/>
          <w:lang w:val="es-ES_tradnl"/>
        </w:rPr>
      </w:pPr>
      <w:r w:rsidRPr="00506990">
        <w:rPr>
          <w:color w:val="0D0D0D" w:themeColor="text1" w:themeTint="F2"/>
          <w:sz w:val="22"/>
          <w:szCs w:val="22"/>
          <w:lang w:val="es-ES_tradnl"/>
        </w:rPr>
        <w:t>Jubilados y Pensionados: último recibo de haberes.</w:t>
      </w:r>
    </w:p>
    <w:p w14:paraId="73ABA00F" w14:textId="77777777" w:rsidR="00F74B80" w:rsidRPr="00506990" w:rsidRDefault="00F74B80" w:rsidP="00270AFD">
      <w:pPr>
        <w:pStyle w:val="Prrafodelista"/>
        <w:numPr>
          <w:ilvl w:val="2"/>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Trabajadores autónomos: últimos 3 meses de IIBB, monotributo, última DDJJ de Ganancias.</w:t>
      </w:r>
    </w:p>
    <w:p w14:paraId="1A2861D4" w14:textId="5D61DEAD" w:rsidR="00F74B80" w:rsidRPr="00506990" w:rsidRDefault="00F74B80" w:rsidP="00270AFD">
      <w:pPr>
        <w:pStyle w:val="Prrafodelista"/>
        <w:numPr>
          <w:ilvl w:val="2"/>
          <w:numId w:val="5"/>
        </w:numPr>
        <w:spacing w:after="200"/>
        <w:jc w:val="both"/>
        <w:rPr>
          <w:color w:val="0D0D0D" w:themeColor="text1" w:themeTint="F2"/>
          <w:sz w:val="22"/>
          <w:szCs w:val="22"/>
          <w:lang w:val="es-ES_tradnl"/>
        </w:rPr>
      </w:pPr>
      <w:r w:rsidRPr="00506990">
        <w:rPr>
          <w:color w:val="0D0D0D" w:themeColor="text1" w:themeTint="F2"/>
          <w:sz w:val="22"/>
          <w:szCs w:val="22"/>
          <w:lang w:val="es-ES_tradnl"/>
        </w:rPr>
        <w:t>Personas Jurídicas: DDJJ de Ganancias.</w:t>
      </w:r>
    </w:p>
    <w:p w14:paraId="1A3DB798" w14:textId="77777777" w:rsidR="00F74B80" w:rsidRPr="00506990" w:rsidRDefault="00F74B80" w:rsidP="00546BED">
      <w:pPr>
        <w:pStyle w:val="Prrafodelista"/>
        <w:ind w:left="1800"/>
        <w:jc w:val="both"/>
        <w:rPr>
          <w:color w:val="0D0D0D" w:themeColor="text1" w:themeTint="F2"/>
          <w:sz w:val="22"/>
          <w:szCs w:val="22"/>
          <w:lang w:val="es-ES_tradnl"/>
        </w:rPr>
      </w:pPr>
    </w:p>
    <w:p w14:paraId="4CB8F0D3" w14:textId="77777777" w:rsidR="00F74B80" w:rsidRPr="00506990" w:rsidRDefault="00F74B80" w:rsidP="00270AFD">
      <w:pPr>
        <w:pStyle w:val="Prrafodelista"/>
        <w:numPr>
          <w:ilvl w:val="0"/>
          <w:numId w:val="8"/>
        </w:numPr>
        <w:spacing w:after="200"/>
        <w:jc w:val="both"/>
        <w:rPr>
          <w:color w:val="0D0D0D" w:themeColor="text1" w:themeTint="F2"/>
          <w:sz w:val="22"/>
          <w:szCs w:val="22"/>
          <w:lang w:val="es-ES_tradnl"/>
        </w:rPr>
      </w:pPr>
      <w:r w:rsidRPr="00506990">
        <w:rPr>
          <w:b/>
          <w:color w:val="0D0D0D" w:themeColor="text1" w:themeTint="F2"/>
          <w:sz w:val="22"/>
          <w:szCs w:val="22"/>
          <w:lang w:val="es-ES_tradnl"/>
        </w:rPr>
        <w:t>Simplificada</w:t>
      </w:r>
      <w:r w:rsidRPr="00506990">
        <w:rPr>
          <w:color w:val="0D0D0D" w:themeColor="text1" w:themeTint="F2"/>
          <w:sz w:val="22"/>
          <w:szCs w:val="22"/>
          <w:lang w:val="es-ES_tradnl"/>
        </w:rPr>
        <w:t>:</w:t>
      </w:r>
    </w:p>
    <w:p w14:paraId="6DFBA7BD" w14:textId="77777777" w:rsidR="00F74B80" w:rsidRPr="00506990" w:rsidRDefault="00F74B80" w:rsidP="00270AFD">
      <w:pPr>
        <w:pStyle w:val="Prrafodelista"/>
        <w:numPr>
          <w:ilvl w:val="1"/>
          <w:numId w:val="8"/>
        </w:numPr>
        <w:spacing w:after="200"/>
        <w:ind w:left="1134" w:hanging="425"/>
        <w:jc w:val="both"/>
        <w:rPr>
          <w:color w:val="0D0D0D" w:themeColor="text1" w:themeTint="F2"/>
          <w:sz w:val="22"/>
          <w:szCs w:val="22"/>
          <w:lang w:val="es-ES_tradnl"/>
        </w:rPr>
      </w:pPr>
      <w:r w:rsidRPr="00506990">
        <w:rPr>
          <w:color w:val="0D0D0D" w:themeColor="text1" w:themeTint="F2"/>
          <w:sz w:val="22"/>
          <w:szCs w:val="22"/>
          <w:lang w:val="es-ES_tradnl"/>
        </w:rPr>
        <w:t>Identificación</w:t>
      </w:r>
    </w:p>
    <w:p w14:paraId="6A5EFCBC" w14:textId="77777777" w:rsidR="00F74B80" w:rsidRPr="00506990" w:rsidRDefault="00F74B80" w:rsidP="00270AFD">
      <w:pPr>
        <w:pStyle w:val="Prrafodelista"/>
        <w:numPr>
          <w:ilvl w:val="2"/>
          <w:numId w:val="8"/>
        </w:numPr>
        <w:spacing w:after="200"/>
        <w:ind w:left="1701" w:hanging="283"/>
        <w:jc w:val="both"/>
        <w:rPr>
          <w:color w:val="0D0D0D" w:themeColor="text1" w:themeTint="F2"/>
          <w:sz w:val="22"/>
          <w:szCs w:val="22"/>
          <w:lang w:val="es-ES_tradnl"/>
        </w:rPr>
      </w:pPr>
      <w:r w:rsidRPr="00506990">
        <w:rPr>
          <w:color w:val="0D0D0D" w:themeColor="text1" w:themeTint="F2"/>
          <w:sz w:val="22"/>
          <w:szCs w:val="22"/>
          <w:lang w:val="es-ES_tradnl"/>
        </w:rPr>
        <w:t xml:space="preserve">  DNI</w:t>
      </w:r>
    </w:p>
    <w:p w14:paraId="080B25E1" w14:textId="77777777" w:rsidR="00F74B80" w:rsidRPr="00506990" w:rsidRDefault="00F74B80" w:rsidP="00270AFD">
      <w:pPr>
        <w:pStyle w:val="Prrafodelista"/>
        <w:numPr>
          <w:ilvl w:val="1"/>
          <w:numId w:val="8"/>
        </w:numPr>
        <w:spacing w:after="200"/>
        <w:ind w:left="1134" w:hanging="425"/>
        <w:jc w:val="both"/>
        <w:rPr>
          <w:color w:val="0D0D0D" w:themeColor="text1" w:themeTint="F2"/>
          <w:sz w:val="22"/>
          <w:szCs w:val="22"/>
          <w:lang w:val="es-ES_tradnl"/>
        </w:rPr>
      </w:pPr>
      <w:r w:rsidRPr="00506990">
        <w:rPr>
          <w:color w:val="0D0D0D" w:themeColor="text1" w:themeTint="F2"/>
          <w:sz w:val="22"/>
          <w:szCs w:val="22"/>
          <w:lang w:val="es-ES_tradnl"/>
        </w:rPr>
        <w:t>Constancia de domicilio: de corresponder completar la planilla de verificación de domicilio realizando la entrega del producto en el domicilio del cliente.</w:t>
      </w:r>
    </w:p>
    <w:p w14:paraId="2EB8DC97" w14:textId="77777777" w:rsidR="00F74B80" w:rsidRPr="00506990" w:rsidRDefault="00F74B80" w:rsidP="00F77F79">
      <w:pPr>
        <w:spacing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diferencia entre ambas modalidades consiste en la menor exigencia de documentación a presentar en la modalidad simplificada. Esta es una línea comercial en la cual se facilita el otorgamiento de crédito siempre que el cliente se encuentre bancarizado previa validación de su situación laboral.</w:t>
      </w:r>
    </w:p>
    <w:p w14:paraId="51F6BD8C" w14:textId="77777777" w:rsidR="00753F3D" w:rsidRPr="0098446E" w:rsidRDefault="00753F3D" w:rsidP="00753F3D">
      <w:pPr>
        <w:shd w:val="clear" w:color="auto" w:fill="D9D9D9" w:themeFill="background1" w:themeFillShade="D9"/>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bCs/>
          <w:color w:val="000000"/>
          <w:sz w:val="22"/>
          <w:szCs w:val="22"/>
        </w:rPr>
        <w:t>BAZAR AVENIDA S.A. / CONSUMO S.A. - NORMAS DE ORIGINACIÓN – préstamos personales</w:t>
      </w:r>
    </w:p>
    <w:p w14:paraId="01D273D0" w14:textId="77777777" w:rsidR="00753F3D" w:rsidRPr="0098446E" w:rsidRDefault="00753F3D" w:rsidP="00753F3D">
      <w:pPr>
        <w:autoSpaceDE w:val="0"/>
        <w:autoSpaceDN w:val="0"/>
        <w:adjustRightInd w:val="0"/>
        <w:rPr>
          <w:rFonts w:ascii="Times New Roman" w:hAnsi="Times New Roman" w:cs="Times New Roman"/>
          <w:color w:val="000000"/>
          <w:sz w:val="22"/>
          <w:szCs w:val="22"/>
        </w:rPr>
      </w:pPr>
    </w:p>
    <w:p w14:paraId="01B19EC6" w14:textId="77777777" w:rsidR="00753F3D" w:rsidRPr="0098446E" w:rsidRDefault="00753F3D" w:rsidP="00753F3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color w:val="000000"/>
          <w:sz w:val="22"/>
          <w:szCs w:val="22"/>
        </w:rPr>
        <w:t>Rigen las mismas consideraciones que las descriptas para financiación de electrodomésticos, con las siguientes diferencias:</w:t>
      </w:r>
    </w:p>
    <w:p w14:paraId="1624CBDB" w14:textId="77777777" w:rsidR="00753F3D" w:rsidRPr="0098446E" w:rsidRDefault="00753F3D" w:rsidP="00753F3D">
      <w:pPr>
        <w:autoSpaceDE w:val="0"/>
        <w:autoSpaceDN w:val="0"/>
        <w:adjustRightInd w:val="0"/>
        <w:rPr>
          <w:rFonts w:ascii="Times New Roman" w:hAnsi="Times New Roman" w:cs="Times New Roman"/>
          <w:b/>
          <w:bCs/>
          <w:color w:val="000000"/>
          <w:sz w:val="22"/>
          <w:szCs w:val="22"/>
        </w:rPr>
      </w:pPr>
    </w:p>
    <w:p w14:paraId="1CAD4455" w14:textId="77777777" w:rsidR="00753F3D" w:rsidRPr="0098446E" w:rsidRDefault="00753F3D" w:rsidP="00753F3D">
      <w:pPr>
        <w:autoSpaceDE w:val="0"/>
        <w:autoSpaceDN w:val="0"/>
        <w:adjustRightInd w:val="0"/>
        <w:rPr>
          <w:rFonts w:ascii="Times New Roman" w:hAnsi="Times New Roman" w:cs="Times New Roman"/>
          <w:b/>
          <w:bCs/>
          <w:color w:val="000000"/>
          <w:sz w:val="22"/>
          <w:szCs w:val="22"/>
        </w:rPr>
      </w:pPr>
      <w:r w:rsidRPr="0098446E">
        <w:rPr>
          <w:rFonts w:ascii="Times New Roman" w:hAnsi="Times New Roman" w:cs="Times New Roman"/>
          <w:b/>
          <w:bCs/>
          <w:color w:val="000000"/>
          <w:sz w:val="22"/>
          <w:szCs w:val="22"/>
        </w:rPr>
        <w:t>Requisitos de otorgamiento de los préstamos:</w:t>
      </w:r>
    </w:p>
    <w:p w14:paraId="3E233070" w14:textId="77777777" w:rsidR="00753F3D" w:rsidRPr="0098446E" w:rsidRDefault="00753F3D" w:rsidP="00753F3D">
      <w:pPr>
        <w:autoSpaceDE w:val="0"/>
        <w:autoSpaceDN w:val="0"/>
        <w:adjustRightInd w:val="0"/>
        <w:rPr>
          <w:rFonts w:ascii="Times New Roman" w:hAnsi="Times New Roman" w:cs="Times New Roman"/>
          <w:color w:val="000000"/>
          <w:sz w:val="22"/>
          <w:szCs w:val="22"/>
        </w:rPr>
      </w:pPr>
    </w:p>
    <w:p w14:paraId="67060BDB" w14:textId="77777777" w:rsidR="00753F3D" w:rsidRPr="0098446E" w:rsidRDefault="00753F3D" w:rsidP="00753F3D">
      <w:pPr>
        <w:pStyle w:val="Default0"/>
        <w:spacing w:after="143"/>
        <w:jc w:val="both"/>
        <w:rPr>
          <w:b/>
          <w:sz w:val="22"/>
          <w:szCs w:val="22"/>
        </w:rPr>
      </w:pPr>
      <w:r w:rsidRPr="0098446E">
        <w:rPr>
          <w:b/>
          <w:sz w:val="22"/>
          <w:szCs w:val="22"/>
        </w:rPr>
        <w:t>Capacidad</w:t>
      </w:r>
    </w:p>
    <w:p w14:paraId="6E01C239" w14:textId="77777777" w:rsidR="00753F3D" w:rsidRPr="0098446E" w:rsidRDefault="00753F3D" w:rsidP="00753F3D">
      <w:pPr>
        <w:autoSpaceDE w:val="0"/>
        <w:autoSpaceDN w:val="0"/>
        <w:adjustRightInd w:val="0"/>
        <w:ind w:left="349"/>
        <w:rPr>
          <w:rFonts w:ascii="Times New Roman" w:hAnsi="Times New Roman" w:cs="Times New Roman"/>
          <w:color w:val="000000"/>
          <w:sz w:val="22"/>
          <w:szCs w:val="22"/>
        </w:rPr>
      </w:pPr>
      <w:r w:rsidRPr="0098446E">
        <w:rPr>
          <w:rFonts w:ascii="Times New Roman" w:hAnsi="Times New Roman" w:cs="Times New Roman"/>
          <w:color w:val="000000"/>
          <w:sz w:val="22"/>
          <w:szCs w:val="22"/>
        </w:rPr>
        <w:t>1. Personas Físicas:</w:t>
      </w:r>
    </w:p>
    <w:p w14:paraId="5484F39A" w14:textId="77777777" w:rsidR="00753F3D" w:rsidRPr="0098446E" w:rsidRDefault="00753F3D" w:rsidP="00753F3D">
      <w:pPr>
        <w:pStyle w:val="Prrafodelista"/>
        <w:numPr>
          <w:ilvl w:val="0"/>
          <w:numId w:val="46"/>
        </w:numPr>
        <w:autoSpaceDE w:val="0"/>
        <w:autoSpaceDN w:val="0"/>
        <w:adjustRightInd w:val="0"/>
        <w:spacing w:after="120"/>
        <w:ind w:left="709" w:hanging="357"/>
        <w:jc w:val="both"/>
        <w:rPr>
          <w:color w:val="000000"/>
          <w:sz w:val="22"/>
          <w:szCs w:val="22"/>
        </w:rPr>
      </w:pPr>
      <w:r w:rsidRPr="0098446E">
        <w:rPr>
          <w:color w:val="000000"/>
          <w:sz w:val="22"/>
          <w:szCs w:val="22"/>
        </w:rPr>
        <w:t>Mayores de 21 años y hasta 79 años.</w:t>
      </w:r>
    </w:p>
    <w:p w14:paraId="0B822E32" w14:textId="77777777" w:rsidR="00753F3D" w:rsidRPr="0098446E" w:rsidRDefault="00753F3D" w:rsidP="00753F3D">
      <w:pPr>
        <w:autoSpaceDE w:val="0"/>
        <w:autoSpaceDN w:val="0"/>
        <w:adjustRightInd w:val="0"/>
        <w:spacing w:after="114"/>
        <w:ind w:left="349"/>
        <w:rPr>
          <w:rFonts w:ascii="Times New Roman" w:hAnsi="Times New Roman" w:cs="Times New Roman"/>
          <w:color w:val="000000"/>
          <w:sz w:val="22"/>
          <w:szCs w:val="22"/>
        </w:rPr>
      </w:pPr>
      <w:r w:rsidRPr="0098446E">
        <w:rPr>
          <w:rFonts w:ascii="Times New Roman" w:hAnsi="Times New Roman" w:cs="Times New Roman"/>
          <w:color w:val="000000"/>
          <w:sz w:val="22"/>
          <w:szCs w:val="22"/>
        </w:rPr>
        <w:t>2. Personas Jurídicas: no se vende.</w:t>
      </w:r>
    </w:p>
    <w:p w14:paraId="1C32E013" w14:textId="77777777" w:rsidR="00753F3D" w:rsidRPr="0098446E" w:rsidRDefault="00753F3D" w:rsidP="00753F3D">
      <w:pPr>
        <w:autoSpaceDE w:val="0"/>
        <w:autoSpaceDN w:val="0"/>
        <w:adjustRightInd w:val="0"/>
        <w:spacing w:after="114"/>
        <w:rPr>
          <w:rFonts w:ascii="Times New Roman" w:hAnsi="Times New Roman" w:cs="Times New Roman"/>
          <w:color w:val="000000"/>
          <w:sz w:val="22"/>
          <w:szCs w:val="22"/>
        </w:rPr>
      </w:pPr>
      <w:r w:rsidRPr="0098446E">
        <w:rPr>
          <w:rFonts w:ascii="Times New Roman" w:hAnsi="Times New Roman" w:cs="Times New Roman"/>
          <w:b/>
          <w:color w:val="000000"/>
          <w:sz w:val="22"/>
          <w:szCs w:val="22"/>
        </w:rPr>
        <w:t>Capital a prestar</w:t>
      </w:r>
      <w:r w:rsidRPr="0098446E">
        <w:rPr>
          <w:rFonts w:ascii="Times New Roman" w:hAnsi="Times New Roman" w:cs="Times New Roman"/>
          <w:color w:val="000000"/>
          <w:sz w:val="22"/>
          <w:szCs w:val="22"/>
        </w:rPr>
        <w:t>: hasta $65.000 según nivel de riesgo.</w:t>
      </w:r>
    </w:p>
    <w:p w14:paraId="66CAFD4F" w14:textId="77777777" w:rsidR="00753F3D" w:rsidRPr="0098446E" w:rsidRDefault="00753F3D" w:rsidP="00753F3D">
      <w:pPr>
        <w:autoSpaceDE w:val="0"/>
        <w:autoSpaceDN w:val="0"/>
        <w:adjustRightInd w:val="0"/>
        <w:spacing w:after="114"/>
        <w:rPr>
          <w:rFonts w:ascii="Times New Roman" w:hAnsi="Times New Roman" w:cs="Times New Roman"/>
          <w:color w:val="000000"/>
          <w:sz w:val="22"/>
          <w:szCs w:val="22"/>
        </w:rPr>
      </w:pPr>
      <w:r w:rsidRPr="0098446E">
        <w:rPr>
          <w:rFonts w:ascii="Times New Roman" w:hAnsi="Times New Roman" w:cs="Times New Roman"/>
          <w:b/>
          <w:color w:val="000000"/>
          <w:sz w:val="22"/>
          <w:szCs w:val="22"/>
        </w:rPr>
        <w:t>Ingresos Límites</w:t>
      </w:r>
      <w:r w:rsidRPr="0098446E">
        <w:rPr>
          <w:rFonts w:ascii="Times New Roman" w:hAnsi="Times New Roman" w:cs="Times New Roman"/>
          <w:color w:val="000000"/>
          <w:sz w:val="22"/>
          <w:szCs w:val="22"/>
        </w:rPr>
        <w:t>: hasta 5 ingresos; máximo capital otorgado acumulado.</w:t>
      </w:r>
    </w:p>
    <w:p w14:paraId="1464B9AF" w14:textId="77777777" w:rsidR="00753F3D" w:rsidRPr="0098446E" w:rsidRDefault="00753F3D" w:rsidP="00753F3D">
      <w:pPr>
        <w:autoSpaceDE w:val="0"/>
        <w:autoSpaceDN w:val="0"/>
        <w:adjustRightInd w:val="0"/>
        <w:spacing w:after="114"/>
        <w:rPr>
          <w:rFonts w:ascii="Times New Roman" w:hAnsi="Times New Roman" w:cs="Times New Roman"/>
          <w:color w:val="000000"/>
          <w:sz w:val="22"/>
          <w:szCs w:val="22"/>
        </w:rPr>
      </w:pPr>
      <w:r w:rsidRPr="0098446E">
        <w:rPr>
          <w:rFonts w:ascii="Times New Roman" w:hAnsi="Times New Roman" w:cs="Times New Roman"/>
          <w:b/>
          <w:color w:val="000000"/>
          <w:sz w:val="22"/>
          <w:szCs w:val="22"/>
        </w:rPr>
        <w:t>Plazo</w:t>
      </w:r>
      <w:r w:rsidRPr="0098446E">
        <w:rPr>
          <w:rFonts w:ascii="Times New Roman" w:hAnsi="Times New Roman" w:cs="Times New Roman"/>
          <w:color w:val="000000"/>
          <w:sz w:val="22"/>
          <w:szCs w:val="22"/>
        </w:rPr>
        <w:t>: hasta 24 cuotas.</w:t>
      </w:r>
    </w:p>
    <w:p w14:paraId="77343D52" w14:textId="77777777" w:rsidR="00753F3D" w:rsidRPr="0098446E" w:rsidRDefault="00753F3D" w:rsidP="00753F3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color w:val="000000"/>
          <w:sz w:val="22"/>
          <w:szCs w:val="22"/>
        </w:rPr>
        <w:t>Antigüedad</w:t>
      </w:r>
      <w:r w:rsidRPr="0098446E">
        <w:rPr>
          <w:rFonts w:ascii="Times New Roman" w:hAnsi="Times New Roman" w:cs="Times New Roman"/>
          <w:color w:val="000000"/>
          <w:sz w:val="22"/>
          <w:szCs w:val="22"/>
        </w:rPr>
        <w:t>:</w:t>
      </w:r>
    </w:p>
    <w:p w14:paraId="2A216F52" w14:textId="77777777" w:rsidR="00753F3D" w:rsidRPr="0098446E" w:rsidRDefault="00753F3D" w:rsidP="00753F3D">
      <w:pPr>
        <w:pStyle w:val="Prrafodelista"/>
        <w:numPr>
          <w:ilvl w:val="0"/>
          <w:numId w:val="46"/>
        </w:numPr>
        <w:autoSpaceDE w:val="0"/>
        <w:autoSpaceDN w:val="0"/>
        <w:adjustRightInd w:val="0"/>
        <w:spacing w:after="261"/>
        <w:ind w:left="709"/>
        <w:jc w:val="both"/>
        <w:rPr>
          <w:color w:val="000000"/>
          <w:sz w:val="22"/>
          <w:szCs w:val="22"/>
        </w:rPr>
      </w:pPr>
      <w:r w:rsidRPr="0098446E">
        <w:rPr>
          <w:color w:val="000000"/>
          <w:sz w:val="22"/>
          <w:szCs w:val="22"/>
        </w:rPr>
        <w:t>Se requiere antigüedad mínima de 12 meses.</w:t>
      </w:r>
    </w:p>
    <w:p w14:paraId="2D476287" w14:textId="72043870" w:rsidR="00CC4402" w:rsidRPr="0098446E" w:rsidRDefault="00CC4402" w:rsidP="00502438">
      <w:pPr>
        <w:spacing w:before="240" w:after="120"/>
        <w:ind w:left="1080"/>
        <w:rPr>
          <w:rFonts w:ascii="Times New Roman" w:hAnsi="Times New Roman" w:cs="Times New Roman"/>
          <w:color w:val="0D0D0D"/>
          <w:sz w:val="22"/>
          <w:szCs w:val="22"/>
        </w:rPr>
      </w:pPr>
    </w:p>
    <w:p w14:paraId="572AD20E" w14:textId="77777777" w:rsidR="00753F3D" w:rsidRPr="0098446E" w:rsidRDefault="00753F3D" w:rsidP="00502438">
      <w:pPr>
        <w:spacing w:before="240" w:after="120"/>
        <w:ind w:left="1080"/>
        <w:rPr>
          <w:rFonts w:ascii="Times New Roman" w:hAnsi="Times New Roman" w:cs="Times New Roman"/>
          <w:color w:val="0D0D0D"/>
          <w:sz w:val="22"/>
          <w:szCs w:val="22"/>
        </w:rPr>
      </w:pPr>
    </w:p>
    <w:p w14:paraId="4CAF2349" w14:textId="77777777" w:rsidR="00F74B80" w:rsidRPr="00506990" w:rsidRDefault="00F74B80">
      <w:pPr>
        <w:rPr>
          <w:rFonts w:ascii="Times New Roman" w:hAnsi="Times New Roman" w:cs="Times New Roman"/>
          <w:color w:val="0D0D0D" w:themeColor="text1" w:themeTint="F2"/>
          <w:sz w:val="22"/>
          <w:szCs w:val="22"/>
        </w:rPr>
      </w:pPr>
    </w:p>
    <w:p w14:paraId="1F5CEBB1" w14:textId="77777777" w:rsidR="00E64FCD" w:rsidRPr="00506990" w:rsidRDefault="00E64FCD" w:rsidP="00F77F79">
      <w:pPr>
        <w:spacing w:before="120" w:after="200"/>
        <w:rPr>
          <w:rFonts w:ascii="Times New Roman" w:hAnsi="Times New Roman" w:cs="Times New Roman"/>
          <w:color w:val="0D0D0D" w:themeColor="text1" w:themeTint="F2"/>
          <w:sz w:val="22"/>
          <w:szCs w:val="22"/>
        </w:rPr>
      </w:pPr>
    </w:p>
    <w:p w14:paraId="2A453B64" w14:textId="77777777" w:rsidR="00E64FCD" w:rsidRPr="0098446E" w:rsidRDefault="00E64FCD" w:rsidP="00E64FCD">
      <w:pPr>
        <w:shd w:val="clear" w:color="auto" w:fill="BFBFBF" w:themeFill="background1" w:themeFillShade="BF"/>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bCs/>
          <w:color w:val="000000"/>
          <w:sz w:val="22"/>
          <w:szCs w:val="22"/>
        </w:rPr>
        <w:t>BAZAR AVENIDA S.A. / CONSUMO S.A. - PROCEDIMIENTO DE COBRANZAS</w:t>
      </w:r>
    </w:p>
    <w:p w14:paraId="3D043C7A" w14:textId="77777777" w:rsidR="00E64FCD" w:rsidRPr="0098446E" w:rsidRDefault="00E64FCD" w:rsidP="00E64FCD">
      <w:pPr>
        <w:autoSpaceDE w:val="0"/>
        <w:autoSpaceDN w:val="0"/>
        <w:adjustRightInd w:val="0"/>
        <w:rPr>
          <w:rFonts w:ascii="Times New Roman" w:hAnsi="Times New Roman" w:cs="Times New Roman"/>
          <w:b/>
          <w:bCs/>
          <w:color w:val="000000"/>
          <w:sz w:val="22"/>
          <w:szCs w:val="22"/>
        </w:rPr>
      </w:pPr>
    </w:p>
    <w:p w14:paraId="6690E34B"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bCs/>
          <w:color w:val="000000"/>
          <w:sz w:val="22"/>
          <w:szCs w:val="22"/>
        </w:rPr>
        <w:t xml:space="preserve">Vencimiento cuotas: </w:t>
      </w:r>
    </w:p>
    <w:p w14:paraId="5F6C9F51"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color w:val="000000"/>
          <w:sz w:val="22"/>
          <w:szCs w:val="22"/>
        </w:rPr>
        <w:t xml:space="preserve">Las cuotas vencen el día 1 de cada mes. </w:t>
      </w:r>
    </w:p>
    <w:p w14:paraId="6528D5EB" w14:textId="77777777" w:rsidR="00E64FCD" w:rsidRPr="0098446E" w:rsidRDefault="00E64FCD" w:rsidP="00E64FCD">
      <w:pPr>
        <w:autoSpaceDE w:val="0"/>
        <w:autoSpaceDN w:val="0"/>
        <w:adjustRightInd w:val="0"/>
        <w:rPr>
          <w:rFonts w:ascii="Times New Roman" w:hAnsi="Times New Roman" w:cs="Times New Roman"/>
          <w:b/>
          <w:bCs/>
          <w:color w:val="000000"/>
          <w:sz w:val="22"/>
          <w:szCs w:val="22"/>
        </w:rPr>
      </w:pPr>
    </w:p>
    <w:p w14:paraId="6AA37CFF"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b/>
          <w:bCs/>
          <w:color w:val="000000"/>
          <w:sz w:val="22"/>
          <w:szCs w:val="22"/>
        </w:rPr>
        <w:t xml:space="preserve">Lugares y mecanismos de cobro de cuotas: </w:t>
      </w:r>
    </w:p>
    <w:p w14:paraId="1CFF40AB" w14:textId="77777777" w:rsidR="00E64FCD" w:rsidRPr="0098446E" w:rsidRDefault="00E64FCD" w:rsidP="00E64FCD">
      <w:pPr>
        <w:autoSpaceDE w:val="0"/>
        <w:autoSpaceDN w:val="0"/>
        <w:adjustRightInd w:val="0"/>
        <w:spacing w:after="84"/>
        <w:rPr>
          <w:rFonts w:ascii="Times New Roman" w:hAnsi="Times New Roman" w:cs="Times New Roman"/>
          <w:color w:val="000000"/>
          <w:sz w:val="22"/>
          <w:szCs w:val="22"/>
        </w:rPr>
      </w:pPr>
      <w:r w:rsidRPr="0098446E">
        <w:rPr>
          <w:rFonts w:ascii="Times New Roman" w:hAnsi="Times New Roman" w:cs="Times New Roman"/>
          <w:color w:val="000000"/>
          <w:sz w:val="22"/>
          <w:szCs w:val="22"/>
        </w:rPr>
        <w:t xml:space="preserve">1. En las bocas habilitadas de la red de Cobro Express (TINSA S.A.) </w:t>
      </w:r>
    </w:p>
    <w:p w14:paraId="0760A788" w14:textId="77777777" w:rsidR="00E64FCD" w:rsidRPr="0098446E" w:rsidRDefault="00E64FCD" w:rsidP="00E64FCD">
      <w:pPr>
        <w:autoSpaceDE w:val="0"/>
        <w:autoSpaceDN w:val="0"/>
        <w:adjustRightInd w:val="0"/>
        <w:spacing w:after="84"/>
        <w:rPr>
          <w:rFonts w:ascii="Times New Roman" w:hAnsi="Times New Roman" w:cs="Times New Roman"/>
          <w:color w:val="000000"/>
          <w:sz w:val="22"/>
          <w:szCs w:val="22"/>
        </w:rPr>
      </w:pPr>
      <w:r w:rsidRPr="0098446E">
        <w:rPr>
          <w:rFonts w:ascii="Times New Roman" w:hAnsi="Times New Roman" w:cs="Times New Roman"/>
          <w:color w:val="000000"/>
          <w:sz w:val="22"/>
          <w:szCs w:val="22"/>
        </w:rPr>
        <w:t xml:space="preserve">2. En las bocas habilitadas de los Agentes Externos de Recaudación subcontratados por TINSA S.A. </w:t>
      </w:r>
    </w:p>
    <w:p w14:paraId="2207C3DB" w14:textId="77777777" w:rsidR="00E64FCD" w:rsidRPr="0098446E" w:rsidRDefault="00E64FCD" w:rsidP="00E64FCD">
      <w:pPr>
        <w:autoSpaceDE w:val="0"/>
        <w:autoSpaceDN w:val="0"/>
        <w:adjustRightInd w:val="0"/>
        <w:spacing w:after="84"/>
        <w:rPr>
          <w:rFonts w:ascii="Times New Roman" w:hAnsi="Times New Roman" w:cs="Times New Roman"/>
          <w:color w:val="000000"/>
          <w:sz w:val="22"/>
          <w:szCs w:val="22"/>
        </w:rPr>
      </w:pPr>
      <w:r w:rsidRPr="0098446E">
        <w:rPr>
          <w:rFonts w:ascii="Times New Roman" w:hAnsi="Times New Roman" w:cs="Times New Roman"/>
          <w:color w:val="000000"/>
          <w:sz w:val="22"/>
          <w:szCs w:val="22"/>
        </w:rPr>
        <w:t xml:space="preserve">3. Transferencia Bancaria a cuentas de Cobro Express (TINSA S.A.) </w:t>
      </w:r>
    </w:p>
    <w:p w14:paraId="1EF16BEC"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r w:rsidRPr="0098446E">
        <w:rPr>
          <w:rFonts w:ascii="Times New Roman" w:hAnsi="Times New Roman" w:cs="Times New Roman"/>
          <w:color w:val="000000"/>
          <w:sz w:val="22"/>
          <w:szCs w:val="22"/>
        </w:rPr>
        <w:t>4. Depósito Bancario a cuentas de Cobro Express (TINSA S.A.)</w:t>
      </w:r>
    </w:p>
    <w:p w14:paraId="2EC5FB87" w14:textId="77777777" w:rsidR="00E64FCD" w:rsidRPr="0098446E" w:rsidRDefault="00E64FCD" w:rsidP="00E64FCD">
      <w:pPr>
        <w:autoSpaceDE w:val="0"/>
        <w:autoSpaceDN w:val="0"/>
        <w:adjustRightInd w:val="0"/>
        <w:rPr>
          <w:rFonts w:ascii="Times New Roman" w:hAnsi="Times New Roman" w:cs="Times New Roman"/>
          <w:color w:val="000000"/>
          <w:sz w:val="22"/>
          <w:szCs w:val="22"/>
        </w:rPr>
      </w:pPr>
    </w:p>
    <w:p w14:paraId="7C4F25C2" w14:textId="77777777" w:rsidR="00E64FCD" w:rsidRPr="0098446E" w:rsidRDefault="00E64FCD" w:rsidP="00E64FCD">
      <w:pPr>
        <w:rPr>
          <w:rFonts w:ascii="Times New Roman" w:hAnsi="Times New Roman" w:cs="Times New Roman"/>
          <w:color w:val="000000"/>
          <w:sz w:val="22"/>
          <w:szCs w:val="22"/>
        </w:rPr>
      </w:pPr>
      <w:r w:rsidRPr="0098446E">
        <w:rPr>
          <w:rFonts w:ascii="Times New Roman" w:hAnsi="Times New Roman" w:cs="Times New Roman"/>
          <w:color w:val="000000"/>
          <w:sz w:val="22"/>
          <w:szCs w:val="22"/>
        </w:rPr>
        <w:t>El cliente recibe mensualmente Resumen de Cuenta vía correo electrónico con detalle de las cuotas a abonar, gastos e intereses punitorios, si correspondieran en caso de atraso. El resumen de Cuenta puede obtenerse, también, ingresando a la página web de Megatone.</w:t>
      </w:r>
    </w:p>
    <w:p w14:paraId="03687AC4" w14:textId="77777777" w:rsidR="00E64FCD" w:rsidRPr="0098446E" w:rsidRDefault="00E64FCD" w:rsidP="00E64FCD">
      <w:pPr>
        <w:pStyle w:val="Default0"/>
        <w:jc w:val="both"/>
        <w:rPr>
          <w:b/>
          <w:bCs/>
          <w:sz w:val="22"/>
          <w:szCs w:val="22"/>
        </w:rPr>
      </w:pPr>
    </w:p>
    <w:p w14:paraId="5A3A6B45" w14:textId="77777777" w:rsidR="00E64FCD" w:rsidRPr="0098446E" w:rsidRDefault="00E64FCD" w:rsidP="00E64FCD">
      <w:pPr>
        <w:pStyle w:val="Default0"/>
        <w:jc w:val="both"/>
        <w:rPr>
          <w:sz w:val="22"/>
          <w:szCs w:val="22"/>
        </w:rPr>
      </w:pPr>
      <w:r w:rsidRPr="0098446E">
        <w:rPr>
          <w:b/>
          <w:bCs/>
          <w:sz w:val="22"/>
          <w:szCs w:val="22"/>
        </w:rPr>
        <w:t xml:space="preserve">Proceso de reclamo y cobranza de cuentas en mora: </w:t>
      </w:r>
    </w:p>
    <w:p w14:paraId="0E322D81" w14:textId="77777777" w:rsidR="00E64FCD" w:rsidRPr="0098446E" w:rsidRDefault="00E64FCD" w:rsidP="00E64FCD">
      <w:pPr>
        <w:pStyle w:val="Default0"/>
        <w:jc w:val="both"/>
        <w:rPr>
          <w:sz w:val="22"/>
          <w:szCs w:val="22"/>
        </w:rPr>
      </w:pPr>
      <w:r w:rsidRPr="0098446E">
        <w:rPr>
          <w:b/>
          <w:bCs/>
          <w:sz w:val="22"/>
          <w:szCs w:val="22"/>
        </w:rPr>
        <w:t xml:space="preserve">Vencimientos: </w:t>
      </w:r>
    </w:p>
    <w:p w14:paraId="360875DF" w14:textId="77777777" w:rsidR="00E64FCD" w:rsidRPr="0098446E" w:rsidRDefault="00E64FCD" w:rsidP="00E64FCD">
      <w:pPr>
        <w:pStyle w:val="Default0"/>
        <w:jc w:val="both"/>
        <w:rPr>
          <w:sz w:val="22"/>
          <w:szCs w:val="22"/>
        </w:rPr>
      </w:pPr>
      <w:r w:rsidRPr="0098446E">
        <w:rPr>
          <w:sz w:val="22"/>
          <w:szCs w:val="22"/>
        </w:rPr>
        <w:t xml:space="preserve">Un crédito se constituye en mora cuando no fue abonada la cuota a partir del día 11 de operado un vencimiento sin haber registrado pago. </w:t>
      </w:r>
    </w:p>
    <w:p w14:paraId="7D9EB4D7" w14:textId="77777777" w:rsidR="00E64FCD" w:rsidRPr="0098446E" w:rsidRDefault="00E64FCD" w:rsidP="00E64FCD">
      <w:pPr>
        <w:pStyle w:val="Default0"/>
        <w:jc w:val="both"/>
        <w:rPr>
          <w:sz w:val="22"/>
          <w:szCs w:val="22"/>
        </w:rPr>
      </w:pPr>
      <w:r w:rsidRPr="0098446E">
        <w:rPr>
          <w:sz w:val="22"/>
          <w:szCs w:val="22"/>
        </w:rPr>
        <w:t xml:space="preserve">A partir del día 12 de operado el vencimiento sin haber percibido cobranza, comienzan entonces las acciones de reclamo. </w:t>
      </w:r>
    </w:p>
    <w:p w14:paraId="4C8C8B39" w14:textId="77777777" w:rsidR="00E64FCD" w:rsidRPr="0098446E" w:rsidRDefault="00E64FCD" w:rsidP="00E64FCD">
      <w:pPr>
        <w:pStyle w:val="Default0"/>
        <w:spacing w:after="136"/>
        <w:jc w:val="both"/>
        <w:rPr>
          <w:sz w:val="22"/>
          <w:szCs w:val="22"/>
        </w:rPr>
      </w:pPr>
    </w:p>
    <w:p w14:paraId="46C5F1EF" w14:textId="77777777" w:rsidR="00E64FCD" w:rsidRPr="0098446E" w:rsidRDefault="00E64FCD" w:rsidP="00E64FCD">
      <w:pPr>
        <w:pStyle w:val="Default0"/>
        <w:spacing w:after="136"/>
        <w:jc w:val="both"/>
        <w:rPr>
          <w:sz w:val="22"/>
          <w:szCs w:val="22"/>
        </w:rPr>
      </w:pPr>
      <w:r w:rsidRPr="0098446E">
        <w:rPr>
          <w:b/>
          <w:bCs/>
          <w:sz w:val="22"/>
          <w:szCs w:val="22"/>
        </w:rPr>
        <w:t xml:space="preserve">Gestión de reclamo de clientes en mora: </w:t>
      </w:r>
    </w:p>
    <w:p w14:paraId="32DF2AB4" w14:textId="77777777" w:rsidR="00E64FCD" w:rsidRPr="0098446E" w:rsidRDefault="00E64FCD" w:rsidP="00E64FCD">
      <w:pPr>
        <w:pStyle w:val="Default0"/>
        <w:jc w:val="both"/>
        <w:rPr>
          <w:sz w:val="22"/>
          <w:szCs w:val="22"/>
        </w:rPr>
      </w:pPr>
      <w:r w:rsidRPr="0098446E">
        <w:rPr>
          <w:sz w:val="22"/>
          <w:szCs w:val="22"/>
        </w:rPr>
        <w:t xml:space="preserve">1. </w:t>
      </w:r>
      <w:r w:rsidRPr="0098446E">
        <w:rPr>
          <w:b/>
          <w:bCs/>
          <w:sz w:val="22"/>
          <w:szCs w:val="22"/>
        </w:rPr>
        <w:t>Segmentación de clientes</w:t>
      </w:r>
      <w:r w:rsidRPr="0098446E">
        <w:rPr>
          <w:sz w:val="22"/>
          <w:szCs w:val="22"/>
        </w:rPr>
        <w:t xml:space="preserve">: </w:t>
      </w:r>
    </w:p>
    <w:p w14:paraId="3675FCCE" w14:textId="77777777" w:rsidR="00E64FCD" w:rsidRPr="0098446E" w:rsidRDefault="00E64FCD" w:rsidP="00E64FCD">
      <w:pPr>
        <w:pStyle w:val="Default0"/>
        <w:jc w:val="both"/>
        <w:rPr>
          <w:sz w:val="22"/>
          <w:szCs w:val="22"/>
        </w:rPr>
      </w:pPr>
    </w:p>
    <w:p w14:paraId="67703443" w14:textId="77777777" w:rsidR="00E64FCD" w:rsidRPr="0098446E" w:rsidRDefault="00E64FCD" w:rsidP="00E64FCD">
      <w:pPr>
        <w:pStyle w:val="Default0"/>
        <w:jc w:val="both"/>
        <w:rPr>
          <w:sz w:val="22"/>
          <w:szCs w:val="22"/>
        </w:rPr>
      </w:pPr>
      <w:r w:rsidRPr="0098446E">
        <w:rPr>
          <w:sz w:val="22"/>
          <w:szCs w:val="22"/>
        </w:rPr>
        <w:t xml:space="preserve">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 </w:t>
      </w:r>
    </w:p>
    <w:p w14:paraId="5691EED7" w14:textId="77777777" w:rsidR="00E64FCD" w:rsidRPr="0098446E" w:rsidRDefault="00E64FCD" w:rsidP="00E64FCD">
      <w:pPr>
        <w:pStyle w:val="Default0"/>
        <w:jc w:val="both"/>
        <w:rPr>
          <w:sz w:val="22"/>
          <w:szCs w:val="22"/>
        </w:rPr>
      </w:pPr>
      <w:r w:rsidRPr="0098446E">
        <w:rPr>
          <w:sz w:val="22"/>
          <w:szCs w:val="22"/>
        </w:rPr>
        <w:t>Esta segmentación define el nivel de las acciones de reclamo (tipo y escalonamiento) registrado el vencimiento:</w:t>
      </w:r>
    </w:p>
    <w:p w14:paraId="37849BA7" w14:textId="77777777" w:rsidR="00E64FCD" w:rsidRPr="0098446E" w:rsidRDefault="00E64FCD" w:rsidP="00E64FCD">
      <w:pPr>
        <w:pStyle w:val="Default0"/>
        <w:jc w:val="both"/>
        <w:rPr>
          <w:sz w:val="22"/>
          <w:szCs w:val="22"/>
        </w:rPr>
      </w:pPr>
    </w:p>
    <w:p w14:paraId="75541E92" w14:textId="77777777" w:rsidR="00E64FCD" w:rsidRPr="0098446E" w:rsidRDefault="00E64FCD" w:rsidP="00E64FCD">
      <w:pPr>
        <w:pStyle w:val="Default0"/>
        <w:spacing w:after="86"/>
        <w:jc w:val="both"/>
        <w:rPr>
          <w:sz w:val="22"/>
          <w:szCs w:val="22"/>
        </w:rPr>
      </w:pPr>
      <w:r w:rsidRPr="0098446E">
        <w:rPr>
          <w:sz w:val="22"/>
          <w:szCs w:val="22"/>
        </w:rPr>
        <w:t xml:space="preserve">– Mensajes de texto </w:t>
      </w:r>
    </w:p>
    <w:p w14:paraId="3725BD20" w14:textId="77777777" w:rsidR="00E64FCD" w:rsidRPr="0098446E" w:rsidRDefault="00E64FCD" w:rsidP="00E64FCD">
      <w:pPr>
        <w:pStyle w:val="Default0"/>
        <w:spacing w:after="86"/>
        <w:jc w:val="both"/>
        <w:rPr>
          <w:sz w:val="22"/>
          <w:szCs w:val="22"/>
        </w:rPr>
      </w:pPr>
      <w:r w:rsidRPr="0098446E">
        <w:rPr>
          <w:sz w:val="22"/>
          <w:szCs w:val="22"/>
        </w:rPr>
        <w:t xml:space="preserve">– Mensaje telefónico de voz </w:t>
      </w:r>
    </w:p>
    <w:p w14:paraId="3DD558A8" w14:textId="77777777" w:rsidR="00E64FCD" w:rsidRPr="0098446E" w:rsidRDefault="00E64FCD" w:rsidP="00E64FCD">
      <w:pPr>
        <w:pStyle w:val="Default0"/>
        <w:spacing w:after="86"/>
        <w:jc w:val="both"/>
        <w:rPr>
          <w:sz w:val="22"/>
          <w:szCs w:val="22"/>
        </w:rPr>
      </w:pPr>
      <w:r w:rsidRPr="0098446E">
        <w:rPr>
          <w:sz w:val="22"/>
          <w:szCs w:val="22"/>
        </w:rPr>
        <w:t xml:space="preserve">– Llamados a teléfonos particulares </w:t>
      </w:r>
    </w:p>
    <w:p w14:paraId="3CB6EB51" w14:textId="77777777" w:rsidR="00E64FCD" w:rsidRPr="0098446E" w:rsidRDefault="00E64FCD" w:rsidP="00E64FCD">
      <w:pPr>
        <w:pStyle w:val="Default0"/>
        <w:spacing w:after="86"/>
        <w:jc w:val="both"/>
        <w:rPr>
          <w:sz w:val="22"/>
          <w:szCs w:val="22"/>
        </w:rPr>
      </w:pPr>
      <w:r w:rsidRPr="0098446E">
        <w:rPr>
          <w:sz w:val="22"/>
          <w:szCs w:val="22"/>
        </w:rPr>
        <w:t xml:space="preserve">– Llamados a teléfonos laborales </w:t>
      </w:r>
    </w:p>
    <w:p w14:paraId="506E4470" w14:textId="77777777" w:rsidR="00E64FCD" w:rsidRPr="0098446E" w:rsidRDefault="00E64FCD" w:rsidP="00E64FCD">
      <w:pPr>
        <w:pStyle w:val="Default0"/>
        <w:spacing w:after="86"/>
        <w:jc w:val="both"/>
        <w:rPr>
          <w:sz w:val="22"/>
          <w:szCs w:val="22"/>
        </w:rPr>
      </w:pPr>
      <w:r w:rsidRPr="0098446E">
        <w:rPr>
          <w:sz w:val="22"/>
          <w:szCs w:val="22"/>
        </w:rPr>
        <w:t xml:space="preserve">– Llamados a teléfonos vinculados (familiares o de referencia) </w:t>
      </w:r>
    </w:p>
    <w:p w14:paraId="31445780" w14:textId="77777777" w:rsidR="00E64FCD" w:rsidRPr="0098446E" w:rsidRDefault="00E64FCD" w:rsidP="00E64FCD">
      <w:pPr>
        <w:pStyle w:val="Default0"/>
        <w:spacing w:after="86"/>
        <w:jc w:val="both"/>
        <w:rPr>
          <w:sz w:val="22"/>
          <w:szCs w:val="22"/>
        </w:rPr>
      </w:pPr>
      <w:r w:rsidRPr="0098446E">
        <w:rPr>
          <w:sz w:val="22"/>
          <w:szCs w:val="22"/>
        </w:rPr>
        <w:t xml:space="preserve">– Cartas </w:t>
      </w:r>
    </w:p>
    <w:p w14:paraId="25DDA909" w14:textId="77777777" w:rsidR="00E64FCD" w:rsidRPr="0098446E" w:rsidRDefault="00E64FCD" w:rsidP="00E64FCD">
      <w:pPr>
        <w:pStyle w:val="Default0"/>
        <w:jc w:val="both"/>
        <w:rPr>
          <w:sz w:val="22"/>
          <w:szCs w:val="22"/>
        </w:rPr>
      </w:pPr>
      <w:r w:rsidRPr="0098446E">
        <w:rPr>
          <w:sz w:val="22"/>
          <w:szCs w:val="22"/>
        </w:rPr>
        <w:t xml:space="preserve">– Llamados preventivos informando de próximos vencimientos </w:t>
      </w:r>
    </w:p>
    <w:p w14:paraId="43AA8873" w14:textId="77777777" w:rsidR="00E64FCD" w:rsidRPr="0098446E" w:rsidRDefault="00E64FCD" w:rsidP="00E64FCD">
      <w:pPr>
        <w:pStyle w:val="Default0"/>
        <w:jc w:val="both"/>
        <w:rPr>
          <w:sz w:val="22"/>
          <w:szCs w:val="22"/>
        </w:rPr>
      </w:pPr>
    </w:p>
    <w:p w14:paraId="004176E1" w14:textId="77777777" w:rsidR="00E64FCD" w:rsidRPr="0098446E" w:rsidRDefault="00E64FCD" w:rsidP="00E64FCD">
      <w:pPr>
        <w:pStyle w:val="Default0"/>
        <w:jc w:val="both"/>
        <w:rPr>
          <w:sz w:val="22"/>
          <w:szCs w:val="22"/>
        </w:rPr>
      </w:pPr>
      <w:r w:rsidRPr="0098446E">
        <w:rPr>
          <w:sz w:val="22"/>
          <w:szCs w:val="22"/>
        </w:rPr>
        <w:t xml:space="preserve">Esta metodología de trabajo impacta muy positivamente en el recupero de cuentas bajando sustancialmente el porcentaje de mora, al poder concentrar los esfuerzos de gestión según la probabilidad de morosidad de la cuenta. </w:t>
      </w:r>
    </w:p>
    <w:p w14:paraId="6A7A33B5" w14:textId="77777777" w:rsidR="00E64FCD" w:rsidRPr="0098446E" w:rsidRDefault="00E64FCD" w:rsidP="00E64FCD">
      <w:pPr>
        <w:pStyle w:val="Default0"/>
        <w:spacing w:after="198"/>
        <w:jc w:val="both"/>
        <w:rPr>
          <w:b/>
          <w:bCs/>
          <w:sz w:val="22"/>
          <w:szCs w:val="22"/>
        </w:rPr>
      </w:pPr>
    </w:p>
    <w:p w14:paraId="6D1E99C5" w14:textId="77777777" w:rsidR="00E64FCD" w:rsidRPr="0098446E" w:rsidRDefault="00E64FCD" w:rsidP="00E64FCD">
      <w:pPr>
        <w:pStyle w:val="Default0"/>
        <w:spacing w:after="198"/>
        <w:jc w:val="both"/>
        <w:rPr>
          <w:sz w:val="22"/>
          <w:szCs w:val="22"/>
        </w:rPr>
      </w:pPr>
      <w:r w:rsidRPr="0098446E">
        <w:rPr>
          <w:b/>
          <w:bCs/>
          <w:sz w:val="22"/>
          <w:szCs w:val="22"/>
        </w:rPr>
        <w:t xml:space="preserve">2. Acciones de reclamo y cobranza </w:t>
      </w:r>
    </w:p>
    <w:p w14:paraId="49FDFBD3" w14:textId="77777777" w:rsidR="00E64FCD" w:rsidRPr="0098446E" w:rsidRDefault="00E64FCD" w:rsidP="00E64FCD">
      <w:pPr>
        <w:pStyle w:val="Default0"/>
        <w:spacing w:after="198"/>
        <w:jc w:val="both"/>
        <w:rPr>
          <w:sz w:val="22"/>
          <w:szCs w:val="22"/>
        </w:rPr>
      </w:pPr>
      <w:r w:rsidRPr="0098446E">
        <w:rPr>
          <w:sz w:val="22"/>
          <w:szCs w:val="22"/>
        </w:rPr>
        <w:t xml:space="preserve">a. </w:t>
      </w:r>
      <w:r w:rsidRPr="0098446E">
        <w:rPr>
          <w:b/>
          <w:bCs/>
          <w:sz w:val="22"/>
          <w:szCs w:val="22"/>
        </w:rPr>
        <w:t>Departamento Centralizado de Cobranzas</w:t>
      </w:r>
      <w:r w:rsidRPr="0098446E">
        <w:rPr>
          <w:sz w:val="22"/>
          <w:szCs w:val="22"/>
        </w:rPr>
        <w:t xml:space="preserve">: </w:t>
      </w:r>
    </w:p>
    <w:p w14:paraId="2FB29ECD" w14:textId="77777777" w:rsidR="00E64FCD" w:rsidRPr="0098446E" w:rsidRDefault="00E64FCD" w:rsidP="00E64FCD">
      <w:pPr>
        <w:pStyle w:val="Default0"/>
        <w:numPr>
          <w:ilvl w:val="0"/>
          <w:numId w:val="43"/>
        </w:numPr>
        <w:ind w:left="426"/>
        <w:jc w:val="both"/>
        <w:rPr>
          <w:sz w:val="22"/>
          <w:szCs w:val="22"/>
        </w:rPr>
      </w:pPr>
      <w:r w:rsidRPr="0098446E">
        <w:rPr>
          <w:b/>
          <w:bCs/>
          <w:sz w:val="22"/>
          <w:szCs w:val="22"/>
        </w:rPr>
        <w:t>Mora Temprana</w:t>
      </w:r>
      <w:r w:rsidRPr="0098446E">
        <w:rPr>
          <w:sz w:val="22"/>
          <w:szCs w:val="22"/>
        </w:rPr>
        <w:t xml:space="preserve">: de 12 a 90 días de mora. </w:t>
      </w:r>
    </w:p>
    <w:p w14:paraId="7282ED72"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Llamados Telefónicos con diferentes mensajes diseñados por días de atraso. Se utiliza sistema predictivo U-contact,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23DC197D"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Acciones masivas por IVR y/o mensajes de voz y/o whatsapp y/o e-mail. </w:t>
      </w:r>
    </w:p>
    <w:p w14:paraId="4DCA999D"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Envío de Cartas </w:t>
      </w:r>
    </w:p>
    <w:p w14:paraId="707407A1" w14:textId="77777777" w:rsidR="00E64FCD" w:rsidRPr="0098446E" w:rsidRDefault="00E64FCD" w:rsidP="00E64FCD">
      <w:pPr>
        <w:pStyle w:val="Default0"/>
        <w:jc w:val="both"/>
        <w:rPr>
          <w:sz w:val="22"/>
          <w:szCs w:val="22"/>
        </w:rPr>
      </w:pPr>
    </w:p>
    <w:p w14:paraId="2E55A566" w14:textId="77777777" w:rsidR="00E64FCD" w:rsidRPr="0098446E" w:rsidRDefault="00E64FCD" w:rsidP="00E64FCD">
      <w:pPr>
        <w:pStyle w:val="Default0"/>
        <w:numPr>
          <w:ilvl w:val="0"/>
          <w:numId w:val="43"/>
        </w:numPr>
        <w:ind w:left="426"/>
        <w:jc w:val="both"/>
        <w:rPr>
          <w:b/>
          <w:bCs/>
          <w:sz w:val="22"/>
          <w:szCs w:val="22"/>
        </w:rPr>
      </w:pPr>
      <w:r w:rsidRPr="0098446E">
        <w:rPr>
          <w:b/>
          <w:bCs/>
          <w:sz w:val="22"/>
          <w:szCs w:val="22"/>
        </w:rPr>
        <w:t xml:space="preserve">Mora Avanzada: De 91 a 120 días de mora: </w:t>
      </w:r>
    </w:p>
    <w:p w14:paraId="26B701EA"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Llamados Telefónicos </w:t>
      </w:r>
    </w:p>
    <w:p w14:paraId="55D128E7"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Acciones masivas por IVR y/o mensajes de voz y/o e-mail. </w:t>
      </w:r>
    </w:p>
    <w:p w14:paraId="541AF6EA" w14:textId="77777777" w:rsidR="00E64FCD" w:rsidRPr="0098446E" w:rsidRDefault="00E64FCD" w:rsidP="00E64FCD">
      <w:pPr>
        <w:pStyle w:val="Default0"/>
        <w:numPr>
          <w:ilvl w:val="1"/>
          <w:numId w:val="43"/>
        </w:numPr>
        <w:spacing w:after="68"/>
        <w:jc w:val="both"/>
        <w:rPr>
          <w:sz w:val="22"/>
          <w:szCs w:val="22"/>
        </w:rPr>
      </w:pPr>
      <w:r w:rsidRPr="0098446E">
        <w:rPr>
          <w:sz w:val="22"/>
          <w:szCs w:val="22"/>
        </w:rPr>
        <w:t xml:space="preserve">Envío de Cartas </w:t>
      </w:r>
    </w:p>
    <w:p w14:paraId="297F5669" w14:textId="77777777" w:rsidR="00E64FCD" w:rsidRPr="0098446E" w:rsidRDefault="00E64FCD" w:rsidP="00E64FCD">
      <w:pPr>
        <w:pStyle w:val="Default0"/>
        <w:jc w:val="both"/>
        <w:rPr>
          <w:sz w:val="22"/>
          <w:szCs w:val="22"/>
        </w:rPr>
      </w:pPr>
    </w:p>
    <w:p w14:paraId="1522C719" w14:textId="77777777" w:rsidR="00E64FCD" w:rsidRPr="0098446E" w:rsidRDefault="00E64FCD" w:rsidP="00E64FCD">
      <w:pPr>
        <w:pStyle w:val="Default0"/>
        <w:jc w:val="both"/>
        <w:rPr>
          <w:sz w:val="22"/>
          <w:szCs w:val="22"/>
        </w:rPr>
      </w:pPr>
      <w:r w:rsidRPr="0098446E">
        <w:rPr>
          <w:sz w:val="22"/>
          <w:szCs w:val="22"/>
        </w:rPr>
        <w:t xml:space="preserve">Las gestiones descriptas siguen los siguientes principios y secuencias de reclamo: </w:t>
      </w:r>
    </w:p>
    <w:p w14:paraId="723CD276" w14:textId="77777777" w:rsidR="00E64FCD" w:rsidRPr="0098446E" w:rsidRDefault="00E64FCD" w:rsidP="00E64FCD">
      <w:pPr>
        <w:pStyle w:val="Default0"/>
        <w:numPr>
          <w:ilvl w:val="0"/>
          <w:numId w:val="45"/>
        </w:numPr>
        <w:spacing w:after="66"/>
        <w:jc w:val="both"/>
        <w:rPr>
          <w:sz w:val="22"/>
          <w:szCs w:val="22"/>
        </w:rPr>
      </w:pPr>
      <w:r w:rsidRPr="0098446E">
        <w:rPr>
          <w:sz w:val="22"/>
          <w:szCs w:val="22"/>
        </w:rPr>
        <w:t xml:space="preserve">Desde 91 a 120 días de atraso: Intimación Pre Judicial </w:t>
      </w:r>
    </w:p>
    <w:p w14:paraId="2262E48B" w14:textId="77777777" w:rsidR="00E64FCD" w:rsidRPr="0098446E" w:rsidRDefault="00E64FCD" w:rsidP="00E64FCD">
      <w:pPr>
        <w:pStyle w:val="Default0"/>
        <w:numPr>
          <w:ilvl w:val="0"/>
          <w:numId w:val="45"/>
        </w:numPr>
        <w:jc w:val="both"/>
        <w:rPr>
          <w:sz w:val="22"/>
          <w:szCs w:val="22"/>
        </w:rPr>
      </w:pPr>
      <w:r w:rsidRPr="0098446E">
        <w:rPr>
          <w:sz w:val="22"/>
          <w:szCs w:val="22"/>
        </w:rPr>
        <w:t xml:space="preserve">121 días de atraso: Último Aviso presentación expediente en Tribunales </w:t>
      </w:r>
    </w:p>
    <w:p w14:paraId="46E65CB9" w14:textId="77777777" w:rsidR="00E64FCD" w:rsidRPr="0098446E" w:rsidRDefault="00E64FCD" w:rsidP="00E64FCD">
      <w:pPr>
        <w:pStyle w:val="Default0"/>
        <w:jc w:val="both"/>
        <w:rPr>
          <w:sz w:val="22"/>
          <w:szCs w:val="22"/>
        </w:rPr>
      </w:pPr>
    </w:p>
    <w:p w14:paraId="0E7FEFD7" w14:textId="77777777" w:rsidR="00E64FCD" w:rsidRPr="0098446E" w:rsidRDefault="00E64FCD" w:rsidP="00E64FCD">
      <w:pPr>
        <w:pStyle w:val="Default0"/>
        <w:numPr>
          <w:ilvl w:val="0"/>
          <w:numId w:val="44"/>
        </w:numPr>
        <w:ind w:left="426"/>
        <w:jc w:val="both"/>
        <w:rPr>
          <w:sz w:val="22"/>
          <w:szCs w:val="22"/>
        </w:rPr>
      </w:pPr>
      <w:r w:rsidRPr="0098446E">
        <w:rPr>
          <w:b/>
          <w:bCs/>
          <w:sz w:val="22"/>
          <w:szCs w:val="22"/>
        </w:rPr>
        <w:t>Judicial</w:t>
      </w:r>
      <w:r w:rsidRPr="0098446E">
        <w:rPr>
          <w:sz w:val="22"/>
          <w:szCs w:val="22"/>
        </w:rPr>
        <w:t xml:space="preserve">: Superado los 120 días de mora se definen los créditos a judicializar. En todos los casos se dispone de pagaré firmado por el cliente y en su caso garante, lo que facilita la cobrabilidad del juicio en menor tiempo por disponer de procesos ejecutivos. </w:t>
      </w:r>
    </w:p>
    <w:p w14:paraId="5D20BB48" w14:textId="77777777" w:rsidR="00E64FCD" w:rsidRPr="0098446E" w:rsidRDefault="00E64FCD" w:rsidP="00E64FCD">
      <w:pPr>
        <w:pStyle w:val="Default0"/>
        <w:ind w:left="426"/>
        <w:jc w:val="both"/>
        <w:rPr>
          <w:sz w:val="22"/>
          <w:szCs w:val="22"/>
        </w:rPr>
      </w:pPr>
      <w:r w:rsidRPr="0098446E">
        <w:rPr>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4BBDB17E" w14:textId="77777777" w:rsidR="00E64FCD" w:rsidRPr="0098446E" w:rsidRDefault="00E64FCD" w:rsidP="00E64FCD">
      <w:pPr>
        <w:pStyle w:val="Default0"/>
        <w:spacing w:after="198"/>
        <w:jc w:val="both"/>
        <w:rPr>
          <w:b/>
          <w:bCs/>
          <w:sz w:val="22"/>
          <w:szCs w:val="22"/>
        </w:rPr>
      </w:pPr>
    </w:p>
    <w:p w14:paraId="474EFDAC" w14:textId="77777777" w:rsidR="00E64FCD" w:rsidRPr="0098446E" w:rsidRDefault="00E64FCD" w:rsidP="00E64FCD">
      <w:pPr>
        <w:pStyle w:val="Default0"/>
        <w:spacing w:after="198"/>
        <w:jc w:val="both"/>
        <w:rPr>
          <w:sz w:val="22"/>
          <w:szCs w:val="22"/>
        </w:rPr>
      </w:pPr>
      <w:r w:rsidRPr="0098446E">
        <w:rPr>
          <w:b/>
          <w:bCs/>
          <w:sz w:val="22"/>
          <w:szCs w:val="22"/>
        </w:rPr>
        <w:t xml:space="preserve">b. Otras acciones y modalidades de reclamo: </w:t>
      </w:r>
    </w:p>
    <w:p w14:paraId="3C669397" w14:textId="77777777" w:rsidR="00E64FCD" w:rsidRPr="0098446E" w:rsidRDefault="00E64FCD" w:rsidP="00E64FCD">
      <w:pPr>
        <w:pStyle w:val="Default0"/>
        <w:numPr>
          <w:ilvl w:val="0"/>
          <w:numId w:val="44"/>
        </w:numPr>
        <w:spacing w:after="198"/>
        <w:jc w:val="both"/>
        <w:rPr>
          <w:sz w:val="22"/>
          <w:szCs w:val="22"/>
        </w:rPr>
      </w:pPr>
      <w:r w:rsidRPr="0098446E">
        <w:rPr>
          <w:b/>
          <w:bCs/>
          <w:sz w:val="22"/>
          <w:szCs w:val="22"/>
        </w:rPr>
        <w:t>Back Office</w:t>
      </w:r>
      <w:r w:rsidRPr="0098446E">
        <w:rPr>
          <w:sz w:val="22"/>
          <w:szCs w:val="22"/>
        </w:rPr>
        <w:t>: ante la dificultad de contacto en los teléfonos disponibles, se activa un circuito de averiguación de datos a través de un grupo de operadores, tendientes a localizar al deudor, para luego reinsertarlo en el circuito de reclamos.</w:t>
      </w:r>
    </w:p>
    <w:p w14:paraId="4638D51B" w14:textId="77777777" w:rsidR="00E64FCD" w:rsidRPr="0098446E" w:rsidRDefault="00E64FCD" w:rsidP="00E64FCD">
      <w:pPr>
        <w:pStyle w:val="Default0"/>
        <w:numPr>
          <w:ilvl w:val="0"/>
          <w:numId w:val="44"/>
        </w:numPr>
        <w:spacing w:after="198"/>
        <w:jc w:val="both"/>
        <w:rPr>
          <w:sz w:val="22"/>
          <w:szCs w:val="22"/>
        </w:rPr>
      </w:pPr>
      <w:r w:rsidRPr="0098446E">
        <w:rPr>
          <w:b/>
          <w:bCs/>
          <w:sz w:val="22"/>
          <w:szCs w:val="22"/>
        </w:rPr>
        <w:t>Visitas domiciliarias</w:t>
      </w:r>
      <w:r w:rsidRPr="0098446E">
        <w:rPr>
          <w:sz w:val="22"/>
          <w:szCs w:val="22"/>
        </w:rPr>
        <w:t>: personal de las sucursales de venta realizan acciones personales de cobranza en el domicilio del deudor, cuando no fuera posible ubicarlo por otros medios y/o las características de la deuda lo ameriten.</w:t>
      </w:r>
    </w:p>
    <w:p w14:paraId="0D545111" w14:textId="77777777" w:rsidR="00E64FCD" w:rsidRPr="0098446E" w:rsidRDefault="00E64FCD" w:rsidP="00E64FCD">
      <w:pPr>
        <w:pStyle w:val="Default0"/>
        <w:numPr>
          <w:ilvl w:val="0"/>
          <w:numId w:val="44"/>
        </w:numPr>
        <w:spacing w:after="198"/>
        <w:jc w:val="both"/>
        <w:rPr>
          <w:sz w:val="22"/>
          <w:szCs w:val="22"/>
        </w:rPr>
      </w:pPr>
      <w:r w:rsidRPr="0098446E">
        <w:rPr>
          <w:b/>
          <w:bCs/>
          <w:sz w:val="22"/>
          <w:szCs w:val="22"/>
        </w:rPr>
        <w:t>Sucursales</w:t>
      </w:r>
      <w:r w:rsidRPr="0098446E">
        <w:rPr>
          <w:sz w:val="22"/>
          <w:szCs w:val="22"/>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 Se realiza además un seguimiento de efectividad de cobranzas o refinanciaciones realizadas por los Operadores de Caja de Sucursales, tendiente a recuperar el máximo de lo adeudado.</w:t>
      </w:r>
    </w:p>
    <w:p w14:paraId="76B6ADFF" w14:textId="77777777" w:rsidR="00E64FCD" w:rsidRPr="0098446E" w:rsidRDefault="00E64FCD" w:rsidP="00E64FCD">
      <w:pPr>
        <w:pStyle w:val="Default0"/>
        <w:numPr>
          <w:ilvl w:val="0"/>
          <w:numId w:val="44"/>
        </w:numPr>
        <w:jc w:val="both"/>
        <w:rPr>
          <w:sz w:val="22"/>
          <w:szCs w:val="22"/>
        </w:rPr>
      </w:pPr>
      <w:r w:rsidRPr="0098446E">
        <w:rPr>
          <w:b/>
          <w:bCs/>
          <w:sz w:val="22"/>
          <w:szCs w:val="22"/>
        </w:rPr>
        <w:t>Afectaciones Comerciales</w:t>
      </w:r>
      <w:r w:rsidRPr="0098446E">
        <w:rPr>
          <w:sz w:val="22"/>
          <w:szCs w:val="22"/>
        </w:rPr>
        <w:t>: mensualmente se afecta y desafecta en Institutos de informes a nivel Local, Regional y Nacional.</w:t>
      </w:r>
    </w:p>
    <w:p w14:paraId="4ACA9734" w14:textId="77777777" w:rsidR="00E64FCD" w:rsidRPr="00506990" w:rsidRDefault="00E64FCD" w:rsidP="00F77F79">
      <w:pPr>
        <w:spacing w:before="120" w:after="200"/>
        <w:rPr>
          <w:rFonts w:ascii="Times New Roman" w:hAnsi="Times New Roman" w:cs="Times New Roman"/>
          <w:color w:val="0D0D0D" w:themeColor="text1" w:themeTint="F2"/>
          <w:sz w:val="22"/>
          <w:szCs w:val="22"/>
        </w:rPr>
      </w:pPr>
    </w:p>
    <w:p w14:paraId="22EB24B6" w14:textId="46FAA1F9"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 percepción de la cobranza total de la</w:t>
      </w:r>
      <w:r w:rsidR="00475BAB">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compañía</w:t>
      </w:r>
      <w:r w:rsidR="00475BAB">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presenta la siguiente evolución en los últimos 6</w:t>
      </w:r>
      <w:r w:rsidRPr="00506990">
        <w:rPr>
          <w:rFonts w:ascii="Times New Roman" w:hAnsi="Times New Roman" w:cs="Times New Roman"/>
          <w:color w:val="FF0000"/>
        </w:rPr>
        <w:t xml:space="preserve"> </w:t>
      </w:r>
      <w:r w:rsidRPr="00506990">
        <w:rPr>
          <w:rFonts w:ascii="Times New Roman" w:hAnsi="Times New Roman" w:cs="Times New Roman"/>
          <w:color w:val="0D0D0D" w:themeColor="text1" w:themeTint="F2"/>
          <w:sz w:val="22"/>
          <w:szCs w:val="22"/>
        </w:rPr>
        <w:t xml:space="preserve">meses: </w:t>
      </w:r>
    </w:p>
    <w:p w14:paraId="2C8C719F" w14:textId="1824A833" w:rsidR="00C56DC8" w:rsidRPr="006E1DEB" w:rsidRDefault="00475BAB" w:rsidP="00F74B80">
      <w:pPr>
        <w:spacing w:before="120" w:after="200" w:line="276" w:lineRule="auto"/>
        <w:rPr>
          <w:rFonts w:ascii="Times New Roman" w:hAnsi="Times New Roman" w:cs="Times New Roman"/>
          <w:b/>
          <w:u w:val="single"/>
        </w:rPr>
      </w:pPr>
      <w:r w:rsidRPr="006E1DEB">
        <w:rPr>
          <w:rFonts w:ascii="Times New Roman" w:hAnsi="Times New Roman" w:cs="Times New Roman"/>
          <w:b/>
          <w:u w:val="single"/>
        </w:rPr>
        <w:t>Bazar Avenida S.A.</w:t>
      </w:r>
    </w:p>
    <w:p w14:paraId="31EC26B2" w14:textId="6920BC42" w:rsidR="00F74B80" w:rsidRPr="00506990" w:rsidRDefault="00475BAB" w:rsidP="006E1DEB">
      <w:pPr>
        <w:tabs>
          <w:tab w:val="left" w:pos="1260"/>
        </w:tabs>
        <w:spacing w:before="120" w:after="200" w:line="276" w:lineRule="auto"/>
        <w:rPr>
          <w:rFonts w:ascii="Times New Roman" w:hAnsi="Times New Roman" w:cs="Times New Roman"/>
          <w:color w:val="0D0D0D" w:themeColor="text1" w:themeTint="F2"/>
          <w:sz w:val="22"/>
          <w:szCs w:val="22"/>
        </w:rPr>
      </w:pPr>
      <w:r>
        <w:rPr>
          <w:noProof/>
          <w:lang w:val="es-AR" w:eastAsia="es-AR"/>
        </w:rPr>
        <w:drawing>
          <wp:inline distT="0" distB="0" distL="0" distR="0" wp14:anchorId="1F8A6FAC" wp14:editId="1CEADF8B">
            <wp:extent cx="3562350" cy="1847850"/>
            <wp:effectExtent l="0" t="0" r="0" b="0"/>
            <wp:docPr id="5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62350" cy="1847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imes New Roman" w:hAnsi="Times New Roman" w:cs="Times New Roman"/>
        </w:rPr>
        <w:tab/>
      </w:r>
    </w:p>
    <w:p w14:paraId="70670E23" w14:textId="77777777" w:rsidR="00475BAB" w:rsidRDefault="00475BAB" w:rsidP="006E1DEB">
      <w:pPr>
        <w:spacing w:before="120" w:after="200" w:line="276" w:lineRule="auto"/>
        <w:rPr>
          <w:rFonts w:ascii="Times New Roman" w:hAnsi="Times New Roman" w:cs="Times New Roman"/>
          <w:b/>
          <w:u w:val="single"/>
        </w:rPr>
      </w:pPr>
    </w:p>
    <w:p w14:paraId="3C96391F" w14:textId="77777777" w:rsidR="00475BAB" w:rsidRDefault="00475BAB" w:rsidP="006E1DEB">
      <w:pPr>
        <w:spacing w:before="120" w:after="200" w:line="276" w:lineRule="auto"/>
        <w:rPr>
          <w:rFonts w:ascii="Times New Roman" w:hAnsi="Times New Roman" w:cs="Times New Roman"/>
          <w:b/>
          <w:u w:val="single"/>
        </w:rPr>
      </w:pPr>
    </w:p>
    <w:p w14:paraId="6A1A2B68" w14:textId="77777777" w:rsidR="00475BAB" w:rsidRDefault="00475BAB" w:rsidP="006E1DEB">
      <w:pPr>
        <w:spacing w:before="120" w:after="200" w:line="276" w:lineRule="auto"/>
        <w:rPr>
          <w:rFonts w:ascii="Times New Roman" w:hAnsi="Times New Roman" w:cs="Times New Roman"/>
          <w:b/>
          <w:u w:val="single"/>
        </w:rPr>
      </w:pPr>
    </w:p>
    <w:p w14:paraId="14E0439D" w14:textId="798EAAF7" w:rsidR="007D7DE5" w:rsidRDefault="00475BAB" w:rsidP="006E1DEB">
      <w:pPr>
        <w:spacing w:before="120" w:after="200" w:line="276" w:lineRule="auto"/>
        <w:rPr>
          <w:rFonts w:ascii="Times New Roman" w:hAnsi="Times New Roman" w:cs="Times New Roman"/>
          <w:b/>
          <w:u w:val="single"/>
        </w:rPr>
      </w:pPr>
      <w:r w:rsidRPr="006E1DEB">
        <w:rPr>
          <w:rFonts w:ascii="Times New Roman" w:hAnsi="Times New Roman" w:cs="Times New Roman"/>
          <w:b/>
          <w:u w:val="single"/>
        </w:rPr>
        <w:t>Consumo S.A.</w:t>
      </w:r>
    </w:p>
    <w:p w14:paraId="4A1020FD" w14:textId="4D4FBEAA" w:rsidR="00475BAB" w:rsidRPr="006E1DEB" w:rsidRDefault="00475BAB" w:rsidP="006E1DEB">
      <w:pPr>
        <w:spacing w:before="120" w:after="200" w:line="276" w:lineRule="auto"/>
        <w:rPr>
          <w:rFonts w:ascii="Times New Roman" w:hAnsi="Times New Roman" w:cs="Times New Roman"/>
          <w:b/>
          <w:u w:val="single"/>
        </w:rPr>
      </w:pPr>
      <w:r>
        <w:rPr>
          <w:noProof/>
          <w:lang w:val="es-AR" w:eastAsia="es-AR"/>
        </w:rPr>
        <w:drawing>
          <wp:inline distT="0" distB="0" distL="0" distR="0" wp14:anchorId="07526D62" wp14:editId="003AF21E">
            <wp:extent cx="3562350" cy="885825"/>
            <wp:effectExtent l="0" t="0" r="0" b="9525"/>
            <wp:docPr id="5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62350" cy="885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3B8EDA5" w14:textId="071F9371" w:rsidR="007D7DE5" w:rsidRPr="00506990" w:rsidRDefault="007D7DE5" w:rsidP="00F74B80">
      <w:pPr>
        <w:spacing w:before="120" w:after="200" w:line="276" w:lineRule="auto"/>
        <w:jc w:val="center"/>
        <w:rPr>
          <w:rFonts w:ascii="Times New Roman" w:hAnsi="Times New Roman" w:cs="Times New Roman"/>
          <w:color w:val="0D0D0D" w:themeColor="text1" w:themeTint="F2"/>
          <w:sz w:val="22"/>
          <w:szCs w:val="22"/>
        </w:rPr>
      </w:pPr>
    </w:p>
    <w:p w14:paraId="4B954691" w14:textId="77777777" w:rsidR="00F74B80" w:rsidRPr="00506990" w:rsidRDefault="00F74B80" w:rsidP="00F77F79">
      <w:pPr>
        <w:spacing w:before="120" w:after="200"/>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Convenio de Recaudación con TINSA S.A. (Operatoria vinculada a los Fideicomisos)</w:t>
      </w:r>
    </w:p>
    <w:p w14:paraId="38C10297" w14:textId="55B8B362"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Bazar Avenida S.A.</w:t>
      </w:r>
      <w:r w:rsidR="00DF4C4C" w:rsidRPr="00506990">
        <w:rPr>
          <w:rFonts w:ascii="Times New Roman" w:hAnsi="Times New Roman" w:cs="Times New Roman"/>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ha celebrado un convenio de cobro con Tinsa S.A. (TINSA) para la percepción de la Cobranza de los créditos otorgados a sus clientes, por medio del sistema de cobranzas, COBRO EXPRESS de TINSA.</w:t>
      </w:r>
    </w:p>
    <w:p w14:paraId="5F8D337E" w14:textId="1FE0B389"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En el marco de dicho acuerdo, BAZAR</w:t>
      </w:r>
      <w:r w:rsidR="00C56DC8" w:rsidRPr="00506990">
        <w:rPr>
          <w:rFonts w:ascii="Times New Roman" w:hAnsi="Times New Roman" w:cs="Times New Roman"/>
          <w:color w:val="0D0D0D" w:themeColor="text1" w:themeTint="F2"/>
          <w:sz w:val="22"/>
          <w:szCs w:val="22"/>
        </w:rPr>
        <w:t xml:space="preserve"> AVENIDA S-A.</w:t>
      </w:r>
      <w:r w:rsidR="00DF4C4C" w:rsidRPr="00506990">
        <w:rPr>
          <w:rFonts w:ascii="Times New Roman" w:hAnsi="Times New Roman" w:cs="Times New Roman"/>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xml:space="preserve"> en su carácter de Administrador</w:t>
      </w:r>
      <w:r w:rsidR="00DF4C4C" w:rsidRPr="00506990">
        <w:rPr>
          <w:rFonts w:ascii="Times New Roman" w:hAnsi="Times New Roman" w:cs="Times New Roman"/>
          <w:color w:val="0D0D0D" w:themeColor="text1" w:themeTint="F2"/>
          <w:sz w:val="22"/>
          <w:szCs w:val="22"/>
        </w:rPr>
        <w:t>es</w:t>
      </w:r>
      <w:r w:rsidRPr="00506990">
        <w:rPr>
          <w:rFonts w:ascii="Times New Roman" w:hAnsi="Times New Roman" w:cs="Times New Roman"/>
          <w:color w:val="0D0D0D" w:themeColor="text1" w:themeTint="F2"/>
          <w:sz w:val="22"/>
          <w:szCs w:val="22"/>
        </w:rPr>
        <w:t xml:space="preserve"> y Agente</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Cobro de los Créditos fideicomitidos, delega en TINSA, la recaudación de la cobranza de los Créditos fideicomitidos.  A tal efecto las liquidaciones que se envían mensualmente a los deudores contienen un código de barras que permite identificar que el Crédito pertenece al Fideicomiso y que sólo puede percibirse a través de TINSA, excepto la de aquellos Créditos en Mora que se perciban por las gestiones judiciales y extrajudiciales que realice</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w:t>
      </w:r>
      <w:r w:rsidR="00DF4C4C"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su carácter de Agente de Cobro que deberá transferir a la Cuenta Fiduciaria dentro del día hábil posterior a su percepción. Para cumplir con su obligación de Agente Recaudador, TINSA lo realizará a través de sus propios agentes distribuidos en todo el país y también por medio de Agentes Externos de Recaudación que contrate.</w:t>
      </w:r>
    </w:p>
    <w:p w14:paraId="46FD6468" w14:textId="621A724C"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En oportunidad de emitir cada una de las serie de Fideicomiso, BAZAR </w:t>
      </w:r>
      <w:r w:rsidR="00C56DC8" w:rsidRPr="00506990">
        <w:rPr>
          <w:rFonts w:ascii="Times New Roman" w:hAnsi="Times New Roman" w:cs="Times New Roman"/>
          <w:color w:val="0D0D0D" w:themeColor="text1" w:themeTint="F2"/>
          <w:sz w:val="22"/>
          <w:szCs w:val="22"/>
        </w:rPr>
        <w:t>AVENIDA S.A.</w:t>
      </w:r>
      <w:r w:rsidR="00DF4C4C" w:rsidRPr="00506990">
        <w:rPr>
          <w:rFonts w:ascii="Times New Roman" w:hAnsi="Times New Roman" w:cs="Times New Roman"/>
          <w:color w:val="0D0D0D" w:themeColor="text1" w:themeTint="F2"/>
          <w:sz w:val="22"/>
          <w:szCs w:val="22"/>
        </w:rPr>
        <w:t xml:space="preserve"> y CONSUMO S.A..</w:t>
      </w:r>
      <w:r w:rsidR="00C56DC8"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comunica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en forma fehaciente a TINSA tal circunstancia, informando además los datos del Fiduciario, datos de la Cuenta Fiduciaria y demás datos necesarios para que TINSA puede cumplir con sus obligaciones de Agente Recaudador. Recibida la notificación TINSA deberá comunicar a BAZAR</w:t>
      </w:r>
      <w:r w:rsidR="00DF4C4C" w:rsidRPr="00506990">
        <w:rPr>
          <w:rFonts w:ascii="Times New Roman" w:hAnsi="Times New Roman" w:cs="Times New Roman"/>
          <w:color w:val="0D0D0D" w:themeColor="text1" w:themeTint="F2"/>
          <w:sz w:val="22"/>
          <w:szCs w:val="22"/>
        </w:rPr>
        <w:t xml:space="preserve"> y CONSUMO</w:t>
      </w:r>
      <w:r w:rsidRPr="00506990">
        <w:rPr>
          <w:rFonts w:ascii="Times New Roman" w:hAnsi="Times New Roman" w:cs="Times New Roman"/>
          <w:color w:val="0D0D0D" w:themeColor="text1" w:themeTint="F2"/>
          <w:sz w:val="22"/>
          <w:szCs w:val="22"/>
        </w:rPr>
        <w:t>, con copia al fiduciario, el alta de la Cuenta Fiduciaria en sus sistemas.</w:t>
      </w:r>
    </w:p>
    <w:p w14:paraId="0201B863" w14:textId="04929B29" w:rsidR="00F74B80" w:rsidRPr="00506990" w:rsidRDefault="00F74B80" w:rsidP="00F77F79">
      <w:pPr>
        <w:spacing w:before="120" w:after="200"/>
        <w:rPr>
          <w:rFonts w:ascii="Times New Roman" w:hAnsi="Times New Roman" w:cs="Times New Roman"/>
          <w:snapToGrid w:val="0"/>
          <w:color w:val="0D0D0D" w:themeColor="text1" w:themeTint="F2"/>
          <w:sz w:val="22"/>
          <w:szCs w:val="22"/>
        </w:rPr>
      </w:pPr>
      <w:r w:rsidRPr="00506990">
        <w:rPr>
          <w:rFonts w:ascii="Times New Roman" w:hAnsi="Times New Roman" w:cs="Times New Roman"/>
          <w:color w:val="0D0D0D" w:themeColor="text1" w:themeTint="F2"/>
          <w:sz w:val="22"/>
          <w:szCs w:val="22"/>
        </w:rPr>
        <w:t xml:space="preserve">Al final de cada jornada, el sistema que opera en cada uno de los agentes, transmite información a los sistemas centrales de TINSA. Una vez recibida la información de todos los agentes, TINSA procesa los registros y, a primera hora del día siguiente, transmite información a BAZAR </w:t>
      </w:r>
      <w:r w:rsidR="00C56DC8" w:rsidRPr="00506990">
        <w:rPr>
          <w:rFonts w:ascii="Times New Roman" w:hAnsi="Times New Roman" w:cs="Times New Roman"/>
          <w:color w:val="0D0D0D" w:themeColor="text1" w:themeTint="F2"/>
          <w:sz w:val="22"/>
          <w:szCs w:val="22"/>
        </w:rPr>
        <w:t xml:space="preserve">AVENIDA S.A. </w:t>
      </w:r>
      <w:r w:rsidR="00DF4C4C" w:rsidRPr="00506990">
        <w:rPr>
          <w:rFonts w:ascii="Times New Roman" w:hAnsi="Times New Roman" w:cs="Times New Roman"/>
          <w:color w:val="0D0D0D" w:themeColor="text1" w:themeTint="F2"/>
          <w:sz w:val="22"/>
          <w:szCs w:val="22"/>
        </w:rPr>
        <w:t xml:space="preserve">y CONSUMO S.A. </w:t>
      </w:r>
      <w:r w:rsidRPr="00506990">
        <w:rPr>
          <w:rFonts w:ascii="Times New Roman" w:hAnsi="Times New Roman" w:cs="Times New Roman"/>
          <w:color w:val="0D0D0D" w:themeColor="text1" w:themeTint="F2"/>
          <w:sz w:val="22"/>
          <w:szCs w:val="22"/>
        </w:rPr>
        <w:t>para que ésta</w:t>
      </w:r>
      <w:r w:rsidR="00DF4C4C"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proceda</w:t>
      </w:r>
      <w:r w:rsidR="00DF4C4C"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a imputar la cobranza y a informar</w:t>
      </w:r>
      <w:r w:rsidRPr="00506990">
        <w:rPr>
          <w:rFonts w:ascii="Times New Roman" w:hAnsi="Times New Roman" w:cs="Times New Roman"/>
          <w:snapToGrid w:val="0"/>
          <w:color w:val="0D0D0D" w:themeColor="text1" w:themeTint="F2"/>
          <w:sz w:val="22"/>
          <w:szCs w:val="22"/>
        </w:rPr>
        <w:t xml:space="preserve"> al día hábil siguiente los importes que correspondan transferir a la Cuenta Fiduciaria de cada uno de los respectivos fideicomisos por las cobranzas imputables a créditos fideicomitidos y los importes que correspondan a créditos no fideicomitidos de titularidad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snapToGrid w:val="0"/>
          <w:color w:val="0D0D0D" w:themeColor="text1" w:themeTint="F2"/>
          <w:sz w:val="22"/>
          <w:szCs w:val="22"/>
        </w:rPr>
        <w:t>TINSA procederá a transferir a las Cuentas Fiduciarias correspondientes los fondos percibidos por créditos fideicomitidos dentro del día hábil posterior de recibida la información de parte de BAZAR</w:t>
      </w:r>
      <w:r w:rsidR="00C56DC8" w:rsidRPr="00506990">
        <w:rPr>
          <w:rFonts w:ascii="Times New Roman" w:hAnsi="Times New Roman" w:cs="Times New Roman"/>
          <w:color w:val="0D0D0D" w:themeColor="text1" w:themeTint="F2"/>
          <w:sz w:val="22"/>
          <w:szCs w:val="22"/>
        </w:rPr>
        <w:t xml:space="preserve"> AVENIDA S.A</w:t>
      </w:r>
      <w:r w:rsidRPr="00506990">
        <w:rPr>
          <w:rFonts w:ascii="Times New Roman" w:hAnsi="Times New Roman" w:cs="Times New Roman"/>
          <w:snapToGrid w:val="0"/>
          <w:color w:val="0D0D0D" w:themeColor="text1" w:themeTint="F2"/>
          <w:sz w:val="22"/>
          <w:szCs w:val="22"/>
        </w:rPr>
        <w:t>.</w:t>
      </w:r>
      <w:r w:rsidR="00DF4C4C" w:rsidRPr="00506990">
        <w:rPr>
          <w:rFonts w:ascii="Times New Roman" w:hAnsi="Times New Roman" w:cs="Times New Roman"/>
          <w:snapToGrid w:val="0"/>
          <w:color w:val="0D0D0D" w:themeColor="text1" w:themeTint="F2"/>
          <w:sz w:val="22"/>
          <w:szCs w:val="22"/>
        </w:rPr>
        <w:t xml:space="preserve"> y CONSUMO S.A.</w:t>
      </w:r>
    </w:p>
    <w:p w14:paraId="170B4FD6"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Según las obligaciones que emanan del convenio, TINSA deberá depositar directamente en las cuentas bancarias fiduciarias todo concepto recaudado que corresponda a cada Fideicomiso, dentro de los tres días de su percepción cuando la Cobranza sea percibida en forma directa por TINSA o a través de los Agentes Externos de Recaudación subcontratados por él. Sin perjuicio de lo expuesto en virtud del Convenio TINSA se obliga a depositar a cada Fideicomiso los fondos que le corresponden dentro de los tres días hábiles de su percepción, aun cuando los Agente Externos de Recaudación tenga transferencias pendientes.</w:t>
      </w:r>
    </w:p>
    <w:p w14:paraId="28027C1E" w14:textId="77777777" w:rsidR="00F74B80" w:rsidRPr="00506990" w:rsidRDefault="00F74B80" w:rsidP="00F77F79">
      <w:pPr>
        <w:spacing w:before="120" w:after="200"/>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lo expuesto, en cualquier supuesto de finalización del convenio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w:t>
      </w:r>
    </w:p>
    <w:p w14:paraId="02605E4C" w14:textId="77777777" w:rsidR="00F74B80" w:rsidRPr="00506990" w:rsidRDefault="00F74B80" w:rsidP="00546BED">
      <w:pPr>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Proceso de reclamo y cobranza de cuentas en mora:</w:t>
      </w:r>
    </w:p>
    <w:p w14:paraId="460E4374" w14:textId="77777777" w:rsidR="00F74B80" w:rsidRPr="00506990" w:rsidRDefault="00F74B80" w:rsidP="00270AFD">
      <w:pPr>
        <w:pStyle w:val="Prrafodelista"/>
        <w:numPr>
          <w:ilvl w:val="0"/>
          <w:numId w:val="11"/>
        </w:numPr>
        <w:spacing w:before="120"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Vencimientos:</w:t>
      </w:r>
    </w:p>
    <w:p w14:paraId="2C3E9BAD"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Un crédito se constituye en mora cuando no fue abonada la cuota a partir del día 11 de operado un vencimiento sin haber registrado pago. </w:t>
      </w:r>
    </w:p>
    <w:p w14:paraId="78E700DA" w14:textId="77777777" w:rsidR="00F74B80" w:rsidRPr="00506990" w:rsidRDefault="00F74B80" w:rsidP="00F77F79">
      <w:pPr>
        <w:spacing w:after="200"/>
        <w:ind w:left="36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 partir del día 12 de operado el vencimiento sin haber percibido cobranza, comienzan entonces las acciones de reclamo.</w:t>
      </w:r>
    </w:p>
    <w:p w14:paraId="5118B690" w14:textId="77777777" w:rsidR="00F74B80" w:rsidRPr="00506990" w:rsidRDefault="00F74B80" w:rsidP="00270AFD">
      <w:pPr>
        <w:pStyle w:val="Prrafodelista"/>
        <w:numPr>
          <w:ilvl w:val="0"/>
          <w:numId w:val="11"/>
        </w:numPr>
        <w:spacing w:after="120"/>
        <w:ind w:left="357"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Gestión de reclamo de clientes en mora:</w:t>
      </w:r>
    </w:p>
    <w:p w14:paraId="3C208675" w14:textId="77777777" w:rsidR="00F74B80" w:rsidRPr="00506990" w:rsidRDefault="00F74B80" w:rsidP="00270AFD">
      <w:pPr>
        <w:pStyle w:val="Prrafodelista"/>
        <w:numPr>
          <w:ilvl w:val="0"/>
          <w:numId w:val="17"/>
        </w:numPr>
        <w:contextualSpacing w:val="0"/>
        <w:jc w:val="both"/>
        <w:rPr>
          <w:color w:val="0D0D0D" w:themeColor="text1" w:themeTint="F2"/>
          <w:sz w:val="22"/>
          <w:szCs w:val="22"/>
          <w:lang w:val="es-ES_tradnl"/>
        </w:rPr>
      </w:pPr>
      <w:r w:rsidRPr="00506990">
        <w:rPr>
          <w:b/>
          <w:color w:val="0D0D0D" w:themeColor="text1" w:themeTint="F2"/>
          <w:sz w:val="22"/>
          <w:szCs w:val="22"/>
          <w:u w:val="single"/>
          <w:lang w:val="es-ES_tradnl"/>
        </w:rPr>
        <w:t>Segmentación de clientes</w:t>
      </w:r>
      <w:r w:rsidRPr="00506990">
        <w:rPr>
          <w:color w:val="0D0D0D" w:themeColor="text1" w:themeTint="F2"/>
          <w:sz w:val="22"/>
          <w:szCs w:val="22"/>
          <w:lang w:val="es-ES_tradnl"/>
        </w:rPr>
        <w:t>:</w:t>
      </w:r>
    </w:p>
    <w:p w14:paraId="46D30FAB" w14:textId="77777777" w:rsidR="00F74B80" w:rsidRPr="00506990" w:rsidRDefault="00F74B80" w:rsidP="00F77F79">
      <w:pPr>
        <w:spacing w:after="200"/>
        <w:ind w:left="708"/>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 principio de cada mes se segmenta la cartera de acuerdo a un score de cobranzas que califica a los clientes en “Excelente”, “Muy Bueno”, “Bueno”, “Malo” y “Muy Malo” de acuerdo a su perfil de riesgo en el cumplimiento de deudas; perfil que se define vinculando comportamiento de pago, características demográficas y evaluación crediticia al momento del otorgamiento.</w:t>
      </w:r>
    </w:p>
    <w:p w14:paraId="2A0CF2CE" w14:textId="77777777" w:rsidR="00F74B80" w:rsidRPr="00506990" w:rsidRDefault="00F74B80" w:rsidP="00F77F79">
      <w:pPr>
        <w:spacing w:after="12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segmentación define el nivel de las acciones de reclamo (tipo y escalonamiento) registrado el vencimiento:</w:t>
      </w:r>
    </w:p>
    <w:p w14:paraId="4DCBA0F3"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Mensajes de texto</w:t>
      </w:r>
    </w:p>
    <w:p w14:paraId="17EA7B7F"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Mensaje telefónico de voz</w:t>
      </w:r>
    </w:p>
    <w:p w14:paraId="19907C39"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particulares</w:t>
      </w:r>
    </w:p>
    <w:p w14:paraId="56FA5C50"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laborales</w:t>
      </w:r>
    </w:p>
    <w:p w14:paraId="5DB45F73"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a teléfonos vinculados (familiares o de referencia)</w:t>
      </w:r>
    </w:p>
    <w:p w14:paraId="6BBE9850"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Cartas</w:t>
      </w:r>
    </w:p>
    <w:p w14:paraId="09E63797" w14:textId="77777777" w:rsidR="00F74B80" w:rsidRPr="00506990" w:rsidRDefault="00F74B80" w:rsidP="00270AFD">
      <w:pPr>
        <w:pStyle w:val="Prrafodelista"/>
        <w:numPr>
          <w:ilvl w:val="0"/>
          <w:numId w:val="16"/>
        </w:numPr>
        <w:contextualSpacing w:val="0"/>
        <w:jc w:val="both"/>
        <w:rPr>
          <w:color w:val="0D0D0D" w:themeColor="text1" w:themeTint="F2"/>
          <w:sz w:val="22"/>
          <w:szCs w:val="22"/>
          <w:lang w:val="es-ES_tradnl"/>
        </w:rPr>
      </w:pPr>
      <w:r w:rsidRPr="00506990">
        <w:rPr>
          <w:color w:val="0D0D0D" w:themeColor="text1" w:themeTint="F2"/>
          <w:sz w:val="22"/>
          <w:szCs w:val="22"/>
          <w:lang w:val="es-ES_tradnl"/>
        </w:rPr>
        <w:t>Llamados preventivos informando de próximos vencimientos</w:t>
      </w:r>
    </w:p>
    <w:p w14:paraId="5FEF5F84"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Esta metodología de trabajo impacta muy positivamente en el recupero de cuentas bajando sustancialmente el porcentaje de mora, al poder concentrar los esfuerzos de gestión según la probabilidad de morosidad de la cuenta.</w:t>
      </w:r>
    </w:p>
    <w:p w14:paraId="7D30259D" w14:textId="77777777" w:rsidR="00F74B80" w:rsidRPr="00506990" w:rsidRDefault="00F74B80" w:rsidP="00270AFD">
      <w:pPr>
        <w:pStyle w:val="Prrafodelista"/>
        <w:numPr>
          <w:ilvl w:val="0"/>
          <w:numId w:val="17"/>
        </w:numPr>
        <w:ind w:left="714" w:hanging="357"/>
        <w:contextualSpacing w:val="0"/>
        <w:jc w:val="both"/>
        <w:rPr>
          <w:b/>
          <w:color w:val="0D0D0D" w:themeColor="text1" w:themeTint="F2"/>
          <w:sz w:val="22"/>
          <w:szCs w:val="22"/>
          <w:lang w:val="es-ES_tradnl"/>
        </w:rPr>
      </w:pPr>
      <w:r w:rsidRPr="00506990">
        <w:rPr>
          <w:b/>
          <w:color w:val="0D0D0D" w:themeColor="text1" w:themeTint="F2"/>
          <w:sz w:val="22"/>
          <w:szCs w:val="22"/>
          <w:u w:val="single"/>
          <w:lang w:val="es-ES_tradnl"/>
        </w:rPr>
        <w:t>Acciones de reclamo y cobranza</w:t>
      </w:r>
    </w:p>
    <w:p w14:paraId="3B1FEFFF" w14:textId="77777777" w:rsidR="00F74B80" w:rsidRPr="00506990" w:rsidRDefault="00F74B80" w:rsidP="00270AFD">
      <w:pPr>
        <w:pStyle w:val="Prrafodelista"/>
        <w:numPr>
          <w:ilvl w:val="0"/>
          <w:numId w:val="10"/>
        </w:numPr>
        <w:spacing w:before="120" w:after="120"/>
        <w:ind w:left="1071"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Departamento Centralizado de Cobranzas</w:t>
      </w:r>
      <w:r w:rsidRPr="00506990">
        <w:rPr>
          <w:color w:val="0D0D0D" w:themeColor="text1" w:themeTint="F2"/>
          <w:sz w:val="22"/>
          <w:szCs w:val="22"/>
          <w:lang w:val="es-ES_tradnl"/>
        </w:rPr>
        <w:t>:</w:t>
      </w:r>
    </w:p>
    <w:p w14:paraId="5346DC22" w14:textId="77777777" w:rsidR="00F74B80" w:rsidRPr="00506990" w:rsidRDefault="00F74B80" w:rsidP="00270AFD">
      <w:pPr>
        <w:pStyle w:val="Prrafodelista"/>
        <w:numPr>
          <w:ilvl w:val="0"/>
          <w:numId w:val="12"/>
        </w:numPr>
        <w:spacing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Temprana</w:t>
      </w:r>
      <w:r w:rsidRPr="00506990">
        <w:rPr>
          <w:color w:val="0D0D0D" w:themeColor="text1" w:themeTint="F2"/>
          <w:sz w:val="22"/>
          <w:szCs w:val="22"/>
          <w:lang w:val="es-ES_tradnl"/>
        </w:rPr>
        <w:t>: de 12 a 90 días de mora.</w:t>
      </w:r>
    </w:p>
    <w:p w14:paraId="6077DDAA" w14:textId="5465B70B"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Llamados Telefónicos con diferentes mensajes diseñados por días de atraso. Se utiliza sistema predictivo </w:t>
      </w:r>
      <w:r w:rsidR="00F30964" w:rsidRPr="00506990">
        <w:rPr>
          <w:color w:val="0D0D0D" w:themeColor="text1" w:themeTint="F2"/>
          <w:sz w:val="22"/>
          <w:szCs w:val="22"/>
        </w:rPr>
        <w:t>U-contact</w:t>
      </w:r>
      <w:r w:rsidRPr="00506990">
        <w:rPr>
          <w:color w:val="0D0D0D" w:themeColor="text1" w:themeTint="F2"/>
          <w:sz w:val="22"/>
          <w:szCs w:val="22"/>
        </w:rPr>
        <w:t xml:space="preserve">, que permite automatizar de forma inteligente el ordenamiento de llamadas, el mejor número y momento, las prioridades, estrategia de contacto, disponibilidad de modos de marcación (manual, progresivo y predictivo) y combinar llamadas salientes con las actividades de llamadas entrantes.  </w:t>
      </w:r>
    </w:p>
    <w:p w14:paraId="717FB060"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whatsapp y/o e-mail.</w:t>
      </w:r>
    </w:p>
    <w:p w14:paraId="4A9E491D"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3567A94A" w14:textId="77777777" w:rsidR="00F74B80" w:rsidRPr="00506990" w:rsidRDefault="00F74B80" w:rsidP="00270AFD">
      <w:pPr>
        <w:pStyle w:val="Prrafodelista"/>
        <w:numPr>
          <w:ilvl w:val="0"/>
          <w:numId w:val="12"/>
        </w:numPr>
        <w:spacing w:before="240" w:after="120"/>
        <w:ind w:left="1423" w:hanging="357"/>
        <w:contextualSpacing w:val="0"/>
        <w:jc w:val="both"/>
        <w:rPr>
          <w:color w:val="0D0D0D" w:themeColor="text1" w:themeTint="F2"/>
          <w:sz w:val="22"/>
          <w:szCs w:val="22"/>
          <w:lang w:val="es-ES_tradnl"/>
        </w:rPr>
      </w:pPr>
      <w:r w:rsidRPr="00506990">
        <w:rPr>
          <w:b/>
          <w:color w:val="0D0D0D" w:themeColor="text1" w:themeTint="F2"/>
          <w:sz w:val="22"/>
          <w:szCs w:val="22"/>
          <w:lang w:val="es-ES_tradnl"/>
        </w:rPr>
        <w:t>Mora Avanzada</w:t>
      </w:r>
      <w:r w:rsidRPr="00506990">
        <w:rPr>
          <w:color w:val="0D0D0D" w:themeColor="text1" w:themeTint="F2"/>
          <w:sz w:val="22"/>
          <w:szCs w:val="22"/>
          <w:lang w:val="es-ES_tradnl"/>
        </w:rPr>
        <w:t>: De 91 a 120 días de mora:</w:t>
      </w:r>
    </w:p>
    <w:p w14:paraId="64D647DC"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Llamados Telefónicos</w:t>
      </w:r>
    </w:p>
    <w:p w14:paraId="0B8FA3CF"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Acciones masivas por IVR y/o mensajes de voz y/o e-mail.</w:t>
      </w:r>
    </w:p>
    <w:p w14:paraId="208BEA5B" w14:textId="77777777" w:rsidR="00F74B80" w:rsidRPr="00506990" w:rsidRDefault="00F74B80" w:rsidP="00270AFD">
      <w:pPr>
        <w:pStyle w:val="Prrafodelista"/>
        <w:numPr>
          <w:ilvl w:val="1"/>
          <w:numId w:val="13"/>
        </w:numPr>
        <w:ind w:left="1786" w:hanging="357"/>
        <w:contextualSpacing w:val="0"/>
        <w:jc w:val="both"/>
        <w:rPr>
          <w:color w:val="0D0D0D" w:themeColor="text1" w:themeTint="F2"/>
          <w:sz w:val="22"/>
          <w:szCs w:val="22"/>
        </w:rPr>
      </w:pPr>
      <w:r w:rsidRPr="00506990">
        <w:rPr>
          <w:color w:val="0D0D0D" w:themeColor="text1" w:themeTint="F2"/>
          <w:sz w:val="22"/>
          <w:szCs w:val="22"/>
        </w:rPr>
        <w:t xml:space="preserve">Envío de Cartas </w:t>
      </w:r>
    </w:p>
    <w:p w14:paraId="32AA7AB4" w14:textId="77777777" w:rsidR="00F74B80" w:rsidRPr="00506990" w:rsidRDefault="00F74B80" w:rsidP="00F77F79">
      <w:pPr>
        <w:spacing w:before="120" w:after="120"/>
        <w:ind w:left="709" w:firstLine="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Las gestiones descriptas siguen los siguientes principios y secuencias de reclamo:</w:t>
      </w:r>
    </w:p>
    <w:p w14:paraId="51321678" w14:textId="77777777" w:rsidR="00F74B80" w:rsidRPr="00506990" w:rsidRDefault="00F74B80" w:rsidP="00270AFD">
      <w:pPr>
        <w:pStyle w:val="Prrafodelista"/>
        <w:numPr>
          <w:ilvl w:val="2"/>
          <w:numId w:val="18"/>
        </w:numPr>
        <w:contextualSpacing w:val="0"/>
        <w:jc w:val="both"/>
        <w:rPr>
          <w:color w:val="0D0D0D" w:themeColor="text1" w:themeTint="F2"/>
          <w:sz w:val="22"/>
          <w:szCs w:val="22"/>
        </w:rPr>
      </w:pPr>
      <w:r w:rsidRPr="00506990">
        <w:rPr>
          <w:color w:val="0D0D0D" w:themeColor="text1" w:themeTint="F2"/>
          <w:sz w:val="22"/>
          <w:szCs w:val="22"/>
        </w:rPr>
        <w:t>Desde 91 a 120 días de atraso: Intimación Pre Judicial</w:t>
      </w:r>
    </w:p>
    <w:p w14:paraId="0994D396" w14:textId="77777777" w:rsidR="00F74B80" w:rsidRPr="00506990" w:rsidRDefault="00F74B80" w:rsidP="00270AFD">
      <w:pPr>
        <w:pStyle w:val="Prrafodelista"/>
        <w:numPr>
          <w:ilvl w:val="2"/>
          <w:numId w:val="18"/>
        </w:numPr>
        <w:contextualSpacing w:val="0"/>
        <w:jc w:val="both"/>
        <w:rPr>
          <w:color w:val="0D0D0D" w:themeColor="text1" w:themeTint="F2"/>
          <w:sz w:val="22"/>
          <w:szCs w:val="22"/>
        </w:rPr>
      </w:pPr>
      <w:r w:rsidRPr="00506990">
        <w:rPr>
          <w:color w:val="0D0D0D" w:themeColor="text1" w:themeTint="F2"/>
          <w:sz w:val="22"/>
          <w:szCs w:val="22"/>
        </w:rPr>
        <w:t>121 días de atraso: Último Aviso presentación expediente en Tribunales</w:t>
      </w:r>
    </w:p>
    <w:p w14:paraId="2D85DABD" w14:textId="77777777" w:rsidR="00F74B80" w:rsidRPr="00506990" w:rsidRDefault="00F74B80" w:rsidP="00270AFD">
      <w:pPr>
        <w:pStyle w:val="Prrafodelista"/>
        <w:numPr>
          <w:ilvl w:val="0"/>
          <w:numId w:val="12"/>
        </w:numPr>
        <w:spacing w:before="240" w:after="120"/>
        <w:ind w:left="2124" w:hanging="1058"/>
        <w:contextualSpacing w:val="0"/>
        <w:jc w:val="both"/>
        <w:rPr>
          <w:color w:val="0D0D0D" w:themeColor="text1" w:themeTint="F2"/>
          <w:sz w:val="22"/>
          <w:szCs w:val="22"/>
          <w:lang w:val="es-ES_tradnl"/>
        </w:rPr>
      </w:pPr>
      <w:r w:rsidRPr="00506990">
        <w:rPr>
          <w:b/>
          <w:color w:val="0D0D0D" w:themeColor="text1" w:themeTint="F2"/>
          <w:sz w:val="22"/>
          <w:szCs w:val="22"/>
          <w:lang w:val="es-ES_tradnl"/>
        </w:rPr>
        <w:t>Judicial</w:t>
      </w:r>
      <w:r w:rsidRPr="00506990">
        <w:rPr>
          <w:color w:val="0D0D0D" w:themeColor="text1" w:themeTint="F2"/>
          <w:sz w:val="22"/>
          <w:szCs w:val="22"/>
          <w:lang w:val="es-ES_tradnl"/>
        </w:rPr>
        <w:t>: Superado los 120 días de mora se definen los créditos a judicializar. En todos los casos se dispone de pagaré firmado por el cliente y en su caso garante, lo que facilita la cobrabilidad del juicio en menor tiempo por disponer de procesos ejecutivos.</w:t>
      </w:r>
    </w:p>
    <w:p w14:paraId="032555D0" w14:textId="77777777" w:rsidR="00F74B80" w:rsidRPr="00506990" w:rsidRDefault="00F74B80" w:rsidP="00F77F79">
      <w:pPr>
        <w:spacing w:before="120" w:after="200"/>
        <w:ind w:left="709"/>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De acuerdo a la política de administración de Créditos del Fiduciante considera a un crédito como incobrable cuando su atraso supera los 360 días, en estos casos se previsiona el 100% del capital adeudado más los intereses devengados sin perjuicio de la continuación de las acciones judiciales de cobro..</w:t>
      </w:r>
    </w:p>
    <w:p w14:paraId="4A59B52C" w14:textId="77777777" w:rsidR="00F74B80" w:rsidRPr="00506990" w:rsidRDefault="00F74B80" w:rsidP="00270AFD">
      <w:pPr>
        <w:pStyle w:val="Prrafodelista"/>
        <w:numPr>
          <w:ilvl w:val="0"/>
          <w:numId w:val="10"/>
        </w:numPr>
        <w:spacing w:before="240" w:after="120"/>
        <w:ind w:left="1071" w:hanging="357"/>
        <w:contextualSpacing w:val="0"/>
        <w:jc w:val="both"/>
        <w:rPr>
          <w:b/>
          <w:color w:val="0D0D0D" w:themeColor="text1" w:themeTint="F2"/>
          <w:sz w:val="22"/>
          <w:szCs w:val="22"/>
          <w:lang w:val="es-ES_tradnl"/>
        </w:rPr>
      </w:pPr>
      <w:r w:rsidRPr="00506990">
        <w:rPr>
          <w:b/>
          <w:color w:val="0D0D0D" w:themeColor="text1" w:themeTint="F2"/>
          <w:sz w:val="22"/>
          <w:szCs w:val="22"/>
          <w:lang w:val="es-ES_tradnl"/>
        </w:rPr>
        <w:t>Otras acciones y modalidades de reclamo:</w:t>
      </w:r>
    </w:p>
    <w:p w14:paraId="6E88440F" w14:textId="77777777" w:rsidR="00F74B80" w:rsidRPr="00506990" w:rsidRDefault="00F74B80" w:rsidP="00270AFD">
      <w:pPr>
        <w:pStyle w:val="Prrafodelista"/>
        <w:numPr>
          <w:ilvl w:val="0"/>
          <w:numId w:val="14"/>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Back Office</w:t>
      </w:r>
      <w:r w:rsidRPr="00506990">
        <w:rPr>
          <w:color w:val="0D0D0D" w:themeColor="text1" w:themeTint="F2"/>
          <w:sz w:val="22"/>
          <w:szCs w:val="22"/>
          <w:lang w:val="es-ES_tradnl"/>
        </w:rPr>
        <w:t>: ante la dificultad de contacto en los teléfonos disponibles, se activa un circuito de averiguación de datos a través de un grupo de operadores, tendientes a localizar al deudor, para luego reinsertarlo en el circuito de reclamos.</w:t>
      </w:r>
    </w:p>
    <w:p w14:paraId="7CA7D394" w14:textId="77777777" w:rsidR="00F74B80" w:rsidRPr="00506990" w:rsidRDefault="00F74B80" w:rsidP="00270AFD">
      <w:pPr>
        <w:pStyle w:val="Prrafodelista"/>
        <w:numPr>
          <w:ilvl w:val="0"/>
          <w:numId w:val="14"/>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Visitas domiciliarias</w:t>
      </w:r>
      <w:r w:rsidRPr="00506990">
        <w:rPr>
          <w:color w:val="0D0D0D" w:themeColor="text1" w:themeTint="F2"/>
          <w:sz w:val="22"/>
          <w:szCs w:val="22"/>
          <w:lang w:val="es-ES_tradnl"/>
        </w:rPr>
        <w:t>: personal de las sucursales de venta realizan acciones personales de cobranza en el domicilio del deudor, cuando no fuera posible ubicarlo por otros medios y/o las características de la deuda lo ameriten.</w:t>
      </w:r>
    </w:p>
    <w:p w14:paraId="50EDFCC5" w14:textId="77777777" w:rsidR="005B4BF5" w:rsidRPr="00506990" w:rsidRDefault="00F74B80" w:rsidP="00270AFD">
      <w:pPr>
        <w:pStyle w:val="Prrafodelista"/>
        <w:numPr>
          <w:ilvl w:val="0"/>
          <w:numId w:val="14"/>
        </w:numPr>
        <w:spacing w:after="120"/>
        <w:contextualSpacing w:val="0"/>
        <w:jc w:val="both"/>
        <w:rPr>
          <w:color w:val="0D0D0D" w:themeColor="text1" w:themeTint="F2"/>
          <w:sz w:val="22"/>
          <w:szCs w:val="22"/>
          <w:lang w:val="es-ES_tradnl"/>
        </w:rPr>
      </w:pPr>
      <w:r w:rsidRPr="00506990">
        <w:rPr>
          <w:b/>
          <w:color w:val="0D0D0D" w:themeColor="text1" w:themeTint="F2"/>
          <w:sz w:val="22"/>
          <w:szCs w:val="22"/>
          <w:lang w:val="es-ES_tradnl"/>
        </w:rPr>
        <w:t>Sucursales</w:t>
      </w:r>
      <w:r w:rsidRPr="00506990">
        <w:rPr>
          <w:color w:val="0D0D0D" w:themeColor="text1" w:themeTint="F2"/>
          <w:sz w:val="22"/>
          <w:szCs w:val="22"/>
          <w:lang w:val="es-ES_tradnl"/>
        </w:rPr>
        <w:t>: personal de crédito y mora de las sucursales realiza acciones telefónicas de refuerzo a las realizadas desde el Call Center Central, cuando el cliente fuera de difícil ubicación y/o las características de la deuda lo ameriten, en coordinación con el Departamento de Cobranzas. En las sucursales se ofrece una atención personal para refinanciar deudas o realizar acuerdos de pago. Las sucursales calificadas como de mayor riesgo crediticio disponen de un encargado de mora que concentra las gestiones anteriores y de visita a domicilio.</w:t>
      </w:r>
      <w:r w:rsidR="005B4BF5" w:rsidRPr="00506990">
        <w:rPr>
          <w:color w:val="0D0D0D" w:themeColor="text1" w:themeTint="F2"/>
          <w:sz w:val="22"/>
          <w:szCs w:val="22"/>
          <w:lang w:val="es-ES_tradnl"/>
        </w:rPr>
        <w:t xml:space="preserve"> Se realiza además un seguimiento de efectividad de cobranzas o refinanciaciones realizadas por los Operadores de Caja de Sucursales, tendiente a recuperar el máximo de lo adeudado.</w:t>
      </w:r>
    </w:p>
    <w:p w14:paraId="4D6CD6C4" w14:textId="65FDB3F7" w:rsidR="00F74B80" w:rsidRPr="0098446E" w:rsidRDefault="00F74B80" w:rsidP="00F77F79">
      <w:pPr>
        <w:spacing w:after="120"/>
        <w:ind w:left="1068"/>
        <w:rPr>
          <w:rFonts w:ascii="Times New Roman" w:hAnsi="Times New Roman" w:cs="Times New Roman"/>
          <w:color w:val="0D0D0D" w:themeColor="text1" w:themeTint="F2"/>
          <w:sz w:val="22"/>
          <w:szCs w:val="22"/>
        </w:rPr>
      </w:pPr>
    </w:p>
    <w:p w14:paraId="1D78EBC0" w14:textId="6FE1BE16" w:rsidR="00CC479E" w:rsidRPr="000579E7" w:rsidRDefault="00F74B80" w:rsidP="00074CF9">
      <w:pPr>
        <w:pStyle w:val="Prrafodelista"/>
        <w:keepNext/>
        <w:numPr>
          <w:ilvl w:val="0"/>
          <w:numId w:val="14"/>
        </w:numPr>
        <w:suppressAutoHyphens/>
        <w:spacing w:after="120" w:line="240" w:lineRule="atLeast"/>
        <w:contextualSpacing w:val="0"/>
        <w:jc w:val="both"/>
        <w:rPr>
          <w:b/>
          <w:color w:val="0D0D0D" w:themeColor="text1" w:themeTint="F2"/>
          <w:sz w:val="22"/>
          <w:szCs w:val="22"/>
        </w:rPr>
      </w:pPr>
      <w:r w:rsidRPr="000579E7">
        <w:rPr>
          <w:b/>
          <w:color w:val="0D0D0D" w:themeColor="text1" w:themeTint="F2"/>
          <w:sz w:val="22"/>
          <w:szCs w:val="22"/>
          <w:lang w:val="es-ES_tradnl"/>
        </w:rPr>
        <w:t>Afectaciones Comerciales</w:t>
      </w:r>
      <w:r w:rsidRPr="000579E7">
        <w:rPr>
          <w:color w:val="0D0D0D" w:themeColor="text1" w:themeTint="F2"/>
          <w:sz w:val="22"/>
          <w:szCs w:val="22"/>
          <w:lang w:val="es-ES_tradnl"/>
        </w:rPr>
        <w:t xml:space="preserve">: mensualmente </w:t>
      </w:r>
      <w:r w:rsidR="00F30964" w:rsidRPr="000579E7">
        <w:rPr>
          <w:color w:val="0D0D0D" w:themeColor="text1" w:themeTint="F2"/>
          <w:sz w:val="22"/>
          <w:szCs w:val="22"/>
          <w:lang w:val="es-ES_tradnl"/>
        </w:rPr>
        <w:t xml:space="preserve">se afecta y desafecta en Institutos de informes a nivel Local, Regional y Nacional, analizándose </w:t>
      </w:r>
      <w:r w:rsidRPr="000579E7">
        <w:rPr>
          <w:color w:val="0D0D0D" w:themeColor="text1" w:themeTint="F2"/>
          <w:sz w:val="22"/>
          <w:szCs w:val="22"/>
          <w:lang w:val="es-ES_tradnl"/>
        </w:rPr>
        <w:t>procedencia según criterios de Gerencia.</w:t>
      </w:r>
    </w:p>
    <w:p w14:paraId="454FBB8C" w14:textId="77777777" w:rsidR="00F74B80" w:rsidRPr="00506990" w:rsidRDefault="00F74B80" w:rsidP="00F74B80">
      <w:pPr>
        <w:keepNext/>
        <w:suppressAutoHyphens/>
        <w:spacing w:line="240" w:lineRule="atLeast"/>
        <w:jc w:val="left"/>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Resumen de Cesiones</w:t>
      </w:r>
    </w:p>
    <w:p w14:paraId="215A4E85" w14:textId="77777777" w:rsidR="00844A2A" w:rsidRPr="00506990" w:rsidRDefault="00844A2A"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6F75B85E" w14:textId="4072D46B" w:rsidR="00844A2A" w:rsidRPr="00506990" w:rsidRDefault="00012497" w:rsidP="00502438">
      <w:pPr>
        <w:keepNext/>
        <w:suppressAutoHyphens/>
        <w:spacing w:line="240" w:lineRule="atLeast"/>
        <w:jc w:val="center"/>
        <w:rPr>
          <w:rFonts w:ascii="Times New Roman" w:hAnsi="Times New Roman" w:cs="Times New Roman"/>
          <w:b/>
          <w:color w:val="0D0D0D" w:themeColor="text1" w:themeTint="F2"/>
          <w:sz w:val="22"/>
          <w:szCs w:val="22"/>
          <w:u w:val="single"/>
        </w:rPr>
      </w:pPr>
      <w:r>
        <w:rPr>
          <w:noProof/>
          <w:lang w:val="es-AR" w:eastAsia="es-AR"/>
        </w:rPr>
        <w:drawing>
          <wp:inline distT="0" distB="0" distL="0" distR="0" wp14:anchorId="104BEDE8" wp14:editId="362FA6B5">
            <wp:extent cx="5613400" cy="542925"/>
            <wp:effectExtent l="0" t="0" r="635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3400" cy="542925"/>
                    </a:xfrm>
                    <a:prstGeom prst="rect">
                      <a:avLst/>
                    </a:prstGeom>
                    <a:noFill/>
                    <a:extLst/>
                  </pic:spPr>
                </pic:pic>
              </a:graphicData>
            </a:graphic>
          </wp:inline>
        </w:drawing>
      </w:r>
    </w:p>
    <w:p w14:paraId="6E56D092" w14:textId="365458FF" w:rsidR="00AF1E9B" w:rsidRPr="00506990" w:rsidRDefault="00AF1E9B" w:rsidP="00C91547">
      <w:pPr>
        <w:keepNext/>
        <w:suppressAutoHyphens/>
        <w:spacing w:line="240" w:lineRule="atLeast"/>
        <w:rPr>
          <w:rFonts w:ascii="Times New Roman" w:hAnsi="Times New Roman" w:cs="Times New Roman"/>
          <w:b/>
          <w:color w:val="0D0D0D" w:themeColor="text1" w:themeTint="F2"/>
          <w:sz w:val="22"/>
          <w:szCs w:val="22"/>
          <w:u w:val="single"/>
        </w:rPr>
      </w:pPr>
    </w:p>
    <w:p w14:paraId="377DC830" w14:textId="77777777" w:rsidR="00844A2A" w:rsidRPr="00506990" w:rsidRDefault="00844A2A"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6638ABC6" w14:textId="0D0B2A59" w:rsidR="00F74B80" w:rsidRPr="00506990" w:rsidRDefault="00F74B80" w:rsidP="00F74B80">
      <w:pPr>
        <w:keepNext/>
        <w:suppressAutoHyphens/>
        <w:spacing w:line="240" w:lineRule="atLeast"/>
        <w:rPr>
          <w:rFonts w:ascii="Times New Roman" w:hAnsi="Times New Roman" w:cs="Times New Roman"/>
          <w:b/>
          <w:color w:val="0D0D0D" w:themeColor="text1" w:themeTint="F2"/>
          <w:sz w:val="22"/>
          <w:szCs w:val="22"/>
          <w:u w:val="single"/>
        </w:rPr>
      </w:pPr>
      <w:r w:rsidRPr="00506990">
        <w:rPr>
          <w:rFonts w:ascii="Times New Roman" w:hAnsi="Times New Roman" w:cs="Times New Roman"/>
          <w:sz w:val="22"/>
          <w:szCs w:val="22"/>
        </w:rPr>
        <w:t>De acuerdo a la definición de Valor Fideicomitido prevista en el Contrato Suplementario, el capital transferido de los créditos es igual</w:t>
      </w:r>
      <w:r w:rsidR="00BC73B9" w:rsidRPr="00506990">
        <w:rPr>
          <w:rFonts w:ascii="Times New Roman" w:hAnsi="Times New Roman" w:cs="Times New Roman"/>
          <w:sz w:val="22"/>
          <w:szCs w:val="22"/>
        </w:rPr>
        <w:t xml:space="preserve"> a </w:t>
      </w:r>
      <w:r w:rsidR="00BC1C33" w:rsidRPr="00506990">
        <w:rPr>
          <w:rFonts w:ascii="Times New Roman" w:hAnsi="Times New Roman" w:cs="Times New Roman"/>
          <w:sz w:val="22"/>
          <w:szCs w:val="22"/>
        </w:rPr>
        <w:t>al saldo de capital de los Créditos fideicomitidos</w:t>
      </w:r>
      <w:r w:rsidRPr="00506990">
        <w:rPr>
          <w:rFonts w:ascii="Times New Roman" w:hAnsi="Times New Roman" w:cs="Times New Roman"/>
          <w:sz w:val="22"/>
          <w:szCs w:val="22"/>
        </w:rPr>
        <w:t>.</w:t>
      </w:r>
    </w:p>
    <w:p w14:paraId="2722A72B" w14:textId="77777777" w:rsidR="00F74B80" w:rsidRPr="00506990" w:rsidRDefault="00F74B80" w:rsidP="00F74B80">
      <w:pPr>
        <w:pStyle w:val="Textosinformato"/>
        <w:jc w:val="both"/>
        <w:rPr>
          <w:rFonts w:ascii="Times New Roman" w:hAnsi="Times New Roman"/>
          <w:b/>
          <w:bCs/>
          <w:iCs/>
          <w:color w:val="0D0D0D" w:themeColor="text1" w:themeTint="F2"/>
          <w:sz w:val="22"/>
          <w:szCs w:val="22"/>
          <w:lang w:val="es-ES"/>
        </w:rPr>
      </w:pPr>
    </w:p>
    <w:p w14:paraId="7773E719" w14:textId="77777777"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14:paraId="242F5050" w14:textId="24F125FF" w:rsidR="00545AE5" w:rsidRPr="00506990" w:rsidRDefault="00545AE5" w:rsidP="00F74B80">
      <w:pPr>
        <w:pStyle w:val="Textosinformato"/>
        <w:jc w:val="center"/>
        <w:rPr>
          <w:rFonts w:ascii="Times New Roman" w:hAnsi="Times New Roman"/>
          <w:bCs/>
          <w:i/>
          <w:iCs/>
          <w:color w:val="0D0D0D" w:themeColor="text1" w:themeTint="F2"/>
          <w:sz w:val="22"/>
          <w:szCs w:val="22"/>
          <w:lang w:val="es-ES"/>
        </w:rPr>
      </w:pPr>
      <w:r w:rsidRPr="00506990">
        <w:rPr>
          <w:rFonts w:ascii="Times New Roman" w:hAnsi="Times New Roman"/>
          <w:bCs/>
          <w:i/>
          <w:iCs/>
          <w:color w:val="0D0D0D" w:themeColor="text1" w:themeTint="F2"/>
          <w:sz w:val="22"/>
          <w:szCs w:val="22"/>
          <w:lang w:val="es-ES"/>
        </w:rPr>
        <w:t>Análisis de la cartera a la fecha de corte</w:t>
      </w:r>
    </w:p>
    <w:p w14:paraId="3475990D" w14:textId="77777777"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p>
    <w:p w14:paraId="58F7855A" w14:textId="2B4161BF" w:rsidR="00BC1C33" w:rsidRPr="00506990" w:rsidRDefault="00012497" w:rsidP="00BC1C33">
      <w:pPr>
        <w:pStyle w:val="Textosinformato"/>
        <w:jc w:val="center"/>
        <w:rPr>
          <w:rFonts w:ascii="Times New Roman" w:hAnsi="Times New Roman"/>
          <w:b/>
          <w:bCs/>
          <w:iCs/>
          <w:color w:val="0D0D0D" w:themeColor="text1" w:themeTint="F2"/>
          <w:sz w:val="22"/>
          <w:szCs w:val="22"/>
          <w:u w:val="single"/>
          <w:lang w:val="es-ES"/>
        </w:rPr>
      </w:pPr>
      <w:r>
        <w:rPr>
          <w:noProof/>
          <w:lang w:val="es-AR" w:eastAsia="es-AR"/>
        </w:rPr>
        <w:drawing>
          <wp:inline distT="0" distB="0" distL="0" distR="0" wp14:anchorId="064FB3FB" wp14:editId="412988C2">
            <wp:extent cx="5739005" cy="9906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73941" cy="996630"/>
                    </a:xfrm>
                    <a:prstGeom prst="rect">
                      <a:avLst/>
                    </a:prstGeom>
                    <a:noFill/>
                    <a:extLst/>
                  </pic:spPr>
                </pic:pic>
              </a:graphicData>
            </a:graphic>
          </wp:inline>
        </w:drawing>
      </w:r>
    </w:p>
    <w:p w14:paraId="2AC3AC8E" w14:textId="513BAE8C" w:rsidR="00BC1C33" w:rsidRPr="00506990" w:rsidRDefault="00BC1C33" w:rsidP="00BC1C33">
      <w:pPr>
        <w:pStyle w:val="Textosinformato"/>
        <w:jc w:val="center"/>
        <w:rPr>
          <w:rFonts w:ascii="Times New Roman" w:hAnsi="Times New Roman"/>
          <w:b/>
          <w:bCs/>
          <w:iCs/>
          <w:color w:val="0D0D0D" w:themeColor="text1" w:themeTint="F2"/>
          <w:sz w:val="22"/>
          <w:szCs w:val="22"/>
          <w:u w:val="single"/>
          <w:lang w:val="es-ES"/>
        </w:rPr>
      </w:pPr>
    </w:p>
    <w:p w14:paraId="4E2EA7BF" w14:textId="11A89B38" w:rsidR="00A52B9F" w:rsidRPr="00506990" w:rsidRDefault="003E4F5D" w:rsidP="00BC1C33">
      <w:pPr>
        <w:pStyle w:val="Textosinformato"/>
        <w:jc w:val="both"/>
        <w:rPr>
          <w:rFonts w:ascii="Times New Roman" w:hAnsi="Times New Roman"/>
          <w:sz w:val="22"/>
          <w:szCs w:val="22"/>
        </w:rPr>
      </w:pPr>
      <w:r>
        <w:rPr>
          <w:noProof/>
          <w:lang w:val="es-AR" w:eastAsia="es-AR"/>
        </w:rPr>
        <w:drawing>
          <wp:inline distT="0" distB="0" distL="0" distR="0" wp14:anchorId="335EE1E2" wp14:editId="07CA77C7">
            <wp:extent cx="2465511" cy="441325"/>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520378" cy="451146"/>
                    </a:xfrm>
                    <a:prstGeom prst="rect">
                      <a:avLst/>
                    </a:prstGeom>
                    <a:noFill/>
                    <a:extLst/>
                  </pic:spPr>
                </pic:pic>
              </a:graphicData>
            </a:graphic>
          </wp:inline>
        </w:drawing>
      </w:r>
    </w:p>
    <w:p w14:paraId="4E4AD79D" w14:textId="0C576433" w:rsidR="00A52B9F" w:rsidRPr="00506990" w:rsidRDefault="00A52B9F" w:rsidP="00BC1C33">
      <w:pPr>
        <w:pStyle w:val="Textosinformato"/>
        <w:jc w:val="both"/>
        <w:rPr>
          <w:rFonts w:ascii="Times New Roman" w:hAnsi="Times New Roman"/>
          <w:sz w:val="22"/>
          <w:szCs w:val="22"/>
        </w:rPr>
      </w:pPr>
    </w:p>
    <w:p w14:paraId="65C686DC" w14:textId="7F810273" w:rsidR="00BC1C33" w:rsidRPr="00506990" w:rsidRDefault="00BC1C33" w:rsidP="00BC1C33">
      <w:pPr>
        <w:pStyle w:val="Textosinformato"/>
        <w:jc w:val="center"/>
        <w:rPr>
          <w:rFonts w:ascii="Times New Roman" w:hAnsi="Times New Roman"/>
          <w:b/>
          <w:bCs/>
          <w:iCs/>
          <w:color w:val="0D0D0D" w:themeColor="text1" w:themeTint="F2"/>
          <w:sz w:val="22"/>
          <w:szCs w:val="22"/>
          <w:u w:val="single"/>
          <w:lang w:val="es-ES"/>
        </w:rPr>
      </w:pPr>
    </w:p>
    <w:p w14:paraId="0C309246" w14:textId="65FA7A28" w:rsidR="00BC1C33" w:rsidRPr="00506990" w:rsidRDefault="00BC1C33" w:rsidP="00C516C3">
      <w:pPr>
        <w:pStyle w:val="Textosinformato"/>
        <w:rPr>
          <w:rFonts w:ascii="Times New Roman" w:hAnsi="Times New Roman"/>
          <w:b/>
          <w:bCs/>
          <w:iCs/>
          <w:color w:val="0D0D0D" w:themeColor="text1" w:themeTint="F2"/>
          <w:sz w:val="22"/>
          <w:szCs w:val="22"/>
          <w:u w:val="single"/>
          <w:lang w:val="es-ES"/>
        </w:rPr>
      </w:pPr>
    </w:p>
    <w:p w14:paraId="63C0C969" w14:textId="6F209983" w:rsidR="00414D9D" w:rsidRPr="00506990" w:rsidRDefault="00414D9D" w:rsidP="008F4E11">
      <w:pPr>
        <w:pStyle w:val="Textosinformato"/>
        <w:jc w:val="both"/>
        <w:rPr>
          <w:rFonts w:ascii="Times New Roman" w:hAnsi="Times New Roman"/>
          <w:b/>
          <w:iCs/>
          <w:color w:val="0D0D0D" w:themeColor="text1" w:themeTint="F2"/>
          <w:sz w:val="22"/>
          <w:szCs w:val="22"/>
          <w:lang w:val="es-ES"/>
        </w:rPr>
      </w:pPr>
    </w:p>
    <w:p w14:paraId="725B598E" w14:textId="77777777" w:rsidR="00AF1E9B" w:rsidRPr="00506990" w:rsidRDefault="00AF1E9B" w:rsidP="008F4E11">
      <w:pPr>
        <w:pStyle w:val="Textosinformato"/>
        <w:jc w:val="both"/>
        <w:rPr>
          <w:rFonts w:ascii="Times New Roman" w:hAnsi="Times New Roman"/>
          <w:b/>
          <w:iCs/>
          <w:color w:val="0D0D0D" w:themeColor="text1" w:themeTint="F2"/>
          <w:sz w:val="22"/>
          <w:szCs w:val="22"/>
          <w:lang w:val="es-ES"/>
        </w:rPr>
      </w:pPr>
    </w:p>
    <w:p w14:paraId="5810C7B5" w14:textId="48123392" w:rsidR="00A52B9F" w:rsidRPr="00506990" w:rsidRDefault="003E4F5D" w:rsidP="008F4E11">
      <w:pPr>
        <w:pStyle w:val="Textosinformato"/>
        <w:jc w:val="both"/>
        <w:rPr>
          <w:rFonts w:ascii="Times New Roman" w:hAnsi="Times New Roman"/>
          <w:b/>
          <w:iCs/>
          <w:color w:val="0D0D0D" w:themeColor="text1" w:themeTint="F2"/>
          <w:sz w:val="22"/>
          <w:szCs w:val="22"/>
          <w:lang w:val="es-ES"/>
        </w:rPr>
      </w:pPr>
      <w:r>
        <w:rPr>
          <w:noProof/>
          <w:lang w:val="es-AR" w:eastAsia="es-AR"/>
        </w:rPr>
        <w:drawing>
          <wp:inline distT="0" distB="0" distL="0" distR="0" wp14:anchorId="4776E19A" wp14:editId="0A8317E8">
            <wp:extent cx="5613400" cy="1185545"/>
            <wp:effectExtent l="0" t="0" r="635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13400" cy="1185545"/>
                    </a:xfrm>
                    <a:prstGeom prst="rect">
                      <a:avLst/>
                    </a:prstGeom>
                    <a:noFill/>
                    <a:extLst/>
                  </pic:spPr>
                </pic:pic>
              </a:graphicData>
            </a:graphic>
          </wp:inline>
        </w:drawing>
      </w:r>
    </w:p>
    <w:p w14:paraId="7979F06C" w14:textId="77777777" w:rsidR="00F9180C" w:rsidRPr="00506990" w:rsidRDefault="00F9180C">
      <w:pPr>
        <w:pStyle w:val="Textosinformato"/>
        <w:jc w:val="center"/>
        <w:rPr>
          <w:rFonts w:ascii="Times New Roman" w:hAnsi="Times New Roman"/>
          <w:b/>
          <w:iCs/>
          <w:color w:val="0D0D0D" w:themeColor="text1" w:themeTint="F2"/>
          <w:sz w:val="22"/>
          <w:szCs w:val="22"/>
          <w:lang w:val="es-ES"/>
        </w:rPr>
      </w:pPr>
    </w:p>
    <w:p w14:paraId="4985E446" w14:textId="51C04634" w:rsidR="006A097F" w:rsidRPr="00506990"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ORIGINAL</w:t>
      </w:r>
    </w:p>
    <w:p w14:paraId="15339545" w14:textId="3DFFF338" w:rsidR="001F29E8" w:rsidRPr="00506990" w:rsidRDefault="001F29E8" w:rsidP="00F74B80">
      <w:pPr>
        <w:pStyle w:val="Textosinformato"/>
        <w:jc w:val="center"/>
        <w:rPr>
          <w:rFonts w:ascii="Times New Roman" w:hAnsi="Times New Roman"/>
          <w:color w:val="0D0D0D" w:themeColor="text1" w:themeTint="F2"/>
          <w:sz w:val="22"/>
          <w:szCs w:val="22"/>
          <w:highlight w:val="yellow"/>
          <w:u w:val="single"/>
        </w:rPr>
      </w:pPr>
    </w:p>
    <w:p w14:paraId="50204EEB" w14:textId="0ED93730" w:rsidR="00F74B80" w:rsidRPr="00506990" w:rsidRDefault="003E4F5D" w:rsidP="00121F94">
      <w:pPr>
        <w:pStyle w:val="Textosinformato"/>
        <w:jc w:val="both"/>
        <w:rPr>
          <w:rFonts w:ascii="Times New Roman" w:hAnsi="Times New Roman"/>
          <w:b/>
          <w:iCs/>
          <w:color w:val="0D0D0D" w:themeColor="text1" w:themeTint="F2"/>
          <w:sz w:val="22"/>
          <w:szCs w:val="22"/>
          <w:lang w:val="es-ES"/>
        </w:rPr>
      </w:pPr>
      <w:r>
        <w:rPr>
          <w:noProof/>
          <w:lang w:val="es-AR" w:eastAsia="es-AR"/>
        </w:rPr>
        <w:drawing>
          <wp:inline distT="0" distB="0" distL="0" distR="0" wp14:anchorId="3E26EE4D" wp14:editId="5D0CA974">
            <wp:extent cx="5613400" cy="1976120"/>
            <wp:effectExtent l="0" t="0" r="6350" b="508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3400" cy="1976120"/>
                    </a:xfrm>
                    <a:prstGeom prst="rect">
                      <a:avLst/>
                    </a:prstGeom>
                    <a:noFill/>
                    <a:extLst/>
                  </pic:spPr>
                </pic:pic>
              </a:graphicData>
            </a:graphic>
          </wp:inline>
        </w:drawing>
      </w:r>
    </w:p>
    <w:p w14:paraId="7410407A" w14:textId="23742C4B" w:rsidR="00F9180C" w:rsidRPr="00506990" w:rsidRDefault="00F9180C" w:rsidP="00270AFD">
      <w:pPr>
        <w:pStyle w:val="Textosinformato"/>
        <w:rPr>
          <w:rFonts w:ascii="Times New Roman" w:hAnsi="Times New Roman"/>
          <w:b/>
          <w:iCs/>
          <w:color w:val="0D0D0D" w:themeColor="text1" w:themeTint="F2"/>
          <w:sz w:val="22"/>
          <w:szCs w:val="22"/>
          <w:lang w:val="es-ES"/>
        </w:rPr>
      </w:pPr>
    </w:p>
    <w:p w14:paraId="5AE697F5" w14:textId="74D07322" w:rsidR="00A52B9F" w:rsidRPr="00506990" w:rsidRDefault="00A52B9F" w:rsidP="00270AFD">
      <w:pPr>
        <w:pStyle w:val="Textosinformato"/>
        <w:rPr>
          <w:rFonts w:ascii="Times New Roman" w:hAnsi="Times New Roman"/>
          <w:b/>
          <w:iCs/>
          <w:color w:val="0D0D0D" w:themeColor="text1" w:themeTint="F2"/>
          <w:sz w:val="22"/>
          <w:szCs w:val="22"/>
          <w:lang w:val="es-ES"/>
        </w:rPr>
      </w:pPr>
    </w:p>
    <w:p w14:paraId="7BDDC939" w14:textId="572DDBF5" w:rsidR="00AF1E9B" w:rsidRPr="00506990" w:rsidRDefault="00AF1E9B" w:rsidP="00270AFD">
      <w:pPr>
        <w:pStyle w:val="Textosinformato"/>
        <w:rPr>
          <w:rFonts w:ascii="Times New Roman" w:hAnsi="Times New Roman"/>
          <w:b/>
          <w:iCs/>
          <w:color w:val="0D0D0D" w:themeColor="text1" w:themeTint="F2"/>
          <w:sz w:val="22"/>
          <w:szCs w:val="22"/>
          <w:lang w:val="es-ES"/>
        </w:rPr>
      </w:pPr>
    </w:p>
    <w:p w14:paraId="1E25CFD5" w14:textId="77777777" w:rsidR="00361D5B" w:rsidRPr="00506990" w:rsidRDefault="00361D5B" w:rsidP="00270AFD">
      <w:pPr>
        <w:pStyle w:val="Textosinformato"/>
        <w:rPr>
          <w:rFonts w:ascii="Times New Roman" w:hAnsi="Times New Roman"/>
          <w:b/>
          <w:iCs/>
          <w:color w:val="0D0D0D" w:themeColor="text1" w:themeTint="F2"/>
          <w:sz w:val="22"/>
          <w:szCs w:val="22"/>
          <w:lang w:val="es-ES"/>
        </w:rPr>
      </w:pPr>
    </w:p>
    <w:p w14:paraId="588D6496" w14:textId="70C7567C" w:rsidR="00C85CFC" w:rsidRPr="00506990" w:rsidRDefault="00C85CFC" w:rsidP="00270AFD">
      <w:pPr>
        <w:pStyle w:val="Textosinformato"/>
        <w:rPr>
          <w:rFonts w:ascii="Times New Roman" w:hAnsi="Times New Roman"/>
          <w:iCs/>
          <w:color w:val="0D0D0D" w:themeColor="text1" w:themeTint="F2"/>
          <w:sz w:val="22"/>
          <w:szCs w:val="22"/>
          <w:lang w:val="es-ES"/>
        </w:rPr>
      </w:pPr>
      <w:r w:rsidRPr="00506990">
        <w:rPr>
          <w:rFonts w:ascii="Times New Roman" w:hAnsi="Times New Roman"/>
          <w:iCs/>
          <w:color w:val="0D0D0D" w:themeColor="text1" w:themeTint="F2"/>
          <w:sz w:val="22"/>
          <w:szCs w:val="22"/>
          <w:lang w:val="es-ES"/>
        </w:rPr>
        <w:t>El límite expuesto se corresponde con créditos que se originaron en el año 2018 bajo las Normas de Originación vigentes en ese momento</w:t>
      </w:r>
      <w:r w:rsidR="006031AE" w:rsidRPr="00506990">
        <w:rPr>
          <w:rFonts w:ascii="Times New Roman" w:hAnsi="Times New Roman"/>
          <w:iCs/>
          <w:color w:val="0D0D0D" w:themeColor="text1" w:themeTint="F2"/>
          <w:sz w:val="22"/>
          <w:szCs w:val="22"/>
          <w:lang w:val="es-ES"/>
        </w:rPr>
        <w:t xml:space="preserve"> (máximo de $ 78.000)</w:t>
      </w:r>
      <w:r w:rsidRPr="00506990">
        <w:rPr>
          <w:rFonts w:ascii="Times New Roman" w:hAnsi="Times New Roman"/>
          <w:iCs/>
          <w:color w:val="0D0D0D" w:themeColor="text1" w:themeTint="F2"/>
          <w:sz w:val="22"/>
          <w:szCs w:val="22"/>
          <w:lang w:val="es-ES"/>
        </w:rPr>
        <w:t xml:space="preserve">.  </w:t>
      </w:r>
    </w:p>
    <w:p w14:paraId="7215F1BF" w14:textId="77777777" w:rsidR="00C85CFC" w:rsidRPr="00506990" w:rsidRDefault="00C85CFC" w:rsidP="00F74B80">
      <w:pPr>
        <w:pStyle w:val="Textosinformato"/>
        <w:jc w:val="center"/>
        <w:rPr>
          <w:rFonts w:ascii="Times New Roman" w:hAnsi="Times New Roman"/>
          <w:b/>
          <w:iCs/>
          <w:color w:val="0D0D0D" w:themeColor="text1" w:themeTint="F2"/>
          <w:sz w:val="22"/>
          <w:szCs w:val="22"/>
          <w:lang w:val="es-ES"/>
        </w:rPr>
      </w:pPr>
    </w:p>
    <w:p w14:paraId="02807F91"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p>
    <w:p w14:paraId="282982A7" w14:textId="20B210DA"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16AA8A43" w14:textId="76CEDA45" w:rsidR="00F74B80" w:rsidRPr="00506990" w:rsidRDefault="003E4F5D" w:rsidP="00F74B80">
      <w:pPr>
        <w:pStyle w:val="Textosinformato"/>
        <w:jc w:val="center"/>
        <w:rPr>
          <w:rFonts w:ascii="Times New Roman" w:hAnsi="Times New Roman"/>
          <w:color w:val="0D0D0D" w:themeColor="text1" w:themeTint="F2"/>
          <w:sz w:val="22"/>
          <w:szCs w:val="22"/>
          <w:highlight w:val="yellow"/>
          <w:u w:val="single"/>
        </w:rPr>
      </w:pPr>
      <w:r>
        <w:rPr>
          <w:noProof/>
          <w:lang w:val="es-AR" w:eastAsia="es-AR"/>
        </w:rPr>
        <w:drawing>
          <wp:inline distT="0" distB="0" distL="0" distR="0" wp14:anchorId="789890FC" wp14:editId="56CCD455">
            <wp:extent cx="5613400" cy="2225040"/>
            <wp:effectExtent l="0" t="0" r="6350" b="381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3400" cy="2225040"/>
                    </a:xfrm>
                    <a:prstGeom prst="rect">
                      <a:avLst/>
                    </a:prstGeom>
                    <a:noFill/>
                    <a:extLst/>
                  </pic:spPr>
                </pic:pic>
              </a:graphicData>
            </a:graphic>
          </wp:inline>
        </w:drawing>
      </w:r>
    </w:p>
    <w:p w14:paraId="7655BBC3" w14:textId="792709D9" w:rsidR="00A52B9F" w:rsidRPr="00506990" w:rsidRDefault="00A52B9F" w:rsidP="00F74B80">
      <w:pPr>
        <w:pStyle w:val="Textosinformato"/>
        <w:jc w:val="center"/>
        <w:rPr>
          <w:rFonts w:ascii="Times New Roman" w:hAnsi="Times New Roman"/>
          <w:color w:val="0D0D0D" w:themeColor="text1" w:themeTint="F2"/>
          <w:sz w:val="22"/>
          <w:szCs w:val="22"/>
          <w:highlight w:val="yellow"/>
          <w:u w:val="single"/>
        </w:rPr>
      </w:pPr>
    </w:p>
    <w:p w14:paraId="69B1BA13" w14:textId="0E91A3FB" w:rsidR="00AF1E9B" w:rsidRPr="00506990" w:rsidRDefault="00AF1E9B" w:rsidP="00F74B80">
      <w:pPr>
        <w:pStyle w:val="Textosinformato"/>
        <w:jc w:val="center"/>
        <w:rPr>
          <w:rFonts w:ascii="Times New Roman" w:hAnsi="Times New Roman"/>
          <w:color w:val="0D0D0D" w:themeColor="text1" w:themeTint="F2"/>
          <w:sz w:val="22"/>
          <w:szCs w:val="22"/>
          <w:highlight w:val="yellow"/>
          <w:u w:val="single"/>
        </w:rPr>
      </w:pPr>
    </w:p>
    <w:p w14:paraId="7CB5588E" w14:textId="23222538"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color w:val="0D0D0D" w:themeColor="text1" w:themeTint="F2"/>
          <w:sz w:val="22"/>
          <w:szCs w:val="22"/>
          <w:highlight w:val="yellow"/>
          <w:u w:val="single"/>
        </w:rPr>
        <w:t xml:space="preserve"> </w:t>
      </w:r>
    </w:p>
    <w:p w14:paraId="54132F01"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ANTIGÜEDAD</w:t>
      </w:r>
    </w:p>
    <w:p w14:paraId="575AEB6F" w14:textId="626DF2F0" w:rsidR="001F29E8" w:rsidRPr="00506990" w:rsidRDefault="003E4F5D" w:rsidP="00F74B80">
      <w:pPr>
        <w:pStyle w:val="Textosinformato"/>
        <w:jc w:val="center"/>
        <w:rPr>
          <w:rFonts w:ascii="Times New Roman" w:hAnsi="Times New Roman"/>
          <w:b/>
          <w:iCs/>
          <w:color w:val="0D0D0D" w:themeColor="text1" w:themeTint="F2"/>
          <w:sz w:val="22"/>
          <w:szCs w:val="22"/>
          <w:lang w:val="es-ES"/>
        </w:rPr>
      </w:pPr>
      <w:r>
        <w:rPr>
          <w:noProof/>
          <w:lang w:val="es-AR" w:eastAsia="es-AR"/>
        </w:rPr>
        <w:drawing>
          <wp:inline distT="0" distB="0" distL="0" distR="0" wp14:anchorId="2F0DCF8F" wp14:editId="35505385">
            <wp:extent cx="5613400" cy="2033270"/>
            <wp:effectExtent l="0" t="0" r="6350" b="508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3400" cy="2033270"/>
                    </a:xfrm>
                    <a:prstGeom prst="rect">
                      <a:avLst/>
                    </a:prstGeom>
                    <a:noFill/>
                    <a:extLst/>
                  </pic:spPr>
                </pic:pic>
              </a:graphicData>
            </a:graphic>
          </wp:inline>
        </w:drawing>
      </w:r>
    </w:p>
    <w:p w14:paraId="5047146C" w14:textId="77777777" w:rsidR="00AF1E9B" w:rsidRPr="00506990" w:rsidRDefault="00AF1E9B" w:rsidP="00C91547">
      <w:pPr>
        <w:pStyle w:val="Textosinformato"/>
        <w:rPr>
          <w:rFonts w:ascii="Times New Roman" w:hAnsi="Times New Roman"/>
        </w:rPr>
      </w:pPr>
    </w:p>
    <w:p w14:paraId="761FBD3D" w14:textId="7A2D4823" w:rsidR="00F9180C" w:rsidRPr="00506990" w:rsidRDefault="00F9180C" w:rsidP="00F74B80">
      <w:pPr>
        <w:pStyle w:val="Textosinformato"/>
        <w:rPr>
          <w:rFonts w:ascii="Times New Roman" w:hAnsi="Times New Roman"/>
          <w:iCs/>
          <w:color w:val="0D0D0D" w:themeColor="text1" w:themeTint="F2"/>
          <w:sz w:val="22"/>
          <w:szCs w:val="22"/>
          <w:lang w:val="es-ES"/>
        </w:rPr>
      </w:pPr>
    </w:p>
    <w:p w14:paraId="1B61872B" w14:textId="77777777" w:rsidR="00F74B80" w:rsidRPr="00506990" w:rsidRDefault="00F74B80" w:rsidP="00F74B80">
      <w:pPr>
        <w:pStyle w:val="Textosinformato"/>
        <w:rPr>
          <w:rFonts w:ascii="Times New Roman" w:hAnsi="Times New Roman"/>
          <w:iCs/>
          <w:color w:val="0D0D0D" w:themeColor="text1" w:themeTint="F2"/>
          <w:sz w:val="22"/>
          <w:szCs w:val="22"/>
          <w:lang w:val="es-ES"/>
        </w:rPr>
      </w:pPr>
      <w:r w:rsidRPr="00506990">
        <w:rPr>
          <w:rFonts w:ascii="Times New Roman" w:hAnsi="Times New Roman"/>
          <w:iCs/>
          <w:color w:val="0D0D0D" w:themeColor="text1" w:themeTint="F2"/>
          <w:sz w:val="22"/>
          <w:szCs w:val="22"/>
          <w:lang w:val="es-ES"/>
        </w:rPr>
        <w:t>Se entiende por Antigüedad al número de cuotas del crédito vencidas con anterioridad a la fecha de corte.</w:t>
      </w:r>
    </w:p>
    <w:p w14:paraId="078B45E8"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p>
    <w:p w14:paraId="05057B20"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REMANENTE</w:t>
      </w:r>
    </w:p>
    <w:p w14:paraId="07D2E5AA" w14:textId="77777777"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3E5123B0" w14:textId="04DF9CBE" w:rsidR="00F74B80" w:rsidRPr="00506990" w:rsidRDefault="003E4F5D" w:rsidP="00F74B80">
      <w:pPr>
        <w:pStyle w:val="Textosinformato"/>
        <w:jc w:val="center"/>
        <w:rPr>
          <w:rFonts w:ascii="Times New Roman" w:hAnsi="Times New Roman"/>
          <w:color w:val="0D0D0D" w:themeColor="text1" w:themeTint="F2"/>
          <w:sz w:val="22"/>
          <w:szCs w:val="22"/>
          <w:highlight w:val="yellow"/>
          <w:u w:val="single"/>
        </w:rPr>
      </w:pPr>
      <w:r>
        <w:rPr>
          <w:noProof/>
          <w:lang w:val="es-AR" w:eastAsia="es-AR"/>
        </w:rPr>
        <w:drawing>
          <wp:inline distT="0" distB="0" distL="0" distR="0" wp14:anchorId="118CCADE" wp14:editId="3913720B">
            <wp:extent cx="5613400" cy="1884045"/>
            <wp:effectExtent l="0" t="0" r="6350" b="1905"/>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3400" cy="1884045"/>
                    </a:xfrm>
                    <a:prstGeom prst="rect">
                      <a:avLst/>
                    </a:prstGeom>
                    <a:noFill/>
                    <a:extLst/>
                  </pic:spPr>
                </pic:pic>
              </a:graphicData>
            </a:graphic>
          </wp:inline>
        </w:drawing>
      </w:r>
    </w:p>
    <w:p w14:paraId="42B90B4A" w14:textId="77777777" w:rsidR="00F9180C" w:rsidRPr="00506990" w:rsidRDefault="00F9180C" w:rsidP="00F74B80">
      <w:pPr>
        <w:pStyle w:val="Textosinformato"/>
        <w:jc w:val="center"/>
        <w:rPr>
          <w:rFonts w:ascii="Times New Roman" w:hAnsi="Times New Roman"/>
          <w:b/>
          <w:iCs/>
          <w:color w:val="0D0D0D" w:themeColor="text1" w:themeTint="F2"/>
          <w:sz w:val="22"/>
          <w:szCs w:val="22"/>
          <w:lang w:val="es-ES"/>
        </w:rPr>
      </w:pPr>
    </w:p>
    <w:p w14:paraId="39C5727D"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PLAZO ORIGINAL</w:t>
      </w:r>
    </w:p>
    <w:p w14:paraId="66C5E5EC" w14:textId="2100ECB2"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p>
    <w:p w14:paraId="4C846714" w14:textId="5F82FE3F" w:rsidR="00F74B80" w:rsidRPr="00506990" w:rsidRDefault="003E4F5D" w:rsidP="00F74B80">
      <w:pPr>
        <w:pStyle w:val="Textosinformato"/>
        <w:jc w:val="center"/>
        <w:rPr>
          <w:rFonts w:ascii="Times New Roman" w:hAnsi="Times New Roman"/>
          <w:highlight w:val="yellow"/>
        </w:rPr>
      </w:pPr>
      <w:r>
        <w:rPr>
          <w:noProof/>
          <w:lang w:val="es-AR" w:eastAsia="es-AR"/>
        </w:rPr>
        <w:drawing>
          <wp:inline distT="0" distB="0" distL="0" distR="0" wp14:anchorId="3F6094D9" wp14:editId="093391D9">
            <wp:extent cx="5613400" cy="2197100"/>
            <wp:effectExtent l="0" t="0" r="635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13400" cy="2197100"/>
                    </a:xfrm>
                    <a:prstGeom prst="rect">
                      <a:avLst/>
                    </a:prstGeom>
                    <a:noFill/>
                    <a:extLst/>
                  </pic:spPr>
                </pic:pic>
              </a:graphicData>
            </a:graphic>
          </wp:inline>
        </w:drawing>
      </w:r>
    </w:p>
    <w:p w14:paraId="13AB34EA" w14:textId="4DF45D4C" w:rsidR="00C85CFC" w:rsidRPr="00506990" w:rsidRDefault="00C85CFC" w:rsidP="00F74B80">
      <w:pPr>
        <w:pStyle w:val="Textosinformato"/>
        <w:rPr>
          <w:rFonts w:ascii="Times New Roman" w:hAnsi="Times New Roman"/>
          <w:b/>
          <w:iCs/>
          <w:color w:val="0D0D0D" w:themeColor="text1" w:themeTint="F2"/>
          <w:sz w:val="22"/>
          <w:szCs w:val="22"/>
          <w:lang w:val="es-ES"/>
        </w:rPr>
      </w:pPr>
    </w:p>
    <w:p w14:paraId="5B8571A9" w14:textId="77777777" w:rsidR="00A52B9F" w:rsidRPr="00506990" w:rsidRDefault="00A52B9F" w:rsidP="00F74B80">
      <w:pPr>
        <w:pStyle w:val="Textosinformato"/>
        <w:rPr>
          <w:rFonts w:ascii="Times New Roman" w:hAnsi="Times New Roman"/>
          <w:b/>
          <w:iCs/>
          <w:color w:val="0D0D0D" w:themeColor="text1" w:themeTint="F2"/>
          <w:sz w:val="22"/>
          <w:szCs w:val="22"/>
          <w:lang w:val="es-ES"/>
        </w:rPr>
      </w:pPr>
    </w:p>
    <w:p w14:paraId="4DB3ED54" w14:textId="5153D4FB" w:rsidR="00361D5B" w:rsidRPr="00506990" w:rsidRDefault="00361D5B" w:rsidP="00F74B80">
      <w:pPr>
        <w:pStyle w:val="Textosinformato"/>
        <w:rPr>
          <w:rFonts w:ascii="Times New Roman" w:hAnsi="Times New Roman"/>
          <w:b/>
          <w:iCs/>
          <w:color w:val="0D0D0D" w:themeColor="text1" w:themeTint="F2"/>
          <w:sz w:val="22"/>
          <w:szCs w:val="22"/>
          <w:lang w:val="es-ES"/>
        </w:rPr>
      </w:pPr>
    </w:p>
    <w:p w14:paraId="79501739" w14:textId="673D031A" w:rsidR="00F74B80" w:rsidRPr="00506990" w:rsidRDefault="00C85CFC" w:rsidP="00F74B80">
      <w:pPr>
        <w:pStyle w:val="Textosinformato"/>
        <w:rPr>
          <w:rFonts w:ascii="Times New Roman" w:hAnsi="Times New Roman"/>
          <w:iCs/>
          <w:color w:val="0D0D0D" w:themeColor="text1" w:themeTint="F2"/>
          <w:sz w:val="22"/>
          <w:szCs w:val="22"/>
          <w:lang w:val="es-ES"/>
        </w:rPr>
      </w:pPr>
      <w:r w:rsidRPr="00506990">
        <w:rPr>
          <w:rFonts w:ascii="Times New Roman" w:hAnsi="Times New Roman"/>
          <w:iCs/>
          <w:color w:val="0D0D0D" w:themeColor="text1" w:themeTint="F2"/>
          <w:sz w:val="22"/>
          <w:szCs w:val="22"/>
          <w:lang w:val="es-ES"/>
        </w:rPr>
        <w:t>El límite expuesto se corresponde con créditos que se originaron en el año 2018 bajo las Normas de Originación vigentes en ese momento</w:t>
      </w:r>
      <w:r w:rsidR="006031AE" w:rsidRPr="00506990">
        <w:rPr>
          <w:rFonts w:ascii="Times New Roman" w:hAnsi="Times New Roman"/>
          <w:iCs/>
          <w:color w:val="0D0D0D" w:themeColor="text1" w:themeTint="F2"/>
          <w:sz w:val="22"/>
          <w:szCs w:val="22"/>
          <w:lang w:val="es-ES"/>
        </w:rPr>
        <w:t xml:space="preserve"> (máximo de 36 meses)</w:t>
      </w:r>
      <w:r w:rsidRPr="00506990">
        <w:rPr>
          <w:rFonts w:ascii="Times New Roman" w:hAnsi="Times New Roman"/>
          <w:iCs/>
          <w:color w:val="0D0D0D" w:themeColor="text1" w:themeTint="F2"/>
          <w:sz w:val="22"/>
          <w:szCs w:val="22"/>
          <w:lang w:val="es-ES"/>
        </w:rPr>
        <w:t>.</w:t>
      </w:r>
    </w:p>
    <w:p w14:paraId="6D0BCD62" w14:textId="77777777" w:rsidR="00F9180C" w:rsidRPr="00506990" w:rsidRDefault="00F9180C" w:rsidP="00270AFD">
      <w:pPr>
        <w:pStyle w:val="Textosinformato"/>
        <w:rPr>
          <w:rFonts w:ascii="Times New Roman" w:hAnsi="Times New Roman"/>
          <w:b/>
          <w:iCs/>
          <w:color w:val="0D0D0D" w:themeColor="text1" w:themeTint="F2"/>
          <w:sz w:val="22"/>
          <w:szCs w:val="22"/>
          <w:lang w:val="es-ES"/>
        </w:rPr>
      </w:pPr>
    </w:p>
    <w:p w14:paraId="1097ECE2"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ATRASO</w:t>
      </w:r>
    </w:p>
    <w:p w14:paraId="22291FDB" w14:textId="4E3E9153"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27408DA6" w14:textId="32FEE70A" w:rsidR="00F74B80" w:rsidRPr="0098446E" w:rsidRDefault="003E4F5D" w:rsidP="00F74B80">
      <w:pPr>
        <w:pStyle w:val="Textosinformato"/>
        <w:jc w:val="center"/>
        <w:rPr>
          <w:rFonts w:ascii="Times New Roman" w:hAnsi="Times New Roman"/>
          <w:b/>
          <w:iCs/>
          <w:lang w:val="es-ES"/>
        </w:rPr>
      </w:pPr>
      <w:r>
        <w:rPr>
          <w:noProof/>
          <w:lang w:val="es-AR" w:eastAsia="es-AR"/>
        </w:rPr>
        <w:drawing>
          <wp:inline distT="0" distB="0" distL="0" distR="0" wp14:anchorId="77F23615" wp14:editId="0E36316C">
            <wp:extent cx="5613400" cy="872490"/>
            <wp:effectExtent l="0" t="0" r="6350" b="381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13400" cy="872490"/>
                    </a:xfrm>
                    <a:prstGeom prst="rect">
                      <a:avLst/>
                    </a:prstGeom>
                    <a:noFill/>
                    <a:extLst/>
                  </pic:spPr>
                </pic:pic>
              </a:graphicData>
            </a:graphic>
          </wp:inline>
        </w:drawing>
      </w:r>
    </w:p>
    <w:p w14:paraId="13D0C658" w14:textId="77777777" w:rsidR="00A52B9F" w:rsidRPr="0098446E" w:rsidRDefault="00A52B9F" w:rsidP="00F74B80">
      <w:pPr>
        <w:pStyle w:val="Textosinformato"/>
        <w:jc w:val="center"/>
        <w:rPr>
          <w:rFonts w:ascii="Times New Roman" w:hAnsi="Times New Roman"/>
          <w:b/>
          <w:iCs/>
          <w:lang w:val="es-ES"/>
        </w:rPr>
      </w:pPr>
    </w:p>
    <w:p w14:paraId="4EF8E8CC" w14:textId="36F44C70" w:rsidR="00A52B9F" w:rsidRPr="0098446E" w:rsidRDefault="00A52B9F" w:rsidP="00F74B80">
      <w:pPr>
        <w:pStyle w:val="Textosinformato"/>
        <w:jc w:val="center"/>
        <w:rPr>
          <w:rFonts w:ascii="Times New Roman" w:hAnsi="Times New Roman"/>
          <w:b/>
          <w:iCs/>
          <w:lang w:val="es-ES"/>
        </w:rPr>
      </w:pPr>
    </w:p>
    <w:p w14:paraId="7286E401" w14:textId="77777777" w:rsidR="00F74B80" w:rsidRPr="00506990" w:rsidRDefault="00F74B80" w:rsidP="00F74B80">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El atraso de los créditos se encuentra calculado a la Fecha de Selección.</w:t>
      </w:r>
    </w:p>
    <w:p w14:paraId="3BE5FE3D" w14:textId="77777777" w:rsidR="00F74B80" w:rsidRPr="00506990" w:rsidRDefault="00F74B80" w:rsidP="00F74B80">
      <w:pPr>
        <w:pStyle w:val="Textosinformato"/>
        <w:rPr>
          <w:rFonts w:ascii="Times New Roman" w:hAnsi="Times New Roman"/>
          <w:b/>
          <w:iCs/>
          <w:color w:val="0D0D0D" w:themeColor="text1" w:themeTint="F2"/>
          <w:sz w:val="22"/>
          <w:szCs w:val="22"/>
          <w:lang w:val="es-ES"/>
        </w:rPr>
      </w:pPr>
    </w:p>
    <w:p w14:paraId="01573804"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TIPO DE CLIENTE</w:t>
      </w:r>
    </w:p>
    <w:p w14:paraId="15F599EC" w14:textId="7A6AC417"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0A0C9A5E" w14:textId="3201B6D2" w:rsidR="00F74B80" w:rsidRPr="00506990" w:rsidRDefault="003E4F5D" w:rsidP="00F74B80">
      <w:pPr>
        <w:pStyle w:val="Textosinformato"/>
        <w:jc w:val="center"/>
        <w:rPr>
          <w:rFonts w:ascii="Times New Roman" w:hAnsi="Times New Roman"/>
          <w:b/>
          <w:iCs/>
          <w:color w:val="0D0D0D" w:themeColor="text1" w:themeTint="F2"/>
          <w:sz w:val="22"/>
          <w:szCs w:val="22"/>
          <w:lang w:val="es-ES"/>
        </w:rPr>
      </w:pPr>
      <w:r>
        <w:rPr>
          <w:noProof/>
          <w:lang w:val="es-AR" w:eastAsia="es-AR"/>
        </w:rPr>
        <w:drawing>
          <wp:inline distT="0" distB="0" distL="0" distR="0" wp14:anchorId="06CF6677" wp14:editId="7B5F9A09">
            <wp:extent cx="5613400" cy="858520"/>
            <wp:effectExtent l="0" t="0" r="635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13400" cy="858520"/>
                    </a:xfrm>
                    <a:prstGeom prst="rect">
                      <a:avLst/>
                    </a:prstGeom>
                    <a:noFill/>
                    <a:extLst/>
                  </pic:spPr>
                </pic:pic>
              </a:graphicData>
            </a:graphic>
          </wp:inline>
        </w:drawing>
      </w:r>
    </w:p>
    <w:p w14:paraId="064F7AAA"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p>
    <w:p w14:paraId="322173CF"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TASA DE INTERÉS</w:t>
      </w:r>
    </w:p>
    <w:p w14:paraId="032F6E6B" w14:textId="77777777"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48649631" w14:textId="2431CC02" w:rsidR="00F74B80" w:rsidRPr="00506990" w:rsidRDefault="007578DF" w:rsidP="00F74B80">
      <w:pPr>
        <w:pStyle w:val="Textosinformato"/>
        <w:jc w:val="center"/>
        <w:rPr>
          <w:rFonts w:ascii="Times New Roman" w:hAnsi="Times New Roman"/>
          <w:color w:val="0D0D0D" w:themeColor="text1" w:themeTint="F2"/>
          <w:sz w:val="22"/>
          <w:szCs w:val="22"/>
          <w:highlight w:val="yellow"/>
          <w:u w:val="single"/>
        </w:rPr>
      </w:pPr>
      <w:r>
        <w:rPr>
          <w:noProof/>
          <w:lang w:val="es-AR" w:eastAsia="es-AR"/>
        </w:rPr>
        <w:drawing>
          <wp:inline distT="0" distB="0" distL="0" distR="0" wp14:anchorId="44A3940B" wp14:editId="07E4F034">
            <wp:extent cx="5613400" cy="2748280"/>
            <wp:effectExtent l="0" t="0" r="6350" b="0"/>
            <wp:docPr id="6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13400" cy="2748280"/>
                    </a:xfrm>
                    <a:prstGeom prst="rect">
                      <a:avLst/>
                    </a:prstGeom>
                    <a:noFill/>
                    <a:extLst/>
                  </pic:spPr>
                </pic:pic>
              </a:graphicData>
            </a:graphic>
          </wp:inline>
        </w:drawing>
      </w:r>
    </w:p>
    <w:p w14:paraId="6ADC3962" w14:textId="77777777" w:rsidR="00A52B9F" w:rsidRPr="00506990" w:rsidRDefault="00A52B9F" w:rsidP="00F74B80">
      <w:pPr>
        <w:pStyle w:val="Textosinformato"/>
        <w:jc w:val="center"/>
        <w:rPr>
          <w:rFonts w:ascii="Times New Roman" w:hAnsi="Times New Roman"/>
          <w:color w:val="0D0D0D" w:themeColor="text1" w:themeTint="F2"/>
          <w:sz w:val="22"/>
          <w:szCs w:val="22"/>
          <w:highlight w:val="yellow"/>
          <w:u w:val="single"/>
        </w:rPr>
      </w:pPr>
    </w:p>
    <w:p w14:paraId="177CC47B" w14:textId="77777777" w:rsidR="00A52B9F" w:rsidRPr="00506990" w:rsidRDefault="00A52B9F">
      <w:pPr>
        <w:pStyle w:val="Textosinformato"/>
        <w:jc w:val="center"/>
        <w:rPr>
          <w:rFonts w:ascii="Times New Roman" w:hAnsi="Times New Roman"/>
          <w:color w:val="0D0D0D" w:themeColor="text1" w:themeTint="F2"/>
          <w:sz w:val="22"/>
          <w:szCs w:val="22"/>
          <w:highlight w:val="yellow"/>
          <w:u w:val="single"/>
        </w:rPr>
      </w:pPr>
    </w:p>
    <w:p w14:paraId="55E2AAA8" w14:textId="147D91CB" w:rsidR="00F74B80" w:rsidRPr="00506990" w:rsidRDefault="00F74B80" w:rsidP="00F74B80">
      <w:pPr>
        <w:pStyle w:val="Textosinformato"/>
        <w:jc w:val="center"/>
        <w:rPr>
          <w:rFonts w:ascii="Times New Roman" w:hAnsi="Times New Roman"/>
          <w:color w:val="0D0D0D" w:themeColor="text1" w:themeTint="F2"/>
          <w:sz w:val="22"/>
          <w:szCs w:val="22"/>
          <w:highlight w:val="yellow"/>
          <w:u w:val="single"/>
        </w:rPr>
      </w:pPr>
      <w:r w:rsidRPr="00506990">
        <w:rPr>
          <w:rFonts w:ascii="Times New Roman" w:hAnsi="Times New Roman"/>
          <w:color w:val="0D0D0D" w:themeColor="text1" w:themeTint="F2"/>
          <w:sz w:val="22"/>
          <w:szCs w:val="22"/>
          <w:highlight w:val="yellow"/>
          <w:u w:val="single"/>
        </w:rPr>
        <w:t xml:space="preserve"> </w:t>
      </w:r>
    </w:p>
    <w:p w14:paraId="3A8F76D9" w14:textId="77777777" w:rsidR="00F74B80" w:rsidRPr="00506990" w:rsidRDefault="00F74B80" w:rsidP="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COSTO FINANCIERO TOTAL</w:t>
      </w:r>
    </w:p>
    <w:p w14:paraId="1A5F8782" w14:textId="77777777"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18FD28B5" w14:textId="047CC7C1" w:rsidR="001F29E8" w:rsidRPr="00506990" w:rsidRDefault="001F29E8" w:rsidP="00F74B80">
      <w:pPr>
        <w:pStyle w:val="Textosinformato"/>
        <w:jc w:val="center"/>
        <w:rPr>
          <w:rFonts w:ascii="Times New Roman" w:hAnsi="Times New Roman"/>
          <w:b/>
          <w:iCs/>
          <w:color w:val="0D0D0D" w:themeColor="text1" w:themeTint="F2"/>
          <w:sz w:val="22"/>
          <w:szCs w:val="22"/>
          <w:lang w:val="es-ES"/>
        </w:rPr>
      </w:pPr>
    </w:p>
    <w:p w14:paraId="67FE11C9" w14:textId="29A130E1" w:rsidR="001F29E8" w:rsidRPr="00506990" w:rsidRDefault="007578DF" w:rsidP="006E1DEB">
      <w:pPr>
        <w:pStyle w:val="Textosinformato"/>
        <w:tabs>
          <w:tab w:val="left" w:pos="6390"/>
        </w:tabs>
        <w:rPr>
          <w:rFonts w:ascii="Times New Roman" w:hAnsi="Times New Roman"/>
          <w:b/>
          <w:iCs/>
          <w:color w:val="0D0D0D" w:themeColor="text1" w:themeTint="F2"/>
          <w:sz w:val="22"/>
          <w:szCs w:val="22"/>
          <w:lang w:val="es-ES"/>
        </w:rPr>
      </w:pPr>
      <w:r>
        <w:rPr>
          <w:rFonts w:ascii="Times New Roman" w:hAnsi="Times New Roman"/>
          <w:b/>
          <w:iCs/>
          <w:color w:val="0D0D0D" w:themeColor="text1" w:themeTint="F2"/>
          <w:sz w:val="22"/>
          <w:szCs w:val="22"/>
          <w:lang w:val="es-ES"/>
        </w:rPr>
        <w:tab/>
      </w:r>
      <w:r>
        <w:rPr>
          <w:noProof/>
          <w:lang w:val="es-AR" w:eastAsia="es-AR"/>
        </w:rPr>
        <w:drawing>
          <wp:inline distT="0" distB="0" distL="0" distR="0" wp14:anchorId="27DCF511" wp14:editId="20F8A5FB">
            <wp:extent cx="5613400" cy="4313555"/>
            <wp:effectExtent l="0" t="0" r="6350" b="0"/>
            <wp:docPr id="6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13400" cy="4313555"/>
                    </a:xfrm>
                    <a:prstGeom prst="rect">
                      <a:avLst/>
                    </a:prstGeom>
                    <a:noFill/>
                    <a:extLst/>
                  </pic:spPr>
                </pic:pic>
              </a:graphicData>
            </a:graphic>
          </wp:inline>
        </w:drawing>
      </w:r>
    </w:p>
    <w:p w14:paraId="2CCF2957" w14:textId="6DFA2F4D" w:rsidR="00F74B80" w:rsidRPr="00506990" w:rsidRDefault="00F74B80" w:rsidP="00F74B80">
      <w:pPr>
        <w:keepNext/>
        <w:suppressAutoHyphens/>
        <w:spacing w:line="240" w:lineRule="atLeast"/>
        <w:jc w:val="center"/>
        <w:rPr>
          <w:rFonts w:ascii="Times New Roman" w:hAnsi="Times New Roman" w:cs="Times New Roman"/>
          <w:color w:val="0D0D0D" w:themeColor="text1" w:themeTint="F2"/>
          <w:sz w:val="22"/>
          <w:szCs w:val="22"/>
          <w:highlight w:val="yellow"/>
          <w:u w:val="single"/>
        </w:rPr>
      </w:pPr>
      <w:r w:rsidRPr="00506990">
        <w:rPr>
          <w:rFonts w:ascii="Times New Roman" w:hAnsi="Times New Roman" w:cs="Times New Roman"/>
          <w:color w:val="0D0D0D" w:themeColor="text1" w:themeTint="F2"/>
          <w:sz w:val="22"/>
          <w:szCs w:val="22"/>
          <w:highlight w:val="yellow"/>
          <w:u w:val="single"/>
        </w:rPr>
        <w:t xml:space="preserve"> </w:t>
      </w:r>
    </w:p>
    <w:p w14:paraId="2271C586" w14:textId="77777777" w:rsidR="00F74B80" w:rsidRPr="00506990" w:rsidRDefault="00F74B80" w:rsidP="00F74B80">
      <w:pPr>
        <w:keepNext/>
        <w:suppressAutoHyphens/>
        <w:spacing w:line="240" w:lineRule="atLeast"/>
        <w:jc w:val="center"/>
        <w:rPr>
          <w:rFonts w:ascii="Times New Roman" w:hAnsi="Times New Roman" w:cs="Times New Roman"/>
          <w:lang w:val="es-ES"/>
        </w:rPr>
      </w:pPr>
    </w:p>
    <w:p w14:paraId="493AFD9A" w14:textId="77777777" w:rsidR="003F329D" w:rsidRPr="00506990" w:rsidRDefault="003F329D" w:rsidP="00F74B80">
      <w:pPr>
        <w:keepNext/>
        <w:suppressAutoHyphens/>
        <w:spacing w:line="240" w:lineRule="atLeast"/>
        <w:jc w:val="center"/>
        <w:rPr>
          <w:rFonts w:ascii="Times New Roman" w:hAnsi="Times New Roman" w:cs="Times New Roman"/>
          <w:lang w:val="es-ES"/>
        </w:rPr>
      </w:pPr>
    </w:p>
    <w:p w14:paraId="7E295623" w14:textId="1D1B89B2" w:rsidR="000836AE" w:rsidRPr="00506990" w:rsidRDefault="00F74B80" w:rsidP="00B228F5">
      <w:pPr>
        <w:pStyle w:val="Ttulo1"/>
        <w:jc w:val="center"/>
        <w:rPr>
          <w:rFonts w:ascii="Times New Roman" w:hAnsi="Times New Roman"/>
          <w:sz w:val="22"/>
          <w:szCs w:val="22"/>
        </w:rPr>
      </w:pPr>
      <w:bookmarkStart w:id="109" w:name="_Toc20409091"/>
      <w:r w:rsidRPr="00506990">
        <w:rPr>
          <w:rFonts w:ascii="Times New Roman" w:hAnsi="Times New Roman"/>
          <w:sz w:val="22"/>
          <w:szCs w:val="22"/>
        </w:rPr>
        <w:t xml:space="preserve">XII.- </w:t>
      </w:r>
      <w:r w:rsidR="00482F96" w:rsidRPr="00506990">
        <w:rPr>
          <w:rFonts w:ascii="Times New Roman" w:hAnsi="Times New Roman"/>
          <w:sz w:val="22"/>
          <w:szCs w:val="22"/>
        </w:rPr>
        <w:t>FLUJO DE FONDOS TEÓRICO</w:t>
      </w:r>
      <w:bookmarkEnd w:id="109"/>
    </w:p>
    <w:p w14:paraId="7CBB3657" w14:textId="77777777" w:rsidR="000836AE" w:rsidRPr="0098446E" w:rsidRDefault="000836AE" w:rsidP="00270AFD">
      <w:pPr>
        <w:rPr>
          <w:rFonts w:ascii="Times New Roman" w:hAnsi="Times New Roman" w:cs="Times New Roman"/>
        </w:rPr>
      </w:pPr>
    </w:p>
    <w:p w14:paraId="447E291C" w14:textId="494A727C" w:rsidR="000836AE" w:rsidRPr="0098446E" w:rsidRDefault="000836AE" w:rsidP="000836AE">
      <w:pPr>
        <w:rPr>
          <w:rFonts w:ascii="Times New Roman" w:hAnsi="Times New Roman" w:cs="Times New Roman"/>
        </w:rPr>
      </w:pPr>
    </w:p>
    <w:p w14:paraId="26975611" w14:textId="5026E23C" w:rsidR="002F7733" w:rsidRPr="00506990" w:rsidRDefault="000836AE"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r w:rsidRPr="0098446E">
        <w:rPr>
          <w:rFonts w:ascii="Times New Roman" w:hAnsi="Times New Roman" w:cs="Times New Roman"/>
        </w:rPr>
        <w:tab/>
      </w:r>
      <w:r w:rsidR="00F74B80" w:rsidRPr="00506990">
        <w:rPr>
          <w:rFonts w:ascii="Times New Roman" w:hAnsi="Times New Roman" w:cs="Times New Roman"/>
          <w:b/>
          <w:bCs/>
          <w:iCs/>
          <w:color w:val="0D0D0D" w:themeColor="text1" w:themeTint="F2"/>
          <w:sz w:val="22"/>
          <w:szCs w:val="22"/>
        </w:rPr>
        <w:t>Fecha de Corte:</w:t>
      </w:r>
      <w:r w:rsidR="00CA39FE" w:rsidRPr="00506990">
        <w:rPr>
          <w:rFonts w:ascii="Times New Roman" w:hAnsi="Times New Roman" w:cs="Times New Roman"/>
          <w:b/>
          <w:bCs/>
          <w:iCs/>
          <w:color w:val="0D0D0D" w:themeColor="text1" w:themeTint="F2"/>
          <w:sz w:val="22"/>
          <w:szCs w:val="22"/>
        </w:rPr>
        <w:t xml:space="preserve"> </w:t>
      </w:r>
      <w:r w:rsidR="002509E8" w:rsidRPr="00506990">
        <w:rPr>
          <w:rFonts w:ascii="Times New Roman" w:hAnsi="Times New Roman" w:cs="Times New Roman"/>
          <w:b/>
          <w:bCs/>
          <w:iCs/>
          <w:color w:val="0D0D0D" w:themeColor="text1" w:themeTint="F2"/>
          <w:sz w:val="22"/>
          <w:szCs w:val="22"/>
        </w:rPr>
        <w:t>3</w:t>
      </w:r>
      <w:r w:rsidR="00EE42B9" w:rsidRPr="00506990">
        <w:rPr>
          <w:rFonts w:ascii="Times New Roman" w:hAnsi="Times New Roman" w:cs="Times New Roman"/>
          <w:b/>
          <w:bCs/>
          <w:iCs/>
          <w:color w:val="0D0D0D" w:themeColor="text1" w:themeTint="F2"/>
          <w:sz w:val="22"/>
          <w:szCs w:val="22"/>
        </w:rPr>
        <w:t>1</w:t>
      </w:r>
      <w:r w:rsidR="002509E8" w:rsidRPr="00506990">
        <w:rPr>
          <w:rFonts w:ascii="Times New Roman" w:hAnsi="Times New Roman" w:cs="Times New Roman"/>
          <w:b/>
          <w:bCs/>
          <w:iCs/>
          <w:color w:val="0D0D0D" w:themeColor="text1" w:themeTint="F2"/>
          <w:sz w:val="22"/>
          <w:szCs w:val="22"/>
        </w:rPr>
        <w:t xml:space="preserve"> de </w:t>
      </w:r>
      <w:r w:rsidR="00EE42B9" w:rsidRPr="00506990">
        <w:rPr>
          <w:rFonts w:ascii="Times New Roman" w:hAnsi="Times New Roman" w:cs="Times New Roman"/>
          <w:b/>
          <w:bCs/>
          <w:iCs/>
          <w:color w:val="0D0D0D" w:themeColor="text1" w:themeTint="F2"/>
          <w:sz w:val="22"/>
          <w:szCs w:val="22"/>
        </w:rPr>
        <w:t>Enero</w:t>
      </w:r>
      <w:r w:rsidR="002509E8" w:rsidRPr="00506990">
        <w:rPr>
          <w:rFonts w:ascii="Times New Roman" w:hAnsi="Times New Roman" w:cs="Times New Roman"/>
          <w:b/>
          <w:bCs/>
          <w:iCs/>
          <w:color w:val="0D0D0D" w:themeColor="text1" w:themeTint="F2"/>
          <w:sz w:val="22"/>
          <w:szCs w:val="22"/>
        </w:rPr>
        <w:t xml:space="preserve"> </w:t>
      </w:r>
      <w:r w:rsidR="00F74B80" w:rsidRPr="00506990">
        <w:rPr>
          <w:rFonts w:ascii="Times New Roman" w:hAnsi="Times New Roman" w:cs="Times New Roman"/>
          <w:b/>
          <w:bCs/>
          <w:iCs/>
          <w:color w:val="0D0D0D" w:themeColor="text1" w:themeTint="F2"/>
          <w:sz w:val="22"/>
          <w:szCs w:val="22"/>
        </w:rPr>
        <w:t>de 20</w:t>
      </w:r>
      <w:r w:rsidR="00EE42B9" w:rsidRPr="00506990">
        <w:rPr>
          <w:rFonts w:ascii="Times New Roman" w:hAnsi="Times New Roman" w:cs="Times New Roman"/>
          <w:b/>
          <w:bCs/>
          <w:iCs/>
          <w:color w:val="0D0D0D" w:themeColor="text1" w:themeTint="F2"/>
          <w:sz w:val="22"/>
          <w:szCs w:val="22"/>
        </w:rPr>
        <w:t>2</w:t>
      </w:r>
      <w:r w:rsidR="00D014F1">
        <w:rPr>
          <w:rFonts w:ascii="Times New Roman" w:hAnsi="Times New Roman" w:cs="Times New Roman"/>
          <w:b/>
          <w:bCs/>
          <w:iCs/>
          <w:color w:val="0D0D0D" w:themeColor="text1" w:themeTint="F2"/>
          <w:sz w:val="22"/>
          <w:szCs w:val="22"/>
        </w:rPr>
        <w:t>0</w:t>
      </w:r>
    </w:p>
    <w:p w14:paraId="16CD7E67" w14:textId="5034744D" w:rsidR="002F7733" w:rsidRPr="00506990" w:rsidRDefault="005417EF"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r>
        <w:rPr>
          <w:noProof/>
          <w:lang w:val="es-AR" w:eastAsia="es-AR"/>
        </w:rPr>
        <w:drawing>
          <wp:inline distT="0" distB="0" distL="0" distR="0" wp14:anchorId="4023C558" wp14:editId="5D81B9F3">
            <wp:extent cx="5817277" cy="4076700"/>
            <wp:effectExtent l="0" t="0" r="0" b="0"/>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19527" cy="4078277"/>
                    </a:xfrm>
                    <a:prstGeom prst="rect">
                      <a:avLst/>
                    </a:prstGeom>
                    <a:noFill/>
                    <a:extLst/>
                  </pic:spPr>
                </pic:pic>
              </a:graphicData>
            </a:graphic>
          </wp:inline>
        </w:drawing>
      </w:r>
    </w:p>
    <w:p w14:paraId="27736656" w14:textId="58B00C8F" w:rsidR="00F74B80" w:rsidRPr="00506990" w:rsidRDefault="00F74B80" w:rsidP="00F74B80">
      <w:pPr>
        <w:keepNext/>
        <w:suppressAutoHyphens/>
        <w:spacing w:line="240" w:lineRule="atLeast"/>
        <w:jc w:val="center"/>
        <w:rPr>
          <w:rFonts w:ascii="Times New Roman" w:hAnsi="Times New Roman" w:cs="Times New Roman"/>
          <w:b/>
          <w:color w:val="0D0D0D" w:themeColor="text1" w:themeTint="F2"/>
          <w:sz w:val="22"/>
          <w:szCs w:val="22"/>
          <w:u w:val="single"/>
        </w:rPr>
      </w:pPr>
    </w:p>
    <w:p w14:paraId="51810149" w14:textId="75C93734" w:rsidR="00BC1C33" w:rsidRPr="00506990" w:rsidRDefault="00BC1C33"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A la fecha del presente Suplemento de Prospecto, no existe Cobranza acumulada.</w:t>
      </w:r>
    </w:p>
    <w:p w14:paraId="6B07C024" w14:textId="77777777" w:rsidR="00A43B76" w:rsidRPr="00506990" w:rsidRDefault="00A43B76" w:rsidP="00F77F79">
      <w:pPr>
        <w:pStyle w:val="Textosinformato"/>
        <w:jc w:val="both"/>
        <w:rPr>
          <w:rFonts w:ascii="Times New Roman" w:hAnsi="Times New Roman"/>
          <w:color w:val="0D0D0D"/>
          <w:sz w:val="22"/>
          <w:szCs w:val="22"/>
          <w:lang w:val="es-AR"/>
        </w:rPr>
      </w:pPr>
    </w:p>
    <w:p w14:paraId="4EF55CF2" w14:textId="0B14DF1A" w:rsidR="006B015C" w:rsidRPr="00506990" w:rsidRDefault="006B015C"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Al mes de </w:t>
      </w:r>
      <w:r w:rsidR="004648E8">
        <w:rPr>
          <w:rFonts w:ascii="Times New Roman" w:hAnsi="Times New Roman"/>
          <w:color w:val="0D0D0D"/>
          <w:sz w:val="22"/>
          <w:szCs w:val="22"/>
          <w:lang w:val="es-AR"/>
        </w:rPr>
        <w:t>noviembre</w:t>
      </w:r>
      <w:r w:rsidRPr="00506990">
        <w:rPr>
          <w:rFonts w:ascii="Times New Roman" w:hAnsi="Times New Roman"/>
          <w:color w:val="0D0D0D"/>
          <w:sz w:val="22"/>
          <w:szCs w:val="22"/>
          <w:lang w:val="es-AR"/>
        </w:rPr>
        <w:t xml:space="preserve"> de 2020, los gastos mencionados incluye la devolución de los Gastos Afrontados por el Fiduciante que se menciona en el artículo 1.6 inc ii). </w:t>
      </w:r>
    </w:p>
    <w:p w14:paraId="46F44C7A" w14:textId="77777777" w:rsidR="006B015C" w:rsidRPr="00506990" w:rsidRDefault="006B015C" w:rsidP="00F77F79">
      <w:pPr>
        <w:pStyle w:val="Textosinformato"/>
        <w:jc w:val="both"/>
        <w:rPr>
          <w:rFonts w:ascii="Times New Roman" w:hAnsi="Times New Roman"/>
          <w:color w:val="0D0D0D"/>
          <w:sz w:val="22"/>
          <w:szCs w:val="22"/>
          <w:lang w:val="es-AR"/>
        </w:rPr>
      </w:pPr>
    </w:p>
    <w:p w14:paraId="5F60ED28" w14:textId="77777777" w:rsidR="00F646DB" w:rsidRPr="00506990" w:rsidRDefault="00F646DB" w:rsidP="00482F96">
      <w:pPr>
        <w:pStyle w:val="Textosinformato"/>
        <w:jc w:val="center"/>
        <w:rPr>
          <w:rFonts w:ascii="Times New Roman" w:hAnsi="Times New Roman"/>
          <w:b/>
          <w:iCs/>
          <w:color w:val="0D0D0D" w:themeColor="text1" w:themeTint="F2"/>
          <w:sz w:val="22"/>
          <w:szCs w:val="22"/>
          <w:lang w:val="es-AR"/>
        </w:rPr>
      </w:pPr>
    </w:p>
    <w:p w14:paraId="31D4CF49" w14:textId="1C0694DA" w:rsidR="00A7122D" w:rsidRPr="00506990" w:rsidRDefault="00F74B80" w:rsidP="00B228F5">
      <w:pPr>
        <w:pStyle w:val="Ttulo1"/>
        <w:jc w:val="center"/>
        <w:rPr>
          <w:rFonts w:ascii="Times New Roman" w:hAnsi="Times New Roman"/>
          <w:sz w:val="22"/>
          <w:szCs w:val="22"/>
          <w:lang w:val="es-AR"/>
        </w:rPr>
      </w:pPr>
      <w:bookmarkStart w:id="110" w:name="_Toc20409092"/>
      <w:r w:rsidRPr="00506990">
        <w:rPr>
          <w:rFonts w:ascii="Times New Roman" w:hAnsi="Times New Roman"/>
          <w:sz w:val="22"/>
          <w:szCs w:val="22"/>
          <w:lang w:val="es-AR"/>
        </w:rPr>
        <w:t xml:space="preserve">XIII.- </w:t>
      </w:r>
      <w:r w:rsidR="00A7122D" w:rsidRPr="00506990">
        <w:rPr>
          <w:rFonts w:ascii="Times New Roman" w:hAnsi="Times New Roman"/>
          <w:sz w:val="22"/>
          <w:szCs w:val="22"/>
          <w:lang w:val="es-AR"/>
        </w:rPr>
        <w:t>CRONOGRAMA DE PAGOS DE SERVICIOS</w:t>
      </w:r>
      <w:bookmarkEnd w:id="110"/>
    </w:p>
    <w:p w14:paraId="273A5464" w14:textId="77777777"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14:paraId="55597899" w14:textId="4C20F3EB"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14:paraId="6474571A"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14:paraId="0AAA66D1" w14:textId="4C54784B" w:rsidR="00826AB1" w:rsidRPr="00506990" w:rsidRDefault="00826AB1" w:rsidP="00826AB1">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Para el armado del cuadro de pago de servicios han sido considerados: incobrabilidad, mora y precancelaciones de la cartera por un monto global de $ </w:t>
      </w:r>
      <w:r w:rsidR="002F7733" w:rsidRPr="00506990">
        <w:rPr>
          <w:rFonts w:ascii="Times New Roman" w:hAnsi="Times New Roman" w:cs="Times New Roman"/>
          <w:b/>
          <w:bCs/>
          <w:iCs/>
          <w:color w:val="0D0D0D" w:themeColor="text1" w:themeTint="F2"/>
          <w:sz w:val="22"/>
          <w:szCs w:val="22"/>
        </w:rPr>
        <w:t>5</w:t>
      </w:r>
      <w:r w:rsidR="003E4F5D">
        <w:rPr>
          <w:rFonts w:ascii="Times New Roman" w:hAnsi="Times New Roman" w:cs="Times New Roman"/>
          <w:b/>
          <w:bCs/>
          <w:iCs/>
          <w:color w:val="0D0D0D" w:themeColor="text1" w:themeTint="F2"/>
          <w:sz w:val="22"/>
          <w:szCs w:val="22"/>
        </w:rPr>
        <w:t>4</w:t>
      </w:r>
      <w:r w:rsidR="002F7733" w:rsidRPr="00506990">
        <w:rPr>
          <w:rFonts w:ascii="Times New Roman" w:hAnsi="Times New Roman" w:cs="Times New Roman"/>
          <w:b/>
          <w:bCs/>
          <w:iCs/>
          <w:color w:val="0D0D0D" w:themeColor="text1" w:themeTint="F2"/>
          <w:sz w:val="22"/>
          <w:szCs w:val="22"/>
        </w:rPr>
        <w:t>.</w:t>
      </w:r>
      <w:r w:rsidR="003E4F5D">
        <w:rPr>
          <w:rFonts w:ascii="Times New Roman" w:hAnsi="Times New Roman" w:cs="Times New Roman"/>
          <w:b/>
          <w:bCs/>
          <w:iCs/>
          <w:color w:val="0D0D0D" w:themeColor="text1" w:themeTint="F2"/>
          <w:sz w:val="22"/>
          <w:szCs w:val="22"/>
        </w:rPr>
        <w:t>891</w:t>
      </w:r>
      <w:r w:rsidR="002F7733" w:rsidRPr="00506990">
        <w:rPr>
          <w:rFonts w:ascii="Times New Roman" w:hAnsi="Times New Roman" w:cs="Times New Roman"/>
          <w:b/>
          <w:bCs/>
          <w:iCs/>
          <w:color w:val="0D0D0D" w:themeColor="text1" w:themeTint="F2"/>
          <w:sz w:val="22"/>
          <w:szCs w:val="22"/>
        </w:rPr>
        <w:t>.</w:t>
      </w:r>
      <w:r w:rsidR="003E4F5D">
        <w:rPr>
          <w:rFonts w:ascii="Times New Roman" w:hAnsi="Times New Roman" w:cs="Times New Roman"/>
          <w:b/>
          <w:bCs/>
          <w:iCs/>
          <w:color w:val="0D0D0D" w:themeColor="text1" w:themeTint="F2"/>
          <w:sz w:val="22"/>
          <w:szCs w:val="22"/>
        </w:rPr>
        <w:t>421</w:t>
      </w:r>
      <w:r w:rsidR="002F7733" w:rsidRPr="00506990">
        <w:rPr>
          <w:rFonts w:ascii="Times New Roman" w:hAnsi="Times New Roman" w:cs="Times New Roman"/>
          <w:b/>
          <w:bCs/>
          <w:iCs/>
          <w:color w:val="0D0D0D" w:themeColor="text1" w:themeTint="F2"/>
          <w:sz w:val="22"/>
          <w:szCs w:val="22"/>
        </w:rPr>
        <w:t>,</w:t>
      </w:r>
      <w:r w:rsidR="003E4F5D">
        <w:rPr>
          <w:rFonts w:ascii="Times New Roman" w:hAnsi="Times New Roman" w:cs="Times New Roman"/>
          <w:b/>
          <w:bCs/>
          <w:iCs/>
          <w:color w:val="0D0D0D" w:themeColor="text1" w:themeTint="F2"/>
          <w:sz w:val="22"/>
          <w:szCs w:val="22"/>
        </w:rPr>
        <w:t>76</w:t>
      </w:r>
      <w:r w:rsidRPr="00506990">
        <w:rPr>
          <w:rFonts w:ascii="Times New Roman" w:hAnsi="Times New Roman" w:cs="Times New Roman"/>
          <w:iCs/>
          <w:color w:val="0D0D0D" w:themeColor="text1" w:themeTint="F2"/>
          <w:sz w:val="22"/>
          <w:szCs w:val="22"/>
        </w:rPr>
        <w:t xml:space="preserve"> (pesos </w:t>
      </w:r>
      <w:r w:rsidR="002F7733" w:rsidRPr="00506990">
        <w:rPr>
          <w:rFonts w:ascii="Times New Roman" w:hAnsi="Times New Roman" w:cs="Times New Roman"/>
          <w:iCs/>
          <w:color w:val="0D0D0D" w:themeColor="text1" w:themeTint="F2"/>
          <w:sz w:val="22"/>
          <w:szCs w:val="22"/>
        </w:rPr>
        <w:t xml:space="preserve">cincuenta y </w:t>
      </w:r>
      <w:r w:rsidR="002B5961">
        <w:rPr>
          <w:rFonts w:ascii="Times New Roman" w:hAnsi="Times New Roman" w:cs="Times New Roman"/>
          <w:iCs/>
          <w:color w:val="0D0D0D" w:themeColor="text1" w:themeTint="F2"/>
          <w:sz w:val="22"/>
          <w:szCs w:val="22"/>
        </w:rPr>
        <w:t>cuatro</w:t>
      </w:r>
      <w:r w:rsidR="002B5961" w:rsidRPr="00506990">
        <w:rPr>
          <w:rFonts w:ascii="Times New Roman" w:hAnsi="Times New Roman" w:cs="Times New Roman"/>
          <w:iCs/>
          <w:color w:val="0D0D0D" w:themeColor="text1" w:themeTint="F2"/>
          <w:sz w:val="22"/>
          <w:szCs w:val="22"/>
        </w:rPr>
        <w:t xml:space="preserve"> </w:t>
      </w:r>
      <w:r w:rsidR="002F7733" w:rsidRPr="00506990">
        <w:rPr>
          <w:rFonts w:ascii="Times New Roman" w:hAnsi="Times New Roman" w:cs="Times New Roman"/>
          <w:iCs/>
          <w:color w:val="0D0D0D" w:themeColor="text1" w:themeTint="F2"/>
          <w:sz w:val="22"/>
          <w:szCs w:val="22"/>
        </w:rPr>
        <w:t xml:space="preserve">millones </w:t>
      </w:r>
      <w:r w:rsidR="002B5961">
        <w:rPr>
          <w:rFonts w:ascii="Times New Roman" w:hAnsi="Times New Roman" w:cs="Times New Roman"/>
          <w:iCs/>
          <w:color w:val="0D0D0D" w:themeColor="text1" w:themeTint="F2"/>
          <w:sz w:val="22"/>
          <w:szCs w:val="22"/>
        </w:rPr>
        <w:t>ochocientos noventa y un mil cuatrocientos veintiuno</w:t>
      </w:r>
      <w:r w:rsidR="002F7733" w:rsidRPr="00506990">
        <w:rPr>
          <w:rFonts w:ascii="Times New Roman" w:hAnsi="Times New Roman" w:cs="Times New Roman"/>
          <w:iCs/>
          <w:color w:val="0D0D0D" w:themeColor="text1" w:themeTint="F2"/>
          <w:sz w:val="22"/>
          <w:szCs w:val="22"/>
        </w:rPr>
        <w:t xml:space="preserve"> con </w:t>
      </w:r>
      <w:r w:rsidR="002B5961">
        <w:rPr>
          <w:rFonts w:ascii="Times New Roman" w:hAnsi="Times New Roman" w:cs="Times New Roman"/>
          <w:iCs/>
          <w:color w:val="0D0D0D" w:themeColor="text1" w:themeTint="F2"/>
          <w:sz w:val="22"/>
          <w:szCs w:val="22"/>
        </w:rPr>
        <w:t>76</w:t>
      </w:r>
      <w:r w:rsidR="002F7733" w:rsidRPr="00506990">
        <w:rPr>
          <w:rFonts w:ascii="Times New Roman" w:hAnsi="Times New Roman" w:cs="Times New Roman"/>
          <w:iCs/>
          <w:color w:val="0D0D0D" w:themeColor="text1" w:themeTint="F2"/>
          <w:sz w:val="22"/>
          <w:szCs w:val="22"/>
        </w:rPr>
        <w:t>/100</w:t>
      </w:r>
      <w:r w:rsidRPr="00506990">
        <w:rPr>
          <w:rFonts w:ascii="Times New Roman" w:hAnsi="Times New Roman" w:cs="Times New Roman"/>
          <w:iCs/>
          <w:color w:val="0D0D0D" w:themeColor="text1" w:themeTint="F2"/>
          <w:sz w:val="22"/>
          <w:szCs w:val="22"/>
        </w:rPr>
        <w:t xml:space="preserve">), Gastos del Fideicomiso por $ </w:t>
      </w:r>
      <w:r w:rsidR="002F7733" w:rsidRPr="000579E7">
        <w:rPr>
          <w:rFonts w:ascii="Times New Roman" w:hAnsi="Times New Roman" w:cs="Times New Roman"/>
          <w:b/>
          <w:bCs/>
          <w:iCs/>
          <w:color w:val="0D0D0D" w:themeColor="text1" w:themeTint="F2"/>
          <w:sz w:val="22"/>
          <w:szCs w:val="22"/>
        </w:rPr>
        <w:t>2.</w:t>
      </w:r>
      <w:r w:rsidR="005417EF">
        <w:rPr>
          <w:rFonts w:ascii="Times New Roman" w:hAnsi="Times New Roman" w:cs="Times New Roman"/>
          <w:b/>
          <w:bCs/>
          <w:iCs/>
          <w:color w:val="0D0D0D" w:themeColor="text1" w:themeTint="F2"/>
          <w:sz w:val="22"/>
          <w:szCs w:val="22"/>
        </w:rPr>
        <w:t>820</w:t>
      </w:r>
      <w:r w:rsidR="002F7733" w:rsidRPr="000579E7">
        <w:rPr>
          <w:rFonts w:ascii="Times New Roman" w:hAnsi="Times New Roman" w:cs="Times New Roman"/>
          <w:b/>
          <w:bCs/>
          <w:iCs/>
          <w:color w:val="0D0D0D" w:themeColor="text1" w:themeTint="F2"/>
          <w:sz w:val="22"/>
          <w:szCs w:val="22"/>
        </w:rPr>
        <w:t>.</w:t>
      </w:r>
      <w:r w:rsidR="005417EF">
        <w:rPr>
          <w:rFonts w:ascii="Times New Roman" w:hAnsi="Times New Roman" w:cs="Times New Roman"/>
          <w:b/>
          <w:bCs/>
          <w:iCs/>
          <w:color w:val="0D0D0D" w:themeColor="text1" w:themeTint="F2"/>
          <w:sz w:val="22"/>
          <w:szCs w:val="22"/>
        </w:rPr>
        <w:t>264</w:t>
      </w:r>
      <w:r w:rsidRPr="00506990">
        <w:rPr>
          <w:rFonts w:ascii="Times New Roman" w:hAnsi="Times New Roman" w:cs="Times New Roman"/>
          <w:iCs/>
          <w:color w:val="0D0D0D" w:themeColor="text1" w:themeTint="F2"/>
          <w:sz w:val="22"/>
          <w:szCs w:val="22"/>
        </w:rPr>
        <w:t xml:space="preserve">.- (pesos </w:t>
      </w:r>
      <w:r w:rsidR="00F21815" w:rsidRPr="000579E7">
        <w:rPr>
          <w:rFonts w:ascii="Times New Roman" w:hAnsi="Times New Roman" w:cs="Times New Roman"/>
          <w:b/>
          <w:bCs/>
          <w:iCs/>
          <w:color w:val="0D0D0D" w:themeColor="text1" w:themeTint="F2"/>
          <w:sz w:val="22"/>
          <w:szCs w:val="22"/>
        </w:rPr>
        <w:t xml:space="preserve">dos millones </w:t>
      </w:r>
      <w:r w:rsidR="005417EF">
        <w:rPr>
          <w:rFonts w:ascii="Times New Roman" w:hAnsi="Times New Roman" w:cs="Times New Roman"/>
          <w:b/>
          <w:bCs/>
          <w:iCs/>
          <w:color w:val="0D0D0D" w:themeColor="text1" w:themeTint="F2"/>
          <w:sz w:val="22"/>
          <w:szCs w:val="22"/>
        </w:rPr>
        <w:t>ocho</w:t>
      </w:r>
      <w:r w:rsidR="00F21815" w:rsidRPr="000579E7">
        <w:rPr>
          <w:rFonts w:ascii="Times New Roman" w:hAnsi="Times New Roman" w:cs="Times New Roman"/>
          <w:b/>
          <w:bCs/>
          <w:iCs/>
          <w:color w:val="0D0D0D" w:themeColor="text1" w:themeTint="F2"/>
          <w:sz w:val="22"/>
          <w:szCs w:val="22"/>
        </w:rPr>
        <w:t xml:space="preserve">cientos </w:t>
      </w:r>
      <w:r w:rsidR="005417EF">
        <w:rPr>
          <w:rFonts w:ascii="Times New Roman" w:hAnsi="Times New Roman" w:cs="Times New Roman"/>
          <w:b/>
          <w:bCs/>
          <w:iCs/>
          <w:color w:val="0D0D0D" w:themeColor="text1" w:themeTint="F2"/>
          <w:sz w:val="22"/>
          <w:szCs w:val="22"/>
        </w:rPr>
        <w:t>veinte</w:t>
      </w:r>
      <w:r w:rsidR="00F21815" w:rsidRPr="000579E7">
        <w:rPr>
          <w:rFonts w:ascii="Times New Roman" w:hAnsi="Times New Roman" w:cs="Times New Roman"/>
          <w:b/>
          <w:bCs/>
          <w:iCs/>
          <w:color w:val="0D0D0D" w:themeColor="text1" w:themeTint="F2"/>
          <w:sz w:val="22"/>
          <w:szCs w:val="22"/>
        </w:rPr>
        <w:t xml:space="preserve"> mil </w:t>
      </w:r>
      <w:r w:rsidR="005417EF">
        <w:rPr>
          <w:rFonts w:ascii="Times New Roman" w:hAnsi="Times New Roman" w:cs="Times New Roman"/>
          <w:b/>
          <w:bCs/>
          <w:iCs/>
          <w:color w:val="0D0D0D" w:themeColor="text1" w:themeTint="F2"/>
          <w:sz w:val="22"/>
          <w:szCs w:val="22"/>
        </w:rPr>
        <w:t>dos</w:t>
      </w:r>
      <w:r w:rsidR="002B5961">
        <w:rPr>
          <w:rFonts w:ascii="Times New Roman" w:hAnsi="Times New Roman" w:cs="Times New Roman"/>
          <w:b/>
          <w:bCs/>
          <w:iCs/>
          <w:color w:val="0D0D0D" w:themeColor="text1" w:themeTint="F2"/>
          <w:sz w:val="22"/>
          <w:szCs w:val="22"/>
        </w:rPr>
        <w:t>cientos</w:t>
      </w:r>
      <w:r w:rsidR="00F21815" w:rsidRPr="000579E7">
        <w:rPr>
          <w:rFonts w:ascii="Times New Roman" w:hAnsi="Times New Roman" w:cs="Times New Roman"/>
          <w:b/>
          <w:bCs/>
          <w:iCs/>
          <w:color w:val="0D0D0D" w:themeColor="text1" w:themeTint="F2"/>
          <w:sz w:val="22"/>
          <w:szCs w:val="22"/>
        </w:rPr>
        <w:t xml:space="preserve"> </w:t>
      </w:r>
      <w:r w:rsidR="00444E0F">
        <w:rPr>
          <w:rFonts w:ascii="Times New Roman" w:hAnsi="Times New Roman" w:cs="Times New Roman"/>
          <w:b/>
          <w:bCs/>
          <w:iCs/>
          <w:color w:val="0D0D0D" w:themeColor="text1" w:themeTint="F2"/>
          <w:sz w:val="22"/>
          <w:szCs w:val="22"/>
        </w:rPr>
        <w:t>sesenta</w:t>
      </w:r>
      <w:r w:rsidR="00F21815" w:rsidRPr="000579E7">
        <w:rPr>
          <w:rFonts w:ascii="Times New Roman" w:hAnsi="Times New Roman" w:cs="Times New Roman"/>
          <w:b/>
          <w:bCs/>
          <w:iCs/>
          <w:color w:val="0D0D0D" w:themeColor="text1" w:themeTint="F2"/>
          <w:sz w:val="22"/>
          <w:szCs w:val="22"/>
        </w:rPr>
        <w:t xml:space="preserve"> y </w:t>
      </w:r>
      <w:r w:rsidR="00F14F39">
        <w:rPr>
          <w:rFonts w:ascii="Times New Roman" w:hAnsi="Times New Roman" w:cs="Times New Roman"/>
          <w:b/>
          <w:bCs/>
          <w:iCs/>
          <w:color w:val="0D0D0D" w:themeColor="text1" w:themeTint="F2"/>
          <w:sz w:val="22"/>
          <w:szCs w:val="22"/>
        </w:rPr>
        <w:t>cuatro</w:t>
      </w:r>
      <w:r w:rsidRPr="00506990">
        <w:rPr>
          <w:rFonts w:ascii="Times New Roman" w:hAnsi="Times New Roman" w:cs="Times New Roman"/>
          <w:iCs/>
          <w:color w:val="0D0D0D" w:themeColor="text1" w:themeTint="F2"/>
          <w:sz w:val="22"/>
          <w:szCs w:val="22"/>
        </w:rPr>
        <w:t xml:space="preserve">) e Impuesto sobre los Ingresos Brutos por $ </w:t>
      </w:r>
      <w:r w:rsidR="00F21815" w:rsidRPr="00506990">
        <w:rPr>
          <w:rFonts w:ascii="Times New Roman" w:hAnsi="Times New Roman" w:cs="Times New Roman"/>
          <w:b/>
          <w:bCs/>
          <w:iCs/>
          <w:color w:val="0D0D0D" w:themeColor="text1" w:themeTint="F2"/>
          <w:sz w:val="22"/>
          <w:szCs w:val="22"/>
        </w:rPr>
        <w:t>9.</w:t>
      </w:r>
      <w:r w:rsidR="003E4F5D">
        <w:rPr>
          <w:rFonts w:ascii="Times New Roman" w:hAnsi="Times New Roman" w:cs="Times New Roman"/>
          <w:b/>
          <w:bCs/>
          <w:iCs/>
          <w:color w:val="0D0D0D" w:themeColor="text1" w:themeTint="F2"/>
          <w:sz w:val="22"/>
          <w:szCs w:val="22"/>
        </w:rPr>
        <w:t>350</w:t>
      </w:r>
      <w:r w:rsidR="00F21815" w:rsidRPr="00506990">
        <w:rPr>
          <w:rFonts w:ascii="Times New Roman" w:hAnsi="Times New Roman" w:cs="Times New Roman"/>
          <w:b/>
          <w:bCs/>
          <w:iCs/>
          <w:color w:val="0D0D0D" w:themeColor="text1" w:themeTint="F2"/>
          <w:sz w:val="22"/>
          <w:szCs w:val="22"/>
        </w:rPr>
        <w:t>.</w:t>
      </w:r>
      <w:r w:rsidR="00F14F39">
        <w:rPr>
          <w:rFonts w:ascii="Times New Roman" w:hAnsi="Times New Roman" w:cs="Times New Roman"/>
          <w:b/>
          <w:bCs/>
          <w:iCs/>
          <w:color w:val="0D0D0D" w:themeColor="text1" w:themeTint="F2"/>
          <w:sz w:val="22"/>
          <w:szCs w:val="22"/>
        </w:rPr>
        <w:t>2</w:t>
      </w:r>
      <w:r w:rsidR="003E4F5D">
        <w:rPr>
          <w:rFonts w:ascii="Times New Roman" w:hAnsi="Times New Roman" w:cs="Times New Roman"/>
          <w:b/>
          <w:bCs/>
          <w:iCs/>
          <w:color w:val="0D0D0D" w:themeColor="text1" w:themeTint="F2"/>
          <w:sz w:val="22"/>
          <w:szCs w:val="22"/>
        </w:rPr>
        <w:t>02</w:t>
      </w:r>
      <w:r w:rsidRPr="00506990">
        <w:rPr>
          <w:rFonts w:ascii="Times New Roman" w:hAnsi="Times New Roman" w:cs="Times New Roman"/>
          <w:iCs/>
          <w:color w:val="0D0D0D" w:themeColor="text1" w:themeTint="F2"/>
          <w:sz w:val="22"/>
          <w:szCs w:val="22"/>
        </w:rPr>
        <w:t xml:space="preserve">- (pesos </w:t>
      </w:r>
      <w:r w:rsidR="00F21815" w:rsidRPr="000579E7">
        <w:rPr>
          <w:rFonts w:ascii="Times New Roman" w:hAnsi="Times New Roman" w:cs="Times New Roman"/>
          <w:b/>
          <w:bCs/>
          <w:iCs/>
          <w:color w:val="0D0D0D" w:themeColor="text1" w:themeTint="F2"/>
          <w:sz w:val="22"/>
          <w:szCs w:val="22"/>
        </w:rPr>
        <w:t xml:space="preserve">nueve millones </w:t>
      </w:r>
      <w:r w:rsidR="002B5961">
        <w:rPr>
          <w:rFonts w:ascii="Times New Roman" w:hAnsi="Times New Roman" w:cs="Times New Roman"/>
          <w:b/>
          <w:bCs/>
          <w:iCs/>
          <w:color w:val="0D0D0D" w:themeColor="text1" w:themeTint="F2"/>
          <w:sz w:val="22"/>
          <w:szCs w:val="22"/>
        </w:rPr>
        <w:t>tres</w:t>
      </w:r>
      <w:r w:rsidR="002B5961" w:rsidRPr="000579E7">
        <w:rPr>
          <w:rFonts w:ascii="Times New Roman" w:hAnsi="Times New Roman" w:cs="Times New Roman"/>
          <w:b/>
          <w:bCs/>
          <w:iCs/>
          <w:color w:val="0D0D0D" w:themeColor="text1" w:themeTint="F2"/>
          <w:sz w:val="22"/>
          <w:szCs w:val="22"/>
        </w:rPr>
        <w:t xml:space="preserve">cientos </w:t>
      </w:r>
      <w:r w:rsidR="002B5961">
        <w:rPr>
          <w:rFonts w:ascii="Times New Roman" w:hAnsi="Times New Roman" w:cs="Times New Roman"/>
          <w:b/>
          <w:bCs/>
          <w:iCs/>
          <w:color w:val="0D0D0D" w:themeColor="text1" w:themeTint="F2"/>
          <w:sz w:val="22"/>
          <w:szCs w:val="22"/>
        </w:rPr>
        <w:t>cincuenta</w:t>
      </w:r>
      <w:r w:rsidR="00F21815" w:rsidRPr="000579E7">
        <w:rPr>
          <w:rFonts w:ascii="Times New Roman" w:hAnsi="Times New Roman" w:cs="Times New Roman"/>
          <w:b/>
          <w:bCs/>
          <w:iCs/>
          <w:color w:val="0D0D0D" w:themeColor="text1" w:themeTint="F2"/>
          <w:sz w:val="22"/>
          <w:szCs w:val="22"/>
        </w:rPr>
        <w:t xml:space="preserve"> mil </w:t>
      </w:r>
      <w:r w:rsidR="00F14F39">
        <w:rPr>
          <w:rFonts w:ascii="Times New Roman" w:hAnsi="Times New Roman" w:cs="Times New Roman"/>
          <w:b/>
          <w:bCs/>
          <w:iCs/>
          <w:color w:val="0D0D0D" w:themeColor="text1" w:themeTint="F2"/>
          <w:sz w:val="22"/>
          <w:szCs w:val="22"/>
        </w:rPr>
        <w:t>dos</w:t>
      </w:r>
      <w:r w:rsidR="002B5961">
        <w:rPr>
          <w:rFonts w:ascii="Times New Roman" w:hAnsi="Times New Roman" w:cs="Times New Roman"/>
          <w:b/>
          <w:bCs/>
          <w:iCs/>
          <w:color w:val="0D0D0D" w:themeColor="text1" w:themeTint="F2"/>
          <w:sz w:val="22"/>
          <w:szCs w:val="22"/>
        </w:rPr>
        <w:t>cientos dos</w:t>
      </w:r>
      <w:r w:rsidRPr="00506990">
        <w:rPr>
          <w:rFonts w:ascii="Times New Roman" w:hAnsi="Times New Roman" w:cs="Times New Roman"/>
          <w:iCs/>
          <w:color w:val="0D0D0D" w:themeColor="text1" w:themeTint="F2"/>
          <w:sz w:val="22"/>
          <w:szCs w:val="22"/>
        </w:rPr>
        <w:t xml:space="preserve">). Dichos conceptos arrojan un total del </w:t>
      </w:r>
      <w:r w:rsidR="00F21815" w:rsidRPr="00506990">
        <w:rPr>
          <w:rFonts w:ascii="Times New Roman" w:hAnsi="Times New Roman" w:cs="Times New Roman"/>
          <w:b/>
          <w:bCs/>
          <w:iCs/>
          <w:color w:val="0D0D0D" w:themeColor="text1" w:themeTint="F2"/>
          <w:sz w:val="22"/>
          <w:szCs w:val="22"/>
        </w:rPr>
        <w:t>23,1</w:t>
      </w:r>
      <w:r w:rsidR="00F14F39">
        <w:rPr>
          <w:rFonts w:ascii="Times New Roman" w:hAnsi="Times New Roman" w:cs="Times New Roman"/>
          <w:b/>
          <w:bCs/>
          <w:iCs/>
          <w:color w:val="0D0D0D" w:themeColor="text1" w:themeTint="F2"/>
          <w:sz w:val="22"/>
          <w:szCs w:val="22"/>
        </w:rPr>
        <w:t>8</w:t>
      </w:r>
      <w:r w:rsidRPr="00506990">
        <w:rPr>
          <w:rFonts w:ascii="Times New Roman" w:hAnsi="Times New Roman" w:cs="Times New Roman"/>
          <w:iCs/>
          <w:color w:val="0D0D0D" w:themeColor="text1" w:themeTint="F2"/>
          <w:sz w:val="22"/>
          <w:szCs w:val="22"/>
        </w:rPr>
        <w:t xml:space="preserve">% </w:t>
      </w:r>
      <w:r w:rsidR="00D5338B" w:rsidRPr="00506990">
        <w:rPr>
          <w:rFonts w:ascii="Times New Roman" w:hAnsi="Times New Roman" w:cs="Times New Roman"/>
          <w:iCs/>
          <w:color w:val="0D0D0D" w:themeColor="text1" w:themeTint="F2"/>
          <w:sz w:val="22"/>
          <w:szCs w:val="22"/>
        </w:rPr>
        <w:t xml:space="preserve">sobre el </w:t>
      </w:r>
      <w:r w:rsidR="003D7C6D" w:rsidRPr="00506990">
        <w:rPr>
          <w:rFonts w:ascii="Times New Roman" w:hAnsi="Times New Roman" w:cs="Times New Roman"/>
          <w:iCs/>
          <w:color w:val="0D0D0D" w:themeColor="text1" w:themeTint="F2"/>
          <w:sz w:val="22"/>
          <w:szCs w:val="22"/>
        </w:rPr>
        <w:t>“</w:t>
      </w:r>
      <w:r w:rsidR="00D5338B" w:rsidRPr="00506990">
        <w:rPr>
          <w:rFonts w:ascii="Times New Roman" w:hAnsi="Times New Roman" w:cs="Times New Roman"/>
          <w:iCs/>
          <w:color w:val="0D0D0D" w:themeColor="text1" w:themeTint="F2"/>
          <w:sz w:val="22"/>
          <w:szCs w:val="22"/>
        </w:rPr>
        <w:t>Valor Nominal</w:t>
      </w:r>
      <w:r w:rsidR="003D7C6D" w:rsidRPr="00506990">
        <w:rPr>
          <w:rFonts w:ascii="Times New Roman" w:hAnsi="Times New Roman" w:cs="Times New Roman"/>
          <w:iCs/>
          <w:color w:val="0D0D0D" w:themeColor="text1" w:themeTint="F2"/>
          <w:sz w:val="22"/>
          <w:szCs w:val="22"/>
        </w:rPr>
        <w:t>”</w:t>
      </w:r>
      <w:r w:rsidR="00D5338B"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del </w:t>
      </w:r>
      <w:r w:rsidR="00D5338B" w:rsidRPr="00506990">
        <w:rPr>
          <w:rFonts w:ascii="Times New Roman" w:hAnsi="Times New Roman" w:cs="Times New Roman"/>
          <w:iCs/>
          <w:color w:val="0D0D0D" w:themeColor="text1" w:themeTint="F2"/>
          <w:sz w:val="22"/>
          <w:szCs w:val="22"/>
        </w:rPr>
        <w:t>flujo teórico de la cartera</w:t>
      </w:r>
      <w:r w:rsidRPr="00506990">
        <w:rPr>
          <w:rFonts w:ascii="Times New Roman" w:hAnsi="Times New Roman" w:cs="Times New Roman"/>
          <w:iCs/>
          <w:color w:val="0D0D0D" w:themeColor="text1" w:themeTint="F2"/>
          <w:sz w:val="22"/>
          <w:szCs w:val="22"/>
        </w:rPr>
        <w:t xml:space="preserve"> del Fideicomiso. Asimismo, se consideró la rentabilidad derivada de la inversión de Fondos Líquidos Disponibles por $</w:t>
      </w:r>
      <w:r w:rsidR="00F21815" w:rsidRPr="00506990">
        <w:rPr>
          <w:rFonts w:ascii="Times New Roman" w:hAnsi="Times New Roman" w:cs="Times New Roman"/>
          <w:b/>
          <w:bCs/>
          <w:iCs/>
          <w:color w:val="0D0D0D" w:themeColor="text1" w:themeTint="F2"/>
          <w:sz w:val="22"/>
          <w:szCs w:val="22"/>
        </w:rPr>
        <w:t>2.</w:t>
      </w:r>
      <w:r w:rsidR="00F14F39">
        <w:rPr>
          <w:rFonts w:ascii="Times New Roman" w:hAnsi="Times New Roman" w:cs="Times New Roman"/>
          <w:b/>
          <w:bCs/>
          <w:iCs/>
          <w:color w:val="0D0D0D" w:themeColor="text1" w:themeTint="F2"/>
          <w:sz w:val="22"/>
          <w:szCs w:val="22"/>
        </w:rPr>
        <w:t>242</w:t>
      </w:r>
      <w:r w:rsidR="00F21815" w:rsidRPr="00506990">
        <w:rPr>
          <w:rFonts w:ascii="Times New Roman" w:hAnsi="Times New Roman" w:cs="Times New Roman"/>
          <w:b/>
          <w:bCs/>
          <w:iCs/>
          <w:color w:val="0D0D0D" w:themeColor="text1" w:themeTint="F2"/>
          <w:sz w:val="22"/>
          <w:szCs w:val="22"/>
        </w:rPr>
        <w:t>.</w:t>
      </w:r>
      <w:r w:rsidR="00F14F39">
        <w:rPr>
          <w:rFonts w:ascii="Times New Roman" w:hAnsi="Times New Roman" w:cs="Times New Roman"/>
          <w:b/>
          <w:bCs/>
          <w:iCs/>
          <w:color w:val="0D0D0D" w:themeColor="text1" w:themeTint="F2"/>
          <w:sz w:val="22"/>
          <w:szCs w:val="22"/>
        </w:rPr>
        <w:t>414</w:t>
      </w:r>
      <w:r w:rsidRPr="00506990">
        <w:rPr>
          <w:rFonts w:ascii="Times New Roman" w:hAnsi="Times New Roman" w:cs="Times New Roman"/>
          <w:iCs/>
          <w:color w:val="0D0D0D" w:themeColor="text1" w:themeTint="F2"/>
          <w:sz w:val="22"/>
          <w:szCs w:val="22"/>
        </w:rPr>
        <w:t xml:space="preserve">.- (pesos </w:t>
      </w:r>
      <w:r w:rsidR="00F21815" w:rsidRPr="000579E7">
        <w:rPr>
          <w:rFonts w:ascii="Times New Roman" w:hAnsi="Times New Roman" w:cs="Times New Roman"/>
          <w:b/>
          <w:bCs/>
          <w:iCs/>
          <w:color w:val="0D0D0D" w:themeColor="text1" w:themeTint="F2"/>
          <w:sz w:val="22"/>
          <w:szCs w:val="22"/>
        </w:rPr>
        <w:t xml:space="preserve">dos millones </w:t>
      </w:r>
      <w:r w:rsidR="002B5961">
        <w:rPr>
          <w:rFonts w:ascii="Times New Roman" w:hAnsi="Times New Roman" w:cs="Times New Roman"/>
          <w:b/>
          <w:bCs/>
          <w:iCs/>
          <w:color w:val="0D0D0D" w:themeColor="text1" w:themeTint="F2"/>
          <w:sz w:val="22"/>
          <w:szCs w:val="22"/>
        </w:rPr>
        <w:t>doscientos</w:t>
      </w:r>
      <w:r w:rsidR="002B5961" w:rsidRPr="000579E7">
        <w:rPr>
          <w:rFonts w:ascii="Times New Roman" w:hAnsi="Times New Roman" w:cs="Times New Roman"/>
          <w:b/>
          <w:bCs/>
          <w:iCs/>
          <w:color w:val="0D0D0D" w:themeColor="text1" w:themeTint="F2"/>
          <w:sz w:val="22"/>
          <w:szCs w:val="22"/>
        </w:rPr>
        <w:t xml:space="preserve"> </w:t>
      </w:r>
      <w:r w:rsidR="00F14F39">
        <w:rPr>
          <w:rFonts w:ascii="Times New Roman" w:hAnsi="Times New Roman" w:cs="Times New Roman"/>
          <w:b/>
          <w:bCs/>
          <w:iCs/>
          <w:color w:val="0D0D0D" w:themeColor="text1" w:themeTint="F2"/>
          <w:sz w:val="22"/>
          <w:szCs w:val="22"/>
        </w:rPr>
        <w:t>cuarenta y dos</w:t>
      </w:r>
      <w:r w:rsidR="00F21815" w:rsidRPr="000579E7">
        <w:rPr>
          <w:rFonts w:ascii="Times New Roman" w:hAnsi="Times New Roman" w:cs="Times New Roman"/>
          <w:b/>
          <w:bCs/>
          <w:iCs/>
          <w:color w:val="0D0D0D" w:themeColor="text1" w:themeTint="F2"/>
          <w:sz w:val="22"/>
          <w:szCs w:val="22"/>
        </w:rPr>
        <w:t xml:space="preserve"> mil </w:t>
      </w:r>
      <w:r w:rsidR="00F14F39">
        <w:rPr>
          <w:rFonts w:ascii="Times New Roman" w:hAnsi="Times New Roman" w:cs="Times New Roman"/>
          <w:b/>
          <w:bCs/>
          <w:iCs/>
          <w:color w:val="0D0D0D" w:themeColor="text1" w:themeTint="F2"/>
          <w:sz w:val="22"/>
          <w:szCs w:val="22"/>
        </w:rPr>
        <w:t>cuatro</w:t>
      </w:r>
      <w:r w:rsidR="00F21815" w:rsidRPr="000579E7">
        <w:rPr>
          <w:rFonts w:ascii="Times New Roman" w:hAnsi="Times New Roman" w:cs="Times New Roman"/>
          <w:b/>
          <w:bCs/>
          <w:iCs/>
          <w:color w:val="0D0D0D" w:themeColor="text1" w:themeTint="F2"/>
          <w:sz w:val="22"/>
          <w:szCs w:val="22"/>
        </w:rPr>
        <w:t xml:space="preserve">cientos </w:t>
      </w:r>
      <w:r w:rsidR="00F14F39">
        <w:rPr>
          <w:rFonts w:ascii="Times New Roman" w:hAnsi="Times New Roman" w:cs="Times New Roman"/>
          <w:b/>
          <w:bCs/>
          <w:iCs/>
          <w:color w:val="0D0D0D" w:themeColor="text1" w:themeTint="F2"/>
          <w:sz w:val="22"/>
          <w:szCs w:val="22"/>
        </w:rPr>
        <w:t>catorce</w:t>
      </w:r>
      <w:r w:rsidRPr="00506990">
        <w:rPr>
          <w:rFonts w:ascii="Times New Roman" w:hAnsi="Times New Roman" w:cs="Times New Roman"/>
          <w:iCs/>
          <w:color w:val="0D0D0D" w:themeColor="text1" w:themeTint="F2"/>
          <w:sz w:val="22"/>
          <w:szCs w:val="22"/>
        </w:rPr>
        <w:t>), conforme a la facultad del fiduciario de invertir y colocar en forma transitoria los Fondos Líquidos Disponibles de acuerdo a lo previsto en el artículo 1.8 del Contrato Suplementario.</w:t>
      </w:r>
    </w:p>
    <w:p w14:paraId="0A988CCC" w14:textId="77777777" w:rsidR="00F74B80" w:rsidRPr="00506990" w:rsidRDefault="00F74B80" w:rsidP="00F74B80">
      <w:pPr>
        <w:rPr>
          <w:rFonts w:ascii="Times New Roman" w:hAnsi="Times New Roman" w:cs="Times New Roman"/>
          <w:iCs/>
          <w:color w:val="0D0D0D" w:themeColor="text1" w:themeTint="F2"/>
          <w:sz w:val="22"/>
          <w:szCs w:val="22"/>
        </w:rPr>
      </w:pPr>
    </w:p>
    <w:p w14:paraId="195E35AB" w14:textId="610191CA" w:rsidR="00F74B80" w:rsidRPr="00506990" w:rsidRDefault="00F74B80"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gastos del Fideicomiso, incluyen – enunciativamente – honorarios del fiduciario, honorarios de asesores impositivos y auditores externos, agente de control y revisión, aranceles de oferta pública, listado y negociación secundaria.</w:t>
      </w:r>
      <w:r w:rsidR="00A31B9A" w:rsidRPr="00506990">
        <w:rPr>
          <w:rFonts w:ascii="Times New Roman" w:hAnsi="Times New Roman" w:cs="Times New Roman"/>
          <w:iCs/>
          <w:color w:val="0D0D0D" w:themeColor="text1" w:themeTint="F2"/>
          <w:sz w:val="22"/>
          <w:szCs w:val="22"/>
        </w:rPr>
        <w:t xml:space="preserve"> Asimismo, no se incluye el pago de Impuesto a las Ganancias tal como se manifiesta en el Capítulo REGIMEN IMPOSITIVO. </w:t>
      </w:r>
    </w:p>
    <w:p w14:paraId="4E3DA681" w14:textId="77777777" w:rsidR="00F74B80" w:rsidRPr="00506990" w:rsidRDefault="00F74B80" w:rsidP="00F74B80">
      <w:pPr>
        <w:rPr>
          <w:rFonts w:ascii="Times New Roman" w:hAnsi="Times New Roman" w:cs="Times New Roman"/>
          <w:iCs/>
          <w:color w:val="0D0D0D" w:themeColor="text1" w:themeTint="F2"/>
          <w:sz w:val="22"/>
          <w:szCs w:val="22"/>
        </w:rPr>
      </w:pPr>
    </w:p>
    <w:p w14:paraId="2E298459" w14:textId="07517FCC" w:rsidR="00F74B80" w:rsidRPr="0098446E" w:rsidRDefault="007578DF" w:rsidP="006E1DEB">
      <w:pPr>
        <w:tabs>
          <w:tab w:val="center" w:pos="4420"/>
          <w:tab w:val="right" w:pos="8840"/>
        </w:tabs>
        <w:jc w:val="left"/>
        <w:rPr>
          <w:rFonts w:ascii="Times New Roman" w:hAnsi="Times New Roman" w:cs="Times New Roman"/>
        </w:rPr>
      </w:pPr>
      <w:r>
        <w:rPr>
          <w:rFonts w:ascii="Times New Roman" w:hAnsi="Times New Roman" w:cs="Times New Roman"/>
        </w:rPr>
        <w:tab/>
      </w:r>
      <w:r w:rsidR="00F74B80" w:rsidRPr="0098446E" w:rsidDel="00413336">
        <w:rPr>
          <w:rFonts w:ascii="Times New Roman" w:hAnsi="Times New Roman" w:cs="Times New Roman"/>
        </w:rPr>
        <w:t xml:space="preserve"> </w:t>
      </w:r>
      <w:r w:rsidR="00251165">
        <w:rPr>
          <w:noProof/>
          <w:lang w:val="es-AR" w:eastAsia="es-AR"/>
        </w:rPr>
        <w:drawing>
          <wp:inline distT="0" distB="0" distL="0" distR="0" wp14:anchorId="3BD2EC29" wp14:editId="25BAC2FA">
            <wp:extent cx="4783231" cy="2441201"/>
            <wp:effectExtent l="0" t="0" r="0" b="0"/>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83231" cy="24412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imes New Roman" w:hAnsi="Times New Roman" w:cs="Times New Roman"/>
        </w:rPr>
        <w:tab/>
      </w:r>
    </w:p>
    <w:p w14:paraId="0063662D" w14:textId="77777777" w:rsidR="00F21815" w:rsidRPr="00506990" w:rsidRDefault="00F21815" w:rsidP="00F74B80">
      <w:pPr>
        <w:rPr>
          <w:rFonts w:ascii="Times New Roman" w:hAnsi="Times New Roman" w:cs="Times New Roman"/>
          <w:iCs/>
          <w:color w:val="0D0D0D" w:themeColor="text1" w:themeTint="F2"/>
          <w:sz w:val="22"/>
          <w:szCs w:val="22"/>
        </w:rPr>
      </w:pPr>
    </w:p>
    <w:p w14:paraId="00537470" w14:textId="41DC62A4" w:rsidR="00F21815" w:rsidRPr="00506990" w:rsidRDefault="00F21815" w:rsidP="00F74B80">
      <w:pPr>
        <w:rPr>
          <w:rFonts w:ascii="Times New Roman" w:hAnsi="Times New Roman" w:cs="Times New Roman"/>
          <w:iCs/>
          <w:color w:val="0D0D0D" w:themeColor="text1" w:themeTint="F2"/>
          <w:sz w:val="22"/>
          <w:szCs w:val="22"/>
        </w:rPr>
      </w:pPr>
    </w:p>
    <w:p w14:paraId="2F2D3FCD" w14:textId="77777777" w:rsidR="00F74B80" w:rsidRPr="00506990" w:rsidRDefault="00F74B80" w:rsidP="00F74B80">
      <w:pPr>
        <w:rPr>
          <w:rFonts w:ascii="Times New Roman" w:hAnsi="Times New Roman" w:cs="Times New Roman"/>
          <w:iCs/>
          <w:color w:val="0D0D0D" w:themeColor="text1" w:themeTint="F2"/>
          <w:sz w:val="22"/>
          <w:szCs w:val="22"/>
        </w:rPr>
      </w:pPr>
    </w:p>
    <w:p w14:paraId="089A53F8" w14:textId="38E0F3DD" w:rsidR="005A3478" w:rsidRPr="00506990" w:rsidRDefault="005A3478" w:rsidP="005A3478">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(VDFA) se ha confeccionado considerando que el interés mínimo establecido en este Suplemento de Prospecto rige para todos los Períodos de Devengamiento (</w:t>
      </w:r>
      <w:r w:rsidR="00FF13E0">
        <w:rPr>
          <w:rFonts w:ascii="Times New Roman" w:hAnsi="Times New Roman" w:cs="Times New Roman"/>
          <w:iCs/>
          <w:color w:val="0D0D0D" w:themeColor="text1" w:themeTint="F2"/>
          <w:sz w:val="22"/>
          <w:szCs w:val="22"/>
        </w:rPr>
        <w:t>37</w:t>
      </w:r>
      <w:r w:rsidRPr="00506990">
        <w:rPr>
          <w:rFonts w:ascii="Times New Roman" w:hAnsi="Times New Roman" w:cs="Times New Roman"/>
          <w:iCs/>
          <w:color w:val="0D0D0D" w:themeColor="text1" w:themeTint="F2"/>
          <w:sz w:val="22"/>
          <w:szCs w:val="22"/>
        </w:rPr>
        <w:t>,0% Tasa Nominal Anual).</w:t>
      </w:r>
    </w:p>
    <w:p w14:paraId="0F3BEA5B" w14:textId="77777777" w:rsidR="005A3478" w:rsidRPr="00506990" w:rsidRDefault="005A3478" w:rsidP="003F329D">
      <w:pPr>
        <w:rPr>
          <w:rFonts w:ascii="Times New Roman" w:hAnsi="Times New Roman" w:cs="Times New Roman"/>
          <w:iCs/>
          <w:color w:val="0D0D0D" w:themeColor="text1" w:themeTint="F2"/>
          <w:sz w:val="22"/>
          <w:szCs w:val="22"/>
        </w:rPr>
      </w:pPr>
    </w:p>
    <w:p w14:paraId="556B0A32" w14:textId="0AE156DE" w:rsidR="00844726" w:rsidRPr="0098446E" w:rsidRDefault="00844726" w:rsidP="00121F94">
      <w:pPr>
        <w:jc w:val="center"/>
        <w:rPr>
          <w:rFonts w:ascii="Times New Roman" w:hAnsi="Times New Roman" w:cs="Times New Roman"/>
        </w:rPr>
      </w:pPr>
    </w:p>
    <w:p w14:paraId="4315170C" w14:textId="34576D6B" w:rsidR="003F329D" w:rsidRPr="0098446E" w:rsidRDefault="00D014F1" w:rsidP="00121F94">
      <w:pPr>
        <w:jc w:val="center"/>
        <w:rPr>
          <w:rFonts w:ascii="Times New Roman" w:hAnsi="Times New Roman" w:cs="Times New Roman"/>
        </w:rPr>
      </w:pPr>
      <w:r>
        <w:rPr>
          <w:noProof/>
          <w:lang w:val="es-AR" w:eastAsia="es-AR"/>
        </w:rPr>
        <w:drawing>
          <wp:inline distT="0" distB="0" distL="0" distR="0" wp14:anchorId="190D82C2" wp14:editId="365DFAA2">
            <wp:extent cx="4913107" cy="1280608"/>
            <wp:effectExtent l="0" t="0" r="1905" b="0"/>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13107" cy="12806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06F401A" w14:textId="7ACECD80" w:rsidR="00F74B80" w:rsidRPr="0098446E" w:rsidRDefault="0018576E" w:rsidP="00F74B80">
      <w:pPr>
        <w:rPr>
          <w:rFonts w:ascii="Times New Roman" w:hAnsi="Times New Roman" w:cs="Times New Roman"/>
        </w:rPr>
      </w:pPr>
      <w:r w:rsidRPr="0098446E">
        <w:rPr>
          <w:rFonts w:ascii="Times New Roman" w:hAnsi="Times New Roman" w:cs="Times New Roman"/>
        </w:rPr>
        <w:t xml:space="preserve"> </w:t>
      </w:r>
    </w:p>
    <w:p w14:paraId="7AFAEAEC" w14:textId="77777777" w:rsidR="00DA2CCA" w:rsidRPr="0098446E" w:rsidRDefault="00DA2CCA" w:rsidP="00F74B80">
      <w:pPr>
        <w:rPr>
          <w:rFonts w:ascii="Times New Roman" w:hAnsi="Times New Roman" w:cs="Times New Roman"/>
        </w:rPr>
      </w:pPr>
    </w:p>
    <w:p w14:paraId="0711DA55" w14:textId="402783D2" w:rsidR="00F74B80" w:rsidRPr="00506990" w:rsidRDefault="00F74B80" w:rsidP="00F74B80">
      <w:pPr>
        <w:rPr>
          <w:rFonts w:ascii="Times New Roman" w:hAnsi="Times New Roman" w:cs="Times New Roman"/>
          <w:iCs/>
          <w:color w:val="0D0D0D" w:themeColor="text1" w:themeTint="F2"/>
          <w:sz w:val="22"/>
          <w:szCs w:val="22"/>
        </w:rPr>
      </w:pPr>
    </w:p>
    <w:p w14:paraId="05FBD38B" w14:textId="77777777" w:rsidR="005A3478" w:rsidRPr="00506990" w:rsidRDefault="005A3478" w:rsidP="005A3478">
      <w:pPr>
        <w:rPr>
          <w:rFonts w:ascii="Times New Roman" w:hAnsi="Times New Roman" w:cs="Times New Roman"/>
          <w:iCs/>
          <w:color w:val="0D0D0D" w:themeColor="text1" w:themeTint="F2"/>
          <w:sz w:val="22"/>
          <w:szCs w:val="22"/>
        </w:rPr>
      </w:pPr>
    </w:p>
    <w:p w14:paraId="28EF204A" w14:textId="06AE69B5" w:rsidR="005A3478" w:rsidRPr="00506990" w:rsidRDefault="005A3478" w:rsidP="005A3478">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(VDFB) se ha confeccionado considerando que el interés mínimo establecido en este Suplemento de Prospecto rige para todos los Períodos de Devengamiento (</w:t>
      </w:r>
      <w:r w:rsidR="00FF13E0">
        <w:rPr>
          <w:rFonts w:ascii="Times New Roman" w:hAnsi="Times New Roman" w:cs="Times New Roman"/>
          <w:iCs/>
          <w:color w:val="0D0D0D" w:themeColor="text1" w:themeTint="F2"/>
          <w:sz w:val="22"/>
          <w:szCs w:val="22"/>
        </w:rPr>
        <w:t>38</w:t>
      </w:r>
      <w:r w:rsidRPr="00506990">
        <w:rPr>
          <w:rFonts w:ascii="Times New Roman" w:hAnsi="Times New Roman" w:cs="Times New Roman"/>
          <w:iCs/>
          <w:color w:val="0D0D0D" w:themeColor="text1" w:themeTint="F2"/>
          <w:sz w:val="22"/>
          <w:szCs w:val="22"/>
        </w:rPr>
        <w:t>,0% Tasa Nominal Anual).</w:t>
      </w:r>
    </w:p>
    <w:p w14:paraId="01451C54" w14:textId="77777777" w:rsidR="00671CEA" w:rsidRPr="0098446E" w:rsidRDefault="00671CEA" w:rsidP="00671CEA">
      <w:pPr>
        <w:pStyle w:val="Ttulo1"/>
        <w:jc w:val="left"/>
        <w:rPr>
          <w:rFonts w:ascii="Times New Roman" w:hAnsi="Times New Roman"/>
          <w:b w:val="0"/>
        </w:rPr>
      </w:pPr>
      <w:r w:rsidRPr="0098446E">
        <w:rPr>
          <w:rFonts w:ascii="Times New Roman" w:hAnsi="Times New Roman"/>
        </w:rPr>
        <w:t>Cuadro de Pago de Servicios considerando el interés máximo</w:t>
      </w:r>
    </w:p>
    <w:p w14:paraId="30569E18" w14:textId="77777777" w:rsidR="005A3478" w:rsidRPr="00506990" w:rsidRDefault="005A3478" w:rsidP="004619DF">
      <w:pPr>
        <w:rPr>
          <w:rFonts w:ascii="Times New Roman" w:hAnsi="Times New Roman" w:cs="Times New Roman"/>
          <w:iCs/>
          <w:color w:val="0D0D0D" w:themeColor="text1" w:themeTint="F2"/>
          <w:sz w:val="22"/>
          <w:szCs w:val="22"/>
        </w:rPr>
      </w:pPr>
    </w:p>
    <w:p w14:paraId="535C6548" w14:textId="6C19F4EE" w:rsidR="00671CEA" w:rsidRPr="00506990" w:rsidRDefault="00671CEA" w:rsidP="004619DF">
      <w:pPr>
        <w:rPr>
          <w:rFonts w:ascii="Times New Roman" w:hAnsi="Times New Roman" w:cs="Times New Roman"/>
          <w:iCs/>
          <w:color w:val="0D0D0D" w:themeColor="text1" w:themeTint="F2"/>
          <w:sz w:val="22"/>
          <w:szCs w:val="22"/>
        </w:rPr>
      </w:pPr>
    </w:p>
    <w:p w14:paraId="19E8F8FF" w14:textId="2B4AE0ED" w:rsidR="00671CEA" w:rsidRPr="00506990" w:rsidRDefault="00A11AD7" w:rsidP="00671CEA">
      <w:pPr>
        <w:rPr>
          <w:rFonts w:ascii="Times New Roman" w:hAnsi="Times New Roman" w:cs="Times New Roman"/>
          <w:iCs/>
          <w:color w:val="0D0D0D" w:themeColor="text1" w:themeTint="F2"/>
          <w:sz w:val="22"/>
          <w:szCs w:val="22"/>
        </w:rPr>
      </w:pPr>
      <w:r>
        <w:rPr>
          <w:noProof/>
          <w:lang w:val="es-AR" w:eastAsia="es-AR"/>
        </w:rPr>
        <w:drawing>
          <wp:inline distT="0" distB="0" distL="0" distR="0" wp14:anchorId="72A3C068" wp14:editId="0F194D98">
            <wp:extent cx="4783231" cy="2441201"/>
            <wp:effectExtent l="0" t="0" r="0" b="0"/>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83231" cy="244120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084B10A" w14:textId="14CDC892" w:rsidR="00671CEA" w:rsidRPr="00506990" w:rsidRDefault="00671CEA" w:rsidP="00671CEA">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(VDFA) se ha confeccionado considerando que el interés máximo establecido en este Suplemento de Prospecto rige para todos los Períodos de Devengamiento (</w:t>
      </w:r>
      <w:r w:rsidR="00FF13E0">
        <w:rPr>
          <w:rFonts w:ascii="Times New Roman" w:hAnsi="Times New Roman" w:cs="Times New Roman"/>
          <w:iCs/>
          <w:color w:val="0D0D0D" w:themeColor="text1" w:themeTint="F2"/>
          <w:sz w:val="22"/>
          <w:szCs w:val="22"/>
        </w:rPr>
        <w:t>47</w:t>
      </w:r>
      <w:r w:rsidRPr="00506990">
        <w:rPr>
          <w:rFonts w:ascii="Times New Roman" w:hAnsi="Times New Roman" w:cs="Times New Roman"/>
          <w:iCs/>
          <w:color w:val="0D0D0D" w:themeColor="text1" w:themeTint="F2"/>
          <w:sz w:val="22"/>
          <w:szCs w:val="22"/>
        </w:rPr>
        <w:t>,0% Tasa Nominal Anual).</w:t>
      </w:r>
    </w:p>
    <w:p w14:paraId="593D7C4F" w14:textId="77777777" w:rsidR="00671CEA" w:rsidRPr="00506990" w:rsidRDefault="00671CEA" w:rsidP="004619DF">
      <w:pPr>
        <w:rPr>
          <w:rFonts w:ascii="Times New Roman" w:hAnsi="Times New Roman" w:cs="Times New Roman"/>
          <w:iCs/>
          <w:color w:val="0D0D0D" w:themeColor="text1" w:themeTint="F2"/>
          <w:sz w:val="22"/>
          <w:szCs w:val="22"/>
        </w:rPr>
      </w:pPr>
    </w:p>
    <w:p w14:paraId="514880EC" w14:textId="1AAF74FD" w:rsidR="00671CEA" w:rsidRPr="00506990" w:rsidRDefault="00A11AD7" w:rsidP="004619DF">
      <w:pPr>
        <w:rPr>
          <w:rFonts w:ascii="Times New Roman" w:hAnsi="Times New Roman" w:cs="Times New Roman"/>
          <w:iCs/>
          <w:color w:val="0D0D0D" w:themeColor="text1" w:themeTint="F2"/>
          <w:sz w:val="22"/>
          <w:szCs w:val="22"/>
        </w:rPr>
      </w:pPr>
      <w:r>
        <w:rPr>
          <w:noProof/>
          <w:lang w:val="es-AR" w:eastAsia="es-AR"/>
        </w:rPr>
        <w:drawing>
          <wp:inline distT="0" distB="0" distL="0" distR="0" wp14:anchorId="49AA9EFC" wp14:editId="31A1FA3F">
            <wp:extent cx="4783231" cy="1331819"/>
            <wp:effectExtent l="0" t="0" r="0" b="1905"/>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83231" cy="13318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51930CD" w14:textId="77777777" w:rsidR="00671CEA" w:rsidRPr="00506990" w:rsidRDefault="00671CEA" w:rsidP="004619DF">
      <w:pPr>
        <w:rPr>
          <w:rFonts w:ascii="Times New Roman" w:hAnsi="Times New Roman" w:cs="Times New Roman"/>
          <w:iCs/>
          <w:color w:val="0D0D0D" w:themeColor="text1" w:themeTint="F2"/>
          <w:sz w:val="22"/>
          <w:szCs w:val="22"/>
        </w:rPr>
      </w:pPr>
    </w:p>
    <w:p w14:paraId="34BEE1CB" w14:textId="2CAB0F3B" w:rsidR="00671CEA" w:rsidRPr="00506990" w:rsidRDefault="00671CEA" w:rsidP="00671CEA">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Este Cuadro de Pago de Servicios (VDFB) se ha confeccionado considerando que el interés máximo establecido en este Suplemento de Prospecto rige para todos los Períodos de Devengamiento (</w:t>
      </w:r>
      <w:r w:rsidR="00FF13E0">
        <w:rPr>
          <w:rFonts w:ascii="Times New Roman" w:hAnsi="Times New Roman" w:cs="Times New Roman"/>
          <w:iCs/>
          <w:color w:val="0D0D0D" w:themeColor="text1" w:themeTint="F2"/>
          <w:sz w:val="22"/>
          <w:szCs w:val="22"/>
        </w:rPr>
        <w:t>48</w:t>
      </w:r>
      <w:r w:rsidRPr="00506990">
        <w:rPr>
          <w:rFonts w:ascii="Times New Roman" w:hAnsi="Times New Roman" w:cs="Times New Roman"/>
          <w:iCs/>
          <w:color w:val="0D0D0D" w:themeColor="text1" w:themeTint="F2"/>
          <w:sz w:val="22"/>
          <w:szCs w:val="22"/>
        </w:rPr>
        <w:t>,0% Tasa Nominal Anual).</w:t>
      </w:r>
    </w:p>
    <w:p w14:paraId="7F427CE9" w14:textId="77777777" w:rsidR="00671CEA" w:rsidRPr="00506990" w:rsidRDefault="00671CEA" w:rsidP="004619DF">
      <w:pPr>
        <w:rPr>
          <w:rFonts w:ascii="Times New Roman" w:hAnsi="Times New Roman" w:cs="Times New Roman"/>
          <w:iCs/>
          <w:color w:val="0D0D0D" w:themeColor="text1" w:themeTint="F2"/>
          <w:sz w:val="22"/>
          <w:szCs w:val="22"/>
        </w:rPr>
      </w:pPr>
    </w:p>
    <w:p w14:paraId="77F379EF" w14:textId="05FC8D11" w:rsidR="00F74B80" w:rsidRPr="00506990" w:rsidRDefault="00F74B80">
      <w:pPr>
        <w:keepNext/>
        <w:suppressAutoHyphens/>
        <w:spacing w:line="240" w:lineRule="atLeast"/>
        <w:rPr>
          <w:rFonts w:ascii="Times New Roman" w:hAnsi="Times New Roman" w:cs="Times New Roman"/>
          <w:iCs/>
          <w:color w:val="0D0D0D" w:themeColor="text1" w:themeTint="F2"/>
          <w:sz w:val="22"/>
          <w:szCs w:val="22"/>
        </w:rPr>
      </w:pPr>
    </w:p>
    <w:p w14:paraId="6D58DFFE" w14:textId="2A0517FE" w:rsidR="00482F96" w:rsidRPr="00506990" w:rsidRDefault="00DC49CE" w:rsidP="00B228F5">
      <w:pPr>
        <w:pStyle w:val="Ttulo1"/>
        <w:jc w:val="center"/>
        <w:rPr>
          <w:rFonts w:ascii="Times New Roman" w:hAnsi="Times New Roman"/>
          <w:sz w:val="22"/>
          <w:szCs w:val="22"/>
        </w:rPr>
      </w:pPr>
      <w:bookmarkStart w:id="111" w:name="_Toc521424875"/>
      <w:bookmarkStart w:id="112" w:name="_Toc20409093"/>
      <w:r w:rsidRPr="00506990">
        <w:rPr>
          <w:rFonts w:ascii="Times New Roman" w:hAnsi="Times New Roman"/>
          <w:sz w:val="22"/>
          <w:szCs w:val="22"/>
        </w:rPr>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111"/>
      <w:bookmarkEnd w:id="112"/>
    </w:p>
    <w:p w14:paraId="4803F781" w14:textId="4BB2735D" w:rsidR="00850C95" w:rsidRPr="00506990" w:rsidRDefault="00850C95" w:rsidP="000C5F90">
      <w:pPr>
        <w:suppressAutoHyphens/>
        <w:jc w:val="center"/>
        <w:rPr>
          <w:rFonts w:ascii="Times New Roman" w:hAnsi="Times New Roman" w:cs="Times New Roman"/>
          <w:b/>
          <w:bCs/>
          <w:iCs/>
          <w:color w:val="0D0D0D" w:themeColor="text1" w:themeTint="F2"/>
          <w:sz w:val="22"/>
          <w:szCs w:val="22"/>
          <w:u w:val="single"/>
        </w:rPr>
      </w:pPr>
    </w:p>
    <w:p w14:paraId="7BA36CE6" w14:textId="21D31CC8" w:rsidR="00850C95" w:rsidRPr="00506990" w:rsidRDefault="00251DFB" w:rsidP="000C5F90">
      <w:pPr>
        <w:suppressAutoHyphens/>
        <w:jc w:val="center"/>
        <w:rPr>
          <w:rFonts w:ascii="Times New Roman" w:hAnsi="Times New Roman" w:cs="Times New Roman"/>
          <w:b/>
          <w:bCs/>
          <w:iCs/>
          <w:color w:val="0D0D0D" w:themeColor="text1" w:themeTint="F2"/>
          <w:sz w:val="22"/>
          <w:szCs w:val="22"/>
          <w:u w:val="single"/>
        </w:rPr>
      </w:pPr>
      <w:r w:rsidRPr="00506990">
        <w:rPr>
          <w:rFonts w:ascii="Times New Roman" w:eastAsia="Times New Roman" w:hAnsi="Times New Roman" w:cs="Times New Roman"/>
          <w:noProof/>
          <w:color w:val="0D0D0D" w:themeColor="text1" w:themeTint="F2"/>
          <w:sz w:val="22"/>
          <w:szCs w:val="22"/>
          <w:lang w:val="es-AR" w:eastAsia="es-AR"/>
        </w:rPr>
        <mc:AlternateContent>
          <mc:Choice Requires="wpc">
            <w:drawing>
              <wp:inline distT="0" distB="0" distL="0" distR="0" wp14:anchorId="3B03EBEA" wp14:editId="28AA865D">
                <wp:extent cx="5610860" cy="3935095"/>
                <wp:effectExtent l="0" t="0" r="0" b="27305"/>
                <wp:docPr id="178" name="Lienzo 1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7" name="Rectangle 286"/>
                        <wps:cNvSpPr>
                          <a:spLocks noChangeArrowheads="1"/>
                        </wps:cNvSpPr>
                        <wps:spPr bwMode="auto">
                          <a:xfrm>
                            <a:off x="4003493" y="1616971"/>
                            <a:ext cx="1025707" cy="1626562"/>
                          </a:xfrm>
                          <a:prstGeom prst="rect">
                            <a:avLst/>
                          </a:prstGeom>
                          <a:solidFill>
                            <a:srgbClr val="B2B2B2"/>
                          </a:solidFill>
                          <a:ln w="9525">
                            <a:solidFill>
                              <a:srgbClr val="000000"/>
                            </a:solidFill>
                            <a:miter lim="800000"/>
                            <a:headEnd/>
                            <a:tailEnd/>
                          </a:ln>
                        </wps:spPr>
                        <wps:txbx>
                          <w:txbxContent>
                            <w:p w14:paraId="1DD3C024"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p w14:paraId="5F7EDC60"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p w14:paraId="20D92AAA"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p w14:paraId="464682CA"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p w14:paraId="1A1460B8" w14:textId="77777777"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Fideicomiso</w:t>
                              </w:r>
                            </w:p>
                            <w:p w14:paraId="1ACF2473" w14:textId="77777777"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Financiero</w:t>
                              </w:r>
                            </w:p>
                            <w:p w14:paraId="17B60CB2" w14:textId="23B1C534"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CONFIBONO LIII</w:t>
                              </w:r>
                            </w:p>
                          </w:txbxContent>
                        </wps:txbx>
                        <wps:bodyPr rot="0" vert="horz" wrap="square" lIns="66751" tIns="33376" rIns="66751" bIns="33376" anchor="ctr" anchorCtr="0" upright="1">
                          <a:noAutofit/>
                        </wps:bodyPr>
                      </wps:wsp>
                      <wps:wsp>
                        <wps:cNvPr id="99" name="Rectangle 288"/>
                        <wps:cNvSpPr>
                          <a:spLocks noChangeArrowheads="1"/>
                        </wps:cNvSpPr>
                        <wps:spPr bwMode="auto">
                          <a:xfrm>
                            <a:off x="4064460" y="1665865"/>
                            <a:ext cx="807811" cy="737870"/>
                          </a:xfrm>
                          <a:prstGeom prst="rect">
                            <a:avLst/>
                          </a:prstGeom>
                          <a:solidFill>
                            <a:srgbClr val="FFFFFF"/>
                          </a:solidFill>
                          <a:ln w="9525">
                            <a:solidFill>
                              <a:srgbClr val="000000"/>
                            </a:solidFill>
                            <a:miter lim="800000"/>
                            <a:headEnd/>
                            <a:tailEnd/>
                          </a:ln>
                        </wps:spPr>
                        <wps:txbx>
                          <w:txbxContent>
                            <w:p w14:paraId="4D4B3622" w14:textId="77777777" w:rsidR="00C330B0" w:rsidRDefault="00C330B0" w:rsidP="00251DFB">
                              <w:pPr>
                                <w:autoSpaceDE w:val="0"/>
                                <w:autoSpaceDN w:val="0"/>
                                <w:adjustRightInd w:val="0"/>
                                <w:jc w:val="center"/>
                                <w:rPr>
                                  <w:rFonts w:ascii="Tahoma" w:hAnsi="Tahoma" w:cs="Tahoma"/>
                                  <w:b/>
                                  <w:bCs/>
                                  <w:color w:val="000000"/>
                                  <w:sz w:val="20"/>
                                  <w:szCs w:val="28"/>
                                </w:rPr>
                              </w:pPr>
                            </w:p>
                            <w:p w14:paraId="59688D6B" w14:textId="77777777" w:rsidR="00C330B0" w:rsidRPr="005D2ED9" w:rsidRDefault="00C330B0"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Cuenta</w:t>
                              </w:r>
                            </w:p>
                            <w:p w14:paraId="1B061E43" w14:textId="77777777" w:rsidR="00C330B0" w:rsidRPr="005D2ED9" w:rsidRDefault="00C330B0"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Fiduciaria</w:t>
                              </w:r>
                            </w:p>
                          </w:txbxContent>
                        </wps:txbx>
                        <wps:bodyPr rot="0" vert="horz" wrap="square" lIns="66751" tIns="33376" rIns="66751" bIns="33376" anchor="ctr" anchorCtr="0" upright="1">
                          <a:noAutofit/>
                        </wps:bodyPr>
                      </wps:wsp>
                      <wps:wsp>
                        <wps:cNvPr id="100" name="Rectangle 289"/>
                        <wps:cNvSpPr>
                          <a:spLocks noChangeArrowheads="1"/>
                        </wps:cNvSpPr>
                        <wps:spPr bwMode="auto">
                          <a:xfrm>
                            <a:off x="1699452" y="611745"/>
                            <a:ext cx="1164517" cy="737870"/>
                          </a:xfrm>
                          <a:prstGeom prst="rect">
                            <a:avLst/>
                          </a:prstGeom>
                          <a:solidFill>
                            <a:srgbClr val="B2B2B2"/>
                          </a:solidFill>
                          <a:ln w="9525">
                            <a:solidFill>
                              <a:srgbClr val="000000"/>
                            </a:solidFill>
                            <a:miter lim="800000"/>
                            <a:headEnd/>
                            <a:tailEnd/>
                          </a:ln>
                        </wps:spPr>
                        <wps:txbx>
                          <w:txbxContent>
                            <w:p w14:paraId="54C3A264" w14:textId="760AAB48" w:rsidR="00C330B0" w:rsidRPr="00502438" w:rsidRDefault="00C330B0"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Agente Recaudador</w:t>
                              </w:r>
                            </w:p>
                            <w:p w14:paraId="7039BD0D" w14:textId="77777777" w:rsidR="00C330B0" w:rsidRPr="00502438" w:rsidRDefault="00C330B0"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TINSA S.A.</w:t>
                              </w:r>
                            </w:p>
                          </w:txbxContent>
                        </wps:txbx>
                        <wps:bodyPr rot="0" vert="horz" wrap="square" lIns="66751" tIns="33376" rIns="66751" bIns="33376" anchor="ctr" anchorCtr="0" upright="1">
                          <a:noAutofit/>
                        </wps:bodyPr>
                      </wps:wsp>
                      <wps:wsp>
                        <wps:cNvPr id="101" name="Text Box 291"/>
                        <wps:cNvSpPr txBox="1">
                          <a:spLocks noChangeArrowheads="1"/>
                        </wps:cNvSpPr>
                        <wps:spPr bwMode="auto">
                          <a:xfrm>
                            <a:off x="3200762" y="997210"/>
                            <a:ext cx="524569" cy="364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9D0C" w14:textId="77777777" w:rsidR="00C330B0" w:rsidRDefault="00C330B0" w:rsidP="00251DFB">
                              <w:pPr>
                                <w:rPr>
                                  <w:szCs w:val="18"/>
                                </w:rPr>
                              </w:pPr>
                            </w:p>
                            <w:p w14:paraId="6893C2FA" w14:textId="77777777" w:rsidR="00C330B0" w:rsidRDefault="00C330B0" w:rsidP="00251DFB">
                              <w:pPr>
                                <w:rPr>
                                  <w:szCs w:val="18"/>
                                </w:rPr>
                              </w:pPr>
                            </w:p>
                            <w:p w14:paraId="07ABE723" w14:textId="77777777" w:rsidR="00C330B0" w:rsidRPr="00FC6724" w:rsidRDefault="00C330B0" w:rsidP="00251DFB">
                              <w:pPr>
                                <w:rPr>
                                  <w:szCs w:val="18"/>
                                </w:rPr>
                              </w:pPr>
                            </w:p>
                          </w:txbxContent>
                        </wps:txbx>
                        <wps:bodyPr rot="0" vert="horz" wrap="square" lIns="66751" tIns="33376" rIns="66751" bIns="33376" anchor="t" anchorCtr="0" upright="1">
                          <a:noAutofit/>
                        </wps:bodyPr>
                      </wps:wsp>
                      <wps:wsp>
                        <wps:cNvPr id="102" name="Line 292"/>
                        <wps:cNvCnPr>
                          <a:cxnSpLocks noChangeShapeType="1"/>
                        </wps:cNvCnPr>
                        <wps:spPr bwMode="auto">
                          <a:xfrm flipH="1">
                            <a:off x="1212988" y="2024077"/>
                            <a:ext cx="549972" cy="10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Text Box 293"/>
                        <wps:cNvSpPr txBox="1">
                          <a:spLocks noChangeArrowheads="1"/>
                        </wps:cNvSpPr>
                        <wps:spPr bwMode="auto">
                          <a:xfrm>
                            <a:off x="1205367" y="1791499"/>
                            <a:ext cx="494086" cy="18824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ED5EC" w14:textId="77777777" w:rsidR="00C330B0" w:rsidRDefault="00C330B0" w:rsidP="00251DFB">
                              <w:pPr>
                                <w:autoSpaceDE w:val="0"/>
                                <w:autoSpaceDN w:val="0"/>
                                <w:adjustRightInd w:val="0"/>
                                <w:rPr>
                                  <w:color w:val="000000"/>
                                  <w:sz w:val="13"/>
                                  <w:szCs w:val="18"/>
                                </w:rPr>
                              </w:pPr>
                              <w:r>
                                <w:rPr>
                                  <w:color w:val="000000"/>
                                  <w:sz w:val="13"/>
                                  <w:szCs w:val="18"/>
                                </w:rPr>
                                <w:t>Créditos</w:t>
                              </w:r>
                            </w:p>
                          </w:txbxContent>
                        </wps:txbx>
                        <wps:bodyPr rot="0" vert="horz" wrap="square" lIns="66751" tIns="33376" rIns="66751" bIns="33376" anchor="t" anchorCtr="0" upright="1">
                          <a:noAutofit/>
                        </wps:bodyPr>
                      </wps:wsp>
                      <wps:wsp>
                        <wps:cNvPr id="104" name="Rectangle 294"/>
                        <wps:cNvSpPr>
                          <a:spLocks noChangeArrowheads="1"/>
                        </wps:cNvSpPr>
                        <wps:spPr bwMode="auto">
                          <a:xfrm>
                            <a:off x="1762960" y="3197485"/>
                            <a:ext cx="955783" cy="737870"/>
                          </a:xfrm>
                          <a:prstGeom prst="rect">
                            <a:avLst/>
                          </a:prstGeom>
                          <a:solidFill>
                            <a:srgbClr val="B2B2B2"/>
                          </a:solidFill>
                          <a:ln w="9525">
                            <a:solidFill>
                              <a:srgbClr val="000000"/>
                            </a:solidFill>
                            <a:miter lim="800000"/>
                            <a:headEnd/>
                            <a:tailEnd/>
                          </a:ln>
                        </wps:spPr>
                        <wps:txbx>
                          <w:txbxContent>
                            <w:p w14:paraId="61F19F04" w14:textId="77777777"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Inversores</w:t>
                              </w:r>
                            </w:p>
                          </w:txbxContent>
                        </wps:txbx>
                        <wps:bodyPr rot="0" vert="horz" wrap="square" lIns="66751" tIns="33376" rIns="66751" bIns="33376" anchor="ctr" anchorCtr="0" upright="1">
                          <a:noAutofit/>
                        </wps:bodyPr>
                      </wps:wsp>
                      <wps:wsp>
                        <wps:cNvPr id="105" name="Line 295"/>
                        <wps:cNvCnPr>
                          <a:cxnSpLocks noChangeShapeType="1"/>
                        </wps:cNvCnPr>
                        <wps:spPr bwMode="auto">
                          <a:xfrm flipV="1">
                            <a:off x="2718743" y="2740049"/>
                            <a:ext cx="1239660" cy="6666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96"/>
                        <wps:cNvCnPr>
                          <a:cxnSpLocks noChangeShapeType="1"/>
                        </wps:cNvCnPr>
                        <wps:spPr bwMode="auto">
                          <a:xfrm flipH="1">
                            <a:off x="2712393" y="2910465"/>
                            <a:ext cx="1291100" cy="6944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97"/>
                        <wps:cNvSpPr txBox="1">
                          <a:spLocks noChangeArrowheads="1"/>
                        </wps:cNvSpPr>
                        <wps:spPr bwMode="auto">
                          <a:xfrm>
                            <a:off x="3187470" y="2855344"/>
                            <a:ext cx="179090" cy="1663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E45F5" w14:textId="77777777" w:rsidR="00C330B0" w:rsidRDefault="00C330B0" w:rsidP="00251DFB">
                              <w:pPr>
                                <w:autoSpaceDE w:val="0"/>
                                <w:autoSpaceDN w:val="0"/>
                                <w:adjustRightInd w:val="0"/>
                                <w:rPr>
                                  <w:color w:val="000000"/>
                                  <w:sz w:val="13"/>
                                  <w:szCs w:val="18"/>
                                </w:rPr>
                              </w:pPr>
                              <w:r w:rsidRPr="00021CBD">
                                <w:rPr>
                                  <w:color w:val="000000"/>
                                  <w:sz w:val="16"/>
                                  <w:szCs w:val="18"/>
                                </w:rPr>
                                <w:t>$</w:t>
                              </w:r>
                              <w:r>
                                <w:rPr>
                                  <w:color w:val="000000"/>
                                  <w:sz w:val="13"/>
                                  <w:szCs w:val="18"/>
                                </w:rPr>
                                <w:t>s.</w:t>
                              </w:r>
                            </w:p>
                          </w:txbxContent>
                        </wps:txbx>
                        <wps:bodyPr rot="0" vert="horz" wrap="square" lIns="66751" tIns="33376" rIns="66751" bIns="33376" anchor="t" anchorCtr="0" upright="1">
                          <a:noAutofit/>
                        </wps:bodyPr>
                      </wps:wsp>
                      <wps:wsp>
                        <wps:cNvPr id="108" name="Text Box 298"/>
                        <wps:cNvSpPr txBox="1">
                          <a:spLocks noChangeArrowheads="1"/>
                        </wps:cNvSpPr>
                        <wps:spPr bwMode="auto">
                          <a:xfrm>
                            <a:off x="3238866" y="3329037"/>
                            <a:ext cx="1118001" cy="2999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E71E3" w14:textId="6EB78D9B" w:rsidR="00C330B0" w:rsidRPr="005D2ED9" w:rsidRDefault="00C330B0" w:rsidP="00576A80">
                              <w:pPr>
                                <w:autoSpaceDE w:val="0"/>
                                <w:autoSpaceDN w:val="0"/>
                                <w:adjustRightInd w:val="0"/>
                                <w:jc w:val="center"/>
                                <w:rPr>
                                  <w:color w:val="000000"/>
                                  <w:sz w:val="13"/>
                                  <w:szCs w:val="18"/>
                                </w:rPr>
                              </w:pPr>
                              <w:r w:rsidRPr="005D2ED9">
                                <w:rPr>
                                  <w:color w:val="000000"/>
                                  <w:sz w:val="13"/>
                                  <w:szCs w:val="18"/>
                                </w:rPr>
                                <w:t>Valores</w:t>
                              </w:r>
                              <w:r>
                                <w:rPr>
                                  <w:color w:val="000000"/>
                                  <w:sz w:val="13"/>
                                  <w:szCs w:val="18"/>
                                </w:rPr>
                                <w:t xml:space="preserve"> de Deuda </w:t>
                              </w:r>
                              <w:r w:rsidRPr="005D2ED9">
                                <w:rPr>
                                  <w:color w:val="000000"/>
                                  <w:sz w:val="13"/>
                                  <w:szCs w:val="18"/>
                                </w:rPr>
                                <w:t>Fiduciari</w:t>
                              </w:r>
                              <w:r>
                                <w:rPr>
                                  <w:color w:val="000000"/>
                                  <w:sz w:val="13"/>
                                  <w:szCs w:val="18"/>
                                </w:rPr>
                                <w:t>a</w:t>
                              </w:r>
                            </w:p>
                          </w:txbxContent>
                        </wps:txbx>
                        <wps:bodyPr rot="0" vert="horz" wrap="square" lIns="66751" tIns="33376" rIns="66751" bIns="33376" anchor="t" anchorCtr="0" upright="1">
                          <a:noAutofit/>
                        </wps:bodyPr>
                      </wps:wsp>
                      <wps:wsp>
                        <wps:cNvPr id="109" name="Line 299"/>
                        <wps:cNvCnPr>
                          <a:cxnSpLocks noChangeShapeType="1"/>
                        </wps:cNvCnPr>
                        <wps:spPr bwMode="auto">
                          <a:xfrm flipV="1">
                            <a:off x="2763833" y="2258583"/>
                            <a:ext cx="123966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300"/>
                        <wps:cNvCnPr>
                          <a:cxnSpLocks noChangeShapeType="1"/>
                        </wps:cNvCnPr>
                        <wps:spPr bwMode="auto">
                          <a:xfrm flipH="1" flipV="1">
                            <a:off x="2715567" y="2403735"/>
                            <a:ext cx="1242836"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301"/>
                        <wps:cNvSpPr txBox="1">
                          <a:spLocks noChangeArrowheads="1"/>
                        </wps:cNvSpPr>
                        <wps:spPr bwMode="auto">
                          <a:xfrm>
                            <a:off x="3238866" y="2493034"/>
                            <a:ext cx="297963" cy="1897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3FFE9" w14:textId="77777777" w:rsidR="00C330B0" w:rsidRDefault="00C330B0" w:rsidP="00251DFB">
                              <w:pPr>
                                <w:autoSpaceDE w:val="0"/>
                                <w:autoSpaceDN w:val="0"/>
                                <w:adjustRightInd w:val="0"/>
                                <w:rPr>
                                  <w:color w:val="000000"/>
                                  <w:sz w:val="13"/>
                                  <w:szCs w:val="18"/>
                                </w:rPr>
                              </w:pPr>
                              <w:r w:rsidRPr="00021CBD">
                                <w:rPr>
                                  <w:color w:val="000000"/>
                                  <w:sz w:val="16"/>
                                  <w:szCs w:val="18"/>
                                </w:rPr>
                                <w:t>$</w:t>
                              </w:r>
                              <w:r>
                                <w:rPr>
                                  <w:color w:val="000000"/>
                                  <w:sz w:val="13"/>
                                  <w:szCs w:val="18"/>
                                </w:rPr>
                                <w:t>.</w:t>
                              </w:r>
                            </w:p>
                          </w:txbxContent>
                        </wps:txbx>
                        <wps:bodyPr rot="0" vert="horz" wrap="square" lIns="66751" tIns="33376" rIns="66751" bIns="33376" anchor="t" anchorCtr="0" upright="1">
                          <a:noAutofit/>
                        </wps:bodyPr>
                      </wps:wsp>
                      <wps:wsp>
                        <wps:cNvPr id="112" name="Text Box 302"/>
                        <wps:cNvSpPr txBox="1">
                          <a:spLocks noChangeArrowheads="1"/>
                        </wps:cNvSpPr>
                        <wps:spPr bwMode="auto">
                          <a:xfrm>
                            <a:off x="3088256" y="1979743"/>
                            <a:ext cx="550706" cy="1663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5D72" w14:textId="77777777" w:rsidR="00C330B0" w:rsidRDefault="00C330B0" w:rsidP="00251DFB">
                              <w:pPr>
                                <w:autoSpaceDE w:val="0"/>
                                <w:autoSpaceDN w:val="0"/>
                                <w:adjustRightInd w:val="0"/>
                                <w:rPr>
                                  <w:color w:val="000000"/>
                                  <w:sz w:val="13"/>
                                  <w:szCs w:val="18"/>
                                </w:rPr>
                              </w:pPr>
                              <w:r>
                                <w:rPr>
                                  <w:color w:val="000000"/>
                                  <w:sz w:val="13"/>
                                  <w:szCs w:val="18"/>
                                </w:rPr>
                                <w:t>Créditos</w:t>
                              </w:r>
                            </w:p>
                          </w:txbxContent>
                        </wps:txbx>
                        <wps:bodyPr rot="0" vert="horz" wrap="square" lIns="66751" tIns="33376" rIns="66751" bIns="33376" anchor="t" anchorCtr="0" upright="1">
                          <a:noAutofit/>
                        </wps:bodyPr>
                      </wps:wsp>
                      <wps:wsp>
                        <wps:cNvPr id="113" name="Rectangle 303"/>
                        <wps:cNvSpPr>
                          <a:spLocks noChangeArrowheads="1"/>
                        </wps:cNvSpPr>
                        <wps:spPr bwMode="auto">
                          <a:xfrm>
                            <a:off x="5081" y="1724285"/>
                            <a:ext cx="1202191" cy="1087926"/>
                          </a:xfrm>
                          <a:prstGeom prst="rect">
                            <a:avLst/>
                          </a:prstGeom>
                          <a:solidFill>
                            <a:srgbClr val="B2B2B2"/>
                          </a:solidFill>
                          <a:ln w="9525">
                            <a:solidFill>
                              <a:srgbClr val="000000"/>
                            </a:solidFill>
                            <a:miter lim="800000"/>
                            <a:headEnd/>
                            <a:tailEnd/>
                          </a:ln>
                        </wps:spPr>
                        <wps:txbx>
                          <w:txbxContent>
                            <w:p w14:paraId="4F56A30C" w14:textId="77777777"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Deudores</w:t>
                              </w:r>
                            </w:p>
                            <w:p w14:paraId="49B9EBE2"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txbxContent>
                        </wps:txbx>
                        <wps:bodyPr rot="0" vert="horz" wrap="square" lIns="66751" tIns="33376" rIns="66751" bIns="33376" anchor="ctr" anchorCtr="0" upright="1">
                          <a:noAutofit/>
                        </wps:bodyPr>
                      </wps:wsp>
                      <wps:wsp>
                        <wps:cNvPr id="114" name="Line 306"/>
                        <wps:cNvCnPr>
                          <a:cxnSpLocks noChangeShapeType="1"/>
                        </wps:cNvCnPr>
                        <wps:spPr bwMode="auto">
                          <a:xfrm flipH="1">
                            <a:off x="623958" y="933710"/>
                            <a:ext cx="1111111" cy="9526"/>
                          </a:xfrm>
                          <a:prstGeom prst="line">
                            <a:avLst/>
                          </a:prstGeom>
                          <a:noFill/>
                          <a:ln w="317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6" name="Line 307"/>
                        <wps:cNvCnPr>
                          <a:cxnSpLocks noChangeShapeType="1"/>
                        </wps:cNvCnPr>
                        <wps:spPr bwMode="auto">
                          <a:xfrm flipV="1">
                            <a:off x="623958" y="933710"/>
                            <a:ext cx="0" cy="779258"/>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17" name="Text Box 308"/>
                        <wps:cNvSpPr txBox="1">
                          <a:spLocks noChangeArrowheads="1"/>
                        </wps:cNvSpPr>
                        <wps:spPr bwMode="auto">
                          <a:xfrm>
                            <a:off x="899153" y="686655"/>
                            <a:ext cx="527110" cy="1663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B25D9" w14:textId="77777777" w:rsidR="00C330B0" w:rsidRPr="005D2ED9" w:rsidRDefault="00C330B0" w:rsidP="00251DFB">
                              <w:pPr>
                                <w:autoSpaceDE w:val="0"/>
                                <w:autoSpaceDN w:val="0"/>
                                <w:adjustRightInd w:val="0"/>
                                <w:rPr>
                                  <w:color w:val="000000"/>
                                  <w:sz w:val="13"/>
                                  <w:szCs w:val="18"/>
                                </w:rPr>
                              </w:pPr>
                              <w:r w:rsidRPr="005D2ED9">
                                <w:rPr>
                                  <w:color w:val="000000"/>
                                  <w:sz w:val="13"/>
                                  <w:szCs w:val="18"/>
                                </w:rPr>
                                <w:t>Cobranza</w:t>
                              </w:r>
                            </w:p>
                          </w:txbxContent>
                        </wps:txbx>
                        <wps:bodyPr rot="0" vert="horz" wrap="square" lIns="66751" tIns="33376" rIns="66751" bIns="33376" anchor="t" anchorCtr="0" upright="1">
                          <a:noAutofit/>
                        </wps:bodyPr>
                      </wps:wsp>
                      <wps:wsp>
                        <wps:cNvPr id="118" name="Line 310"/>
                        <wps:cNvCnPr>
                          <a:cxnSpLocks noChangeShapeType="1"/>
                          <a:stCxn id="100" idx="3"/>
                        </wps:cNvCnPr>
                        <wps:spPr bwMode="auto">
                          <a:xfrm>
                            <a:off x="2863969" y="980680"/>
                            <a:ext cx="1693942"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311"/>
                        <wps:cNvCnPr>
                          <a:cxnSpLocks noChangeShapeType="1"/>
                        </wps:cNvCnPr>
                        <wps:spPr bwMode="auto">
                          <a:xfrm>
                            <a:off x="4558546" y="980680"/>
                            <a:ext cx="0" cy="636291"/>
                          </a:xfrm>
                          <a:prstGeom prst="line">
                            <a:avLst/>
                          </a:prstGeom>
                          <a:noFill/>
                          <a:ln w="31750">
                            <a:solidFill>
                              <a:srgbClr val="000000"/>
                            </a:solidFill>
                            <a:round/>
                            <a:headEnd/>
                            <a:tailEnd type="triangle"/>
                          </a:ln>
                          <a:extLst>
                            <a:ext uri="{909E8E84-426E-40DD-AFC4-6F175D3DCCD1}">
                              <a14:hiddenFill xmlns:a14="http://schemas.microsoft.com/office/drawing/2010/main">
                                <a:noFill/>
                              </a14:hiddenFill>
                            </a:ext>
                          </a:extLst>
                        </wps:spPr>
                        <wps:bodyPr/>
                      </wps:wsp>
                      <wps:wsp>
                        <wps:cNvPr id="122" name="Text Box 315"/>
                        <wps:cNvSpPr txBox="1">
                          <a:spLocks noChangeArrowheads="1"/>
                        </wps:cNvSpPr>
                        <wps:spPr bwMode="auto">
                          <a:xfrm>
                            <a:off x="2411796" y="1377636"/>
                            <a:ext cx="676460" cy="364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F37C" w14:textId="77777777" w:rsidR="00C330B0" w:rsidRPr="005D2ED9" w:rsidRDefault="00C330B0" w:rsidP="00251DFB">
                              <w:pPr>
                                <w:autoSpaceDE w:val="0"/>
                                <w:autoSpaceDN w:val="0"/>
                                <w:adjustRightInd w:val="0"/>
                                <w:jc w:val="center"/>
                                <w:rPr>
                                  <w:rFonts w:ascii="Times New Roman" w:hAnsi="Times New Roman" w:cs="Times New Roman"/>
                                  <w:color w:val="000000"/>
                                  <w:sz w:val="14"/>
                                  <w:szCs w:val="14"/>
                                </w:rPr>
                              </w:pPr>
                              <w:r w:rsidRPr="005D2ED9">
                                <w:rPr>
                                  <w:rFonts w:ascii="Times New Roman" w:hAnsi="Times New Roman" w:cs="Times New Roman"/>
                                  <w:color w:val="000000"/>
                                  <w:sz w:val="14"/>
                                  <w:szCs w:val="14"/>
                                </w:rPr>
                                <w:t>Convenio de Recaudación</w:t>
                              </w:r>
                            </w:p>
                          </w:txbxContent>
                        </wps:txbx>
                        <wps:bodyPr rot="0" vert="horz" wrap="square" lIns="66751" tIns="33376" rIns="66751" bIns="33376" anchor="t" anchorCtr="0" upright="1">
                          <a:noAutofit/>
                        </wps:bodyPr>
                      </wps:wsp>
                      <wps:wsp>
                        <wps:cNvPr id="123" name="Rectangle 316"/>
                        <wps:cNvSpPr>
                          <a:spLocks noChangeArrowheads="1"/>
                        </wps:cNvSpPr>
                        <wps:spPr bwMode="auto">
                          <a:xfrm>
                            <a:off x="1338096" y="2910465"/>
                            <a:ext cx="278797" cy="279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24" name="Rectangle 317"/>
                        <wps:cNvSpPr>
                          <a:spLocks noChangeArrowheads="1"/>
                        </wps:cNvSpPr>
                        <wps:spPr bwMode="auto">
                          <a:xfrm>
                            <a:off x="1138687" y="2069725"/>
                            <a:ext cx="624273" cy="334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CD6A" w14:textId="77777777" w:rsidR="00C330B0" w:rsidRDefault="00C330B0" w:rsidP="00251DFB">
                              <w:pPr>
                                <w:autoSpaceDE w:val="0"/>
                                <w:autoSpaceDN w:val="0"/>
                                <w:adjustRightInd w:val="0"/>
                                <w:jc w:val="center"/>
                                <w:rPr>
                                  <w:color w:val="000000"/>
                                  <w:sz w:val="13"/>
                                  <w:szCs w:val="18"/>
                                </w:rPr>
                              </w:pPr>
                              <w:r>
                                <w:rPr>
                                  <w:color w:val="000000"/>
                                  <w:sz w:val="13"/>
                                  <w:szCs w:val="18"/>
                                </w:rPr>
                                <w:t>Pagarés</w:t>
                              </w:r>
                            </w:p>
                          </w:txbxContent>
                        </wps:txbx>
                        <wps:bodyPr rot="0" vert="horz" wrap="square" lIns="66751" tIns="33376" rIns="66751" bIns="33376" anchor="ctr" anchorCtr="0" upright="1">
                          <a:noAutofit/>
                        </wps:bodyPr>
                      </wps:wsp>
                      <wps:wsp>
                        <wps:cNvPr id="125" name="Text Box 308"/>
                        <wps:cNvSpPr txBox="1">
                          <a:spLocks noChangeArrowheads="1"/>
                        </wps:cNvSpPr>
                        <wps:spPr bwMode="auto">
                          <a:xfrm>
                            <a:off x="2006653" y="197744"/>
                            <a:ext cx="52647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2E88" w14:textId="77777777" w:rsidR="00C330B0" w:rsidRPr="005D2ED9" w:rsidRDefault="00C330B0" w:rsidP="00251DFB">
                              <w:pPr>
                                <w:pStyle w:val="NormalWeb"/>
                                <w:spacing w:before="0" w:beforeAutospacing="0" w:after="0" w:afterAutospacing="0"/>
                                <w:rPr>
                                  <w:rFonts w:ascii="Times New Roman" w:hAnsi="Times New Roman" w:cs="Times New Roman"/>
                                  <w:sz w:val="16"/>
                                  <w:szCs w:val="16"/>
                                </w:rPr>
                              </w:pPr>
                              <w:r w:rsidRPr="005D2ED9">
                                <w:rPr>
                                  <w:rFonts w:ascii="Times New Roman" w:eastAsia="Times New Roman" w:hAnsi="Times New Roman" w:cs="Times New Roman"/>
                                  <w:color w:val="000000"/>
                                  <w:sz w:val="16"/>
                                  <w:szCs w:val="16"/>
                                </w:rPr>
                                <w:t>Cobranza</w:t>
                              </w:r>
                            </w:p>
                          </w:txbxContent>
                        </wps:txbx>
                        <wps:bodyPr rot="0" vert="horz" wrap="square" lIns="66751" tIns="33376" rIns="66751" bIns="33376" anchor="t" anchorCtr="0" upright="1">
                          <a:noAutofit/>
                        </wps:bodyPr>
                      </wps:wsp>
                      <wps:wsp>
                        <wps:cNvPr id="126" name="Line 310"/>
                        <wps:cNvCnPr>
                          <a:cxnSpLocks noChangeShapeType="1"/>
                        </wps:cNvCnPr>
                        <wps:spPr bwMode="auto">
                          <a:xfrm flipV="1">
                            <a:off x="4557911" y="3243533"/>
                            <a:ext cx="635" cy="418568"/>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s:wsp>
                        <wps:cNvPr id="127" name="Line 311"/>
                        <wps:cNvCnPr>
                          <a:cxnSpLocks noChangeShapeType="1"/>
                        </wps:cNvCnPr>
                        <wps:spPr bwMode="auto">
                          <a:xfrm flipH="1">
                            <a:off x="2718743" y="3662101"/>
                            <a:ext cx="1839169" cy="0"/>
                          </a:xfrm>
                          <a:prstGeom prst="line">
                            <a:avLst/>
                          </a:prstGeom>
                          <a:noFill/>
                          <a:ln w="31750">
                            <a:solidFill>
                              <a:srgbClr val="000000"/>
                            </a:solidFill>
                            <a:round/>
                            <a:headEnd/>
                            <a:tailEnd type="triangle"/>
                          </a:ln>
                          <a:extLst>
                            <a:ext uri="{909E8E84-426E-40DD-AFC4-6F175D3DCCD1}">
                              <a14:hiddenFill xmlns:a14="http://schemas.microsoft.com/office/drawing/2010/main">
                                <a:noFill/>
                              </a14:hiddenFill>
                            </a:ext>
                          </a:extLst>
                        </wps:spPr>
                        <wps:bodyPr/>
                      </wps:wsp>
                      <wps:wsp>
                        <wps:cNvPr id="128" name="Text Box 301"/>
                        <wps:cNvSpPr txBox="1">
                          <a:spLocks noChangeArrowheads="1"/>
                        </wps:cNvSpPr>
                        <wps:spPr bwMode="auto">
                          <a:xfrm>
                            <a:off x="3427516" y="761478"/>
                            <a:ext cx="297815" cy="1892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D4C6" w14:textId="77777777" w:rsidR="00C330B0" w:rsidRPr="00021CBD" w:rsidRDefault="00C330B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p>
                          </w:txbxContent>
                        </wps:txbx>
                        <wps:bodyPr rot="0" vert="horz" wrap="square" lIns="66751" tIns="33376" rIns="66751" bIns="33376" anchor="t" anchorCtr="0" upright="1">
                          <a:noAutofit/>
                        </wps:bodyPr>
                      </wps:wsp>
                      <wps:wsp>
                        <wps:cNvPr id="129" name="Text Box 301"/>
                        <wps:cNvSpPr txBox="1">
                          <a:spLocks noChangeArrowheads="1"/>
                        </wps:cNvSpPr>
                        <wps:spPr bwMode="auto">
                          <a:xfrm>
                            <a:off x="623958" y="686655"/>
                            <a:ext cx="297815" cy="1892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180B4" w14:textId="77777777" w:rsidR="00C330B0" w:rsidRPr="00021CBD" w:rsidRDefault="00C330B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wps:txbx>
                        <wps:bodyPr rot="0" vert="horz" wrap="square" lIns="66751" tIns="33376" rIns="66751" bIns="33376" anchor="t" anchorCtr="0" upright="1">
                          <a:noAutofit/>
                        </wps:bodyPr>
                      </wps:wsp>
                      <wps:wsp>
                        <wps:cNvPr id="177" name="Text Box 301"/>
                        <wps:cNvSpPr txBox="1">
                          <a:spLocks noChangeArrowheads="1"/>
                        </wps:cNvSpPr>
                        <wps:spPr bwMode="auto">
                          <a:xfrm>
                            <a:off x="4631230" y="3414147"/>
                            <a:ext cx="297815" cy="1892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4BE4" w14:textId="77777777" w:rsidR="00C330B0" w:rsidRPr="00021CBD" w:rsidRDefault="00C330B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wps:txbx>
                        <wps:bodyPr rot="0" vert="horz" wrap="square" lIns="66751" tIns="33376" rIns="66751" bIns="33376" anchor="t" anchorCtr="0" upright="1">
                          <a:noAutofit/>
                        </wps:bodyPr>
                      </wps:wsp>
                      <wps:wsp>
                        <wps:cNvPr id="180" name="Line 292"/>
                        <wps:cNvCnPr>
                          <a:cxnSpLocks noChangeShapeType="1"/>
                        </wps:cNvCnPr>
                        <wps:spPr bwMode="auto">
                          <a:xfrm>
                            <a:off x="2411796" y="1349615"/>
                            <a:ext cx="0" cy="36335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31" name="Imagen 13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762961" y="1724284"/>
                            <a:ext cx="980240" cy="13237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B03EBEA" id="Lienzo 178" o:spid="_x0000_s1026" editas="canvas" style="width:441.8pt;height:309.85pt;mso-position-horizontal-relative:char;mso-position-vertical-relative:line" coordsize="56108,393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">
                <v:shape id="_x0000_s1027" type="#_x0000_t75" style="position:absolute;width:56108;height:39350;visibility:visible;mso-wrap-style:square">
                  <v:fill o:detectmouseclick="t"/>
                  <v:path o:connecttype="none"/>
                </v:shape>
                <v:rect id="Rectangle 286" o:spid="_x0000_s1028" style="position:absolute;left:40034;top:16169;width:10258;height:16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" fillcolor="#b2b2b2">
                  <v:textbox inset="1.85419mm,.92711mm,1.85419mm,.92711mm">
                    <w:txbxContent>
                      <w:p w14:paraId="1DD3C024"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p w14:paraId="5F7EDC60"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p w14:paraId="20D92AAA"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p w14:paraId="464682CA"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p w14:paraId="1A1460B8" w14:textId="77777777"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Fideicomiso</w:t>
                        </w:r>
                      </w:p>
                      <w:p w14:paraId="1ACF2473" w14:textId="77777777"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Financiero</w:t>
                        </w:r>
                      </w:p>
                      <w:p w14:paraId="17B60CB2" w14:textId="23B1C534"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CONFIBONO LIII</w:t>
                        </w:r>
                      </w:p>
                    </w:txbxContent>
                  </v:textbox>
                </v:rect>
                <v:rect id="Rectangle 288" o:spid="_x0000_s1029" style="position:absolute;left:40644;top:16658;width:8078;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">
                  <v:textbox inset="1.85419mm,.92711mm,1.85419mm,.92711mm">
                    <w:txbxContent>
                      <w:p w14:paraId="4D4B3622" w14:textId="77777777" w:rsidR="00C330B0" w:rsidRDefault="00C330B0" w:rsidP="00251DFB">
                        <w:pPr>
                          <w:autoSpaceDE w:val="0"/>
                          <w:autoSpaceDN w:val="0"/>
                          <w:adjustRightInd w:val="0"/>
                          <w:jc w:val="center"/>
                          <w:rPr>
                            <w:rFonts w:ascii="Tahoma" w:hAnsi="Tahoma" w:cs="Tahoma"/>
                            <w:b/>
                            <w:bCs/>
                            <w:color w:val="000000"/>
                            <w:sz w:val="20"/>
                            <w:szCs w:val="28"/>
                          </w:rPr>
                        </w:pPr>
                      </w:p>
                      <w:p w14:paraId="59688D6B" w14:textId="77777777" w:rsidR="00C330B0" w:rsidRPr="005D2ED9" w:rsidRDefault="00C330B0"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Cuenta</w:t>
                        </w:r>
                      </w:p>
                      <w:p w14:paraId="1B061E43" w14:textId="77777777" w:rsidR="00C330B0" w:rsidRPr="005D2ED9" w:rsidRDefault="00C330B0" w:rsidP="00251DFB">
                        <w:pPr>
                          <w:autoSpaceDE w:val="0"/>
                          <w:autoSpaceDN w:val="0"/>
                          <w:adjustRightInd w:val="0"/>
                          <w:jc w:val="center"/>
                          <w:rPr>
                            <w:rFonts w:ascii="Times New Roman" w:hAnsi="Times New Roman" w:cs="Times New Roman"/>
                            <w:b/>
                            <w:bCs/>
                            <w:color w:val="000000"/>
                            <w:sz w:val="20"/>
                            <w:szCs w:val="28"/>
                          </w:rPr>
                        </w:pPr>
                        <w:r w:rsidRPr="005D2ED9">
                          <w:rPr>
                            <w:rFonts w:ascii="Times New Roman" w:hAnsi="Times New Roman" w:cs="Times New Roman"/>
                            <w:b/>
                            <w:bCs/>
                            <w:color w:val="000000"/>
                            <w:sz w:val="20"/>
                            <w:szCs w:val="28"/>
                          </w:rPr>
                          <w:t>Fiduciaria</w:t>
                        </w:r>
                      </w:p>
                    </w:txbxContent>
                  </v:textbox>
                </v:rect>
                <v:rect id="Rectangle 289" o:spid="_x0000_s1030" style="position:absolute;left:16994;top:6117;width:11645;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" fillcolor="#b2b2b2">
                  <v:textbox inset="1.85419mm,.92711mm,1.85419mm,.92711mm">
                    <w:txbxContent>
                      <w:p w14:paraId="54C3A264" w14:textId="760AAB48" w:rsidR="00C330B0" w:rsidRPr="00502438" w:rsidRDefault="00C330B0"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Agente Recaudador</w:t>
                        </w:r>
                      </w:p>
                      <w:p w14:paraId="7039BD0D" w14:textId="77777777" w:rsidR="00C330B0" w:rsidRPr="00502438" w:rsidRDefault="00C330B0" w:rsidP="00251DFB">
                        <w:pPr>
                          <w:autoSpaceDE w:val="0"/>
                          <w:autoSpaceDN w:val="0"/>
                          <w:adjustRightInd w:val="0"/>
                          <w:jc w:val="center"/>
                          <w:rPr>
                            <w:rFonts w:ascii="Times New Roman" w:hAnsi="Times New Roman" w:cs="Times New Roman"/>
                            <w:b/>
                            <w:bCs/>
                            <w:color w:val="FFFFFF"/>
                            <w:sz w:val="20"/>
                            <w:szCs w:val="20"/>
                            <w:lang w:val="pt-BR"/>
                          </w:rPr>
                        </w:pPr>
                        <w:r w:rsidRPr="00502438">
                          <w:rPr>
                            <w:rFonts w:ascii="Times New Roman" w:hAnsi="Times New Roman" w:cs="Times New Roman"/>
                            <w:b/>
                            <w:bCs/>
                            <w:color w:val="FFFFFF"/>
                            <w:sz w:val="20"/>
                            <w:szCs w:val="20"/>
                            <w:lang w:val="pt-BR"/>
                          </w:rPr>
                          <w:t>TINSA S.A.</w:t>
                        </w:r>
                      </w:p>
                    </w:txbxContent>
                  </v:textbox>
                </v:rect>
                <v:shapetype id="_x0000_t202" coordsize="21600,21600" o:spt="202" path="m,l,21600r21600,l21600,xe">
                  <v:stroke joinstyle="miter"/>
                  <v:path gradientshapeok="t" o:connecttype="rect"/>
                </v:shapetype>
                <v:shape id="Text Box 291" o:spid="_x0000_s1031" type="#_x0000_t202" style="position:absolute;left:32007;top:9972;width:5246;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" filled="f" fillcolor="#bbe0e3" stroked="f">
                  <v:textbox inset="1.85419mm,.92711mm,1.85419mm,.92711mm">
                    <w:txbxContent>
                      <w:p w14:paraId="72169D0C" w14:textId="77777777" w:rsidR="00C330B0" w:rsidRDefault="00C330B0" w:rsidP="00251DFB">
                        <w:pPr>
                          <w:rPr>
                            <w:szCs w:val="18"/>
                          </w:rPr>
                        </w:pPr>
                      </w:p>
                      <w:p w14:paraId="6893C2FA" w14:textId="77777777" w:rsidR="00C330B0" w:rsidRDefault="00C330B0" w:rsidP="00251DFB">
                        <w:pPr>
                          <w:rPr>
                            <w:szCs w:val="18"/>
                          </w:rPr>
                        </w:pPr>
                      </w:p>
                      <w:p w14:paraId="07ABE723" w14:textId="77777777" w:rsidR="00C330B0" w:rsidRPr="00FC6724" w:rsidRDefault="00C330B0" w:rsidP="00251DFB">
                        <w:pPr>
                          <w:rPr>
                            <w:szCs w:val="18"/>
                          </w:rPr>
                        </w:pPr>
                      </w:p>
                    </w:txbxContent>
                  </v:textbox>
                </v:shape>
                <v:line id="Line 292" o:spid="_x0000_s1032" style="position:absolute;flip:x;visibility:visible;mso-wrap-style:square" from="12129,20240" to="17629,2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">
                  <v:stroke startarrow="block" endarrow="block"/>
                </v:line>
                <v:shape id="Text Box 293" o:spid="_x0000_s1033" type="#_x0000_t202" style="position:absolute;left:12053;top:17914;width:494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" filled="f" fillcolor="#bbe0e3" stroked="f">
                  <v:textbox inset="1.85419mm,.92711mm,1.85419mm,.92711mm">
                    <w:txbxContent>
                      <w:p w14:paraId="68CED5EC" w14:textId="77777777" w:rsidR="00C330B0" w:rsidRDefault="00C330B0" w:rsidP="00251DFB">
                        <w:pPr>
                          <w:autoSpaceDE w:val="0"/>
                          <w:autoSpaceDN w:val="0"/>
                          <w:adjustRightInd w:val="0"/>
                          <w:rPr>
                            <w:color w:val="000000"/>
                            <w:sz w:val="13"/>
                            <w:szCs w:val="18"/>
                          </w:rPr>
                        </w:pPr>
                        <w:r>
                          <w:rPr>
                            <w:color w:val="000000"/>
                            <w:sz w:val="13"/>
                            <w:szCs w:val="18"/>
                          </w:rPr>
                          <w:t>Créditos</w:t>
                        </w:r>
                      </w:p>
                    </w:txbxContent>
                  </v:textbox>
                </v:shape>
                <v:rect id="Rectangle 294" o:spid="_x0000_s1034" style="position:absolute;left:17629;top:31974;width:9558;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" fillcolor="#b2b2b2">
                  <v:textbox inset="1.85419mm,.92711mm,1.85419mm,.92711mm">
                    <w:txbxContent>
                      <w:p w14:paraId="61F19F04" w14:textId="77777777"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Inversores</w:t>
                        </w:r>
                      </w:p>
                    </w:txbxContent>
                  </v:textbox>
                </v:rect>
                <v:line id="Line 295" o:spid="_x0000_s1035" style="position:absolute;flip:y;visibility:visible;mso-wrap-style:square" from="27187,27400" to="39584,3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RBxQAAANwAAAAPAAAAZHJzL2Rvd25yZXYueG1sRI9BS8NA&#10;EIXvQv/DMoKXYHe1KB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ChyTRBxQAAANwAAAAP&#10;AAAAAAAAAAAAAAAAAAcCAABkcnMvZG93bnJldi54bWxQSwUGAAAAAAMAAwC3AAAA+QIAAAAA&#10;">
                  <v:stroke endarrow="block"/>
                </v:line>
                <v:line id="Line 296" o:spid="_x0000_s1036" style="position:absolute;flip:x;visibility:visible;mso-wrap-style:square" from="27123,29104" to="40034,3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">
                  <v:stroke endarrow="block"/>
                </v:line>
                <v:shape id="Text Box 297" o:spid="_x0000_s1037" type="#_x0000_t202" style="position:absolute;left:31874;top:28553;width:179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" filled="f" fillcolor="#bbe0e3" stroked="f">
                  <v:textbox inset="1.85419mm,.92711mm,1.85419mm,.92711mm">
                    <w:txbxContent>
                      <w:p w14:paraId="0D6E45F5" w14:textId="77777777" w:rsidR="00C330B0" w:rsidRDefault="00C330B0" w:rsidP="00251DFB">
                        <w:pPr>
                          <w:autoSpaceDE w:val="0"/>
                          <w:autoSpaceDN w:val="0"/>
                          <w:adjustRightInd w:val="0"/>
                          <w:rPr>
                            <w:color w:val="000000"/>
                            <w:sz w:val="13"/>
                            <w:szCs w:val="18"/>
                          </w:rPr>
                        </w:pPr>
                        <w:r w:rsidRPr="00021CBD">
                          <w:rPr>
                            <w:color w:val="000000"/>
                            <w:sz w:val="16"/>
                            <w:szCs w:val="18"/>
                          </w:rPr>
                          <w:t>$</w:t>
                        </w:r>
                        <w:r>
                          <w:rPr>
                            <w:color w:val="000000"/>
                            <w:sz w:val="13"/>
                            <w:szCs w:val="18"/>
                          </w:rPr>
                          <w:t>s.</w:t>
                        </w:r>
                      </w:p>
                    </w:txbxContent>
                  </v:textbox>
                </v:shape>
                <v:shape id="Text Box 298" o:spid="_x0000_s1038" type="#_x0000_t202" style="position:absolute;left:32388;top:33290;width:1118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" filled="f" fillcolor="#bbe0e3" stroked="f">
                  <v:textbox inset="1.85419mm,.92711mm,1.85419mm,.92711mm">
                    <w:txbxContent>
                      <w:p w14:paraId="5A7E71E3" w14:textId="6EB78D9B" w:rsidR="00C330B0" w:rsidRPr="005D2ED9" w:rsidRDefault="00C330B0" w:rsidP="00576A80">
                        <w:pPr>
                          <w:autoSpaceDE w:val="0"/>
                          <w:autoSpaceDN w:val="0"/>
                          <w:adjustRightInd w:val="0"/>
                          <w:jc w:val="center"/>
                          <w:rPr>
                            <w:color w:val="000000"/>
                            <w:sz w:val="13"/>
                            <w:szCs w:val="18"/>
                          </w:rPr>
                        </w:pPr>
                        <w:r w:rsidRPr="005D2ED9">
                          <w:rPr>
                            <w:color w:val="000000"/>
                            <w:sz w:val="13"/>
                            <w:szCs w:val="18"/>
                          </w:rPr>
                          <w:t>Valores</w:t>
                        </w:r>
                        <w:r>
                          <w:rPr>
                            <w:color w:val="000000"/>
                            <w:sz w:val="13"/>
                            <w:szCs w:val="18"/>
                          </w:rPr>
                          <w:t xml:space="preserve"> de Deuda </w:t>
                        </w:r>
                        <w:r w:rsidRPr="005D2ED9">
                          <w:rPr>
                            <w:color w:val="000000"/>
                            <w:sz w:val="13"/>
                            <w:szCs w:val="18"/>
                          </w:rPr>
                          <w:t>Fiduciari</w:t>
                        </w:r>
                        <w:r>
                          <w:rPr>
                            <w:color w:val="000000"/>
                            <w:sz w:val="13"/>
                            <w:szCs w:val="18"/>
                          </w:rPr>
                          <w:t>a</w:t>
                        </w:r>
                      </w:p>
                    </w:txbxContent>
                  </v:textbox>
                </v:shape>
                <v:line id="Line 299" o:spid="_x0000_s1039" style="position:absolute;flip:y;visibility:visible;mso-wrap-style:square" from="27638,22585" to="40034,2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">
                  <v:stroke endarrow="block"/>
                </v:line>
                <v:line id="Line 300" o:spid="_x0000_s1040" style="position:absolute;flip:x y;visibility:visible;mso-wrap-style:square" from="27155,24037" to="39584,2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">
                  <v:stroke endarrow="block"/>
                </v:line>
                <v:shape id="Text Box 301" o:spid="_x0000_s1041" type="#_x0000_t202" style="position:absolute;left:32388;top:24930;width:2980;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" filled="f" fillcolor="#bbe0e3" stroked="f">
                  <v:textbox inset="1.85419mm,.92711mm,1.85419mm,.92711mm">
                    <w:txbxContent>
                      <w:p w14:paraId="3FE3FFE9" w14:textId="77777777" w:rsidR="00C330B0" w:rsidRDefault="00C330B0" w:rsidP="00251DFB">
                        <w:pPr>
                          <w:autoSpaceDE w:val="0"/>
                          <w:autoSpaceDN w:val="0"/>
                          <w:adjustRightInd w:val="0"/>
                          <w:rPr>
                            <w:color w:val="000000"/>
                            <w:sz w:val="13"/>
                            <w:szCs w:val="18"/>
                          </w:rPr>
                        </w:pPr>
                        <w:r w:rsidRPr="00021CBD">
                          <w:rPr>
                            <w:color w:val="000000"/>
                            <w:sz w:val="16"/>
                            <w:szCs w:val="18"/>
                          </w:rPr>
                          <w:t>$</w:t>
                        </w:r>
                        <w:r>
                          <w:rPr>
                            <w:color w:val="000000"/>
                            <w:sz w:val="13"/>
                            <w:szCs w:val="18"/>
                          </w:rPr>
                          <w:t>.</w:t>
                        </w:r>
                      </w:p>
                    </w:txbxContent>
                  </v:textbox>
                </v:shape>
                <v:shape id="Text Box 302" o:spid="_x0000_s1042" type="#_x0000_t202" style="position:absolute;left:30882;top:19797;width:5507;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" filled="f" fillcolor="#bbe0e3" stroked="f">
                  <v:textbox inset="1.85419mm,.92711mm,1.85419mm,.92711mm">
                    <w:txbxContent>
                      <w:p w14:paraId="28DD5D72" w14:textId="77777777" w:rsidR="00C330B0" w:rsidRDefault="00C330B0" w:rsidP="00251DFB">
                        <w:pPr>
                          <w:autoSpaceDE w:val="0"/>
                          <w:autoSpaceDN w:val="0"/>
                          <w:adjustRightInd w:val="0"/>
                          <w:rPr>
                            <w:color w:val="000000"/>
                            <w:sz w:val="13"/>
                            <w:szCs w:val="18"/>
                          </w:rPr>
                        </w:pPr>
                        <w:r>
                          <w:rPr>
                            <w:color w:val="000000"/>
                            <w:sz w:val="13"/>
                            <w:szCs w:val="18"/>
                          </w:rPr>
                          <w:t>Créditos</w:t>
                        </w:r>
                      </w:p>
                    </w:txbxContent>
                  </v:textbox>
                </v:shape>
                <v:rect id="Rectangle 303" o:spid="_x0000_s1043" style="position:absolute;left:50;top:17242;width:12022;height:10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" fillcolor="#b2b2b2">
                  <v:textbox inset="1.85419mm,.92711mm,1.85419mm,.92711mm">
                    <w:txbxContent>
                      <w:p w14:paraId="4F56A30C" w14:textId="77777777" w:rsidR="00C330B0" w:rsidRPr="005D2ED9" w:rsidRDefault="00C330B0" w:rsidP="00251DFB">
                        <w:pPr>
                          <w:autoSpaceDE w:val="0"/>
                          <w:autoSpaceDN w:val="0"/>
                          <w:adjustRightInd w:val="0"/>
                          <w:jc w:val="center"/>
                          <w:rPr>
                            <w:rFonts w:ascii="Times New Roman" w:hAnsi="Times New Roman" w:cs="Times New Roman"/>
                            <w:b/>
                            <w:bCs/>
                            <w:color w:val="FFFFFF"/>
                            <w:sz w:val="20"/>
                            <w:szCs w:val="20"/>
                          </w:rPr>
                        </w:pPr>
                        <w:r w:rsidRPr="005D2ED9">
                          <w:rPr>
                            <w:rFonts w:ascii="Times New Roman" w:hAnsi="Times New Roman" w:cs="Times New Roman"/>
                            <w:b/>
                            <w:bCs/>
                            <w:color w:val="FFFFFF"/>
                            <w:sz w:val="20"/>
                            <w:szCs w:val="20"/>
                          </w:rPr>
                          <w:t>Deudores</w:t>
                        </w:r>
                      </w:p>
                      <w:p w14:paraId="49B9EBE2" w14:textId="77777777" w:rsidR="00C330B0" w:rsidRPr="00F703C6" w:rsidRDefault="00C330B0" w:rsidP="00251DFB">
                        <w:pPr>
                          <w:autoSpaceDE w:val="0"/>
                          <w:autoSpaceDN w:val="0"/>
                          <w:adjustRightInd w:val="0"/>
                          <w:jc w:val="center"/>
                          <w:rPr>
                            <w:rFonts w:ascii="Tahoma" w:hAnsi="Tahoma" w:cs="Tahoma"/>
                            <w:b/>
                            <w:bCs/>
                            <w:color w:val="FFFFFF"/>
                            <w:sz w:val="18"/>
                            <w:szCs w:val="18"/>
                          </w:rPr>
                        </w:pPr>
                      </w:p>
                    </w:txbxContent>
                  </v:textbox>
                </v:rect>
                <v:line id="Line 306" o:spid="_x0000_s1044" style="position:absolute;flip:x;visibility:visible;mso-wrap-style:square" from="6239,9337" to="17350,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" strokeweight="2.5pt">
                  <v:stroke startarrow="block"/>
                </v:line>
                <v:line id="Line 307" o:spid="_x0000_s1045" style="position:absolute;flip:y;visibility:visible;mso-wrap-style:square" from="6239,9337" to="6239,1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" strokeweight="2.5pt"/>
                <v:shape id="Text Box 308" o:spid="_x0000_s1046" type="#_x0000_t202" style="position:absolute;left:8991;top:6866;width:527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" filled="f" fillcolor="#bbe0e3" stroked="f">
                  <v:textbox inset="1.85419mm,.92711mm,1.85419mm,.92711mm">
                    <w:txbxContent>
                      <w:p w14:paraId="7C9B25D9" w14:textId="77777777" w:rsidR="00C330B0" w:rsidRPr="005D2ED9" w:rsidRDefault="00C330B0" w:rsidP="00251DFB">
                        <w:pPr>
                          <w:autoSpaceDE w:val="0"/>
                          <w:autoSpaceDN w:val="0"/>
                          <w:adjustRightInd w:val="0"/>
                          <w:rPr>
                            <w:color w:val="000000"/>
                            <w:sz w:val="13"/>
                            <w:szCs w:val="18"/>
                          </w:rPr>
                        </w:pPr>
                        <w:r w:rsidRPr="005D2ED9">
                          <w:rPr>
                            <w:color w:val="000000"/>
                            <w:sz w:val="13"/>
                            <w:szCs w:val="18"/>
                          </w:rPr>
                          <w:t>Cobranza</w:t>
                        </w:r>
                      </w:p>
                    </w:txbxContent>
                  </v:textbox>
                </v:shape>
                <v:line id="Line 310" o:spid="_x0000_s1047" style="position:absolute;visibility:visible;mso-wrap-style:square" from="28639,9806" to="45579,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" strokeweight="2.5pt"/>
                <v:line id="Line 311" o:spid="_x0000_s1048" style="position:absolute;visibility:visible;mso-wrap-style:square" from="45585,9806" to="45585,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" strokeweight="2.5pt">
                  <v:stroke endarrow="block"/>
                </v:line>
                <v:shape id="Text Box 315" o:spid="_x0000_s1049" type="#_x0000_t202" style="position:absolute;left:24117;top:13776;width:6765;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" filled="f" fillcolor="#bbe0e3" stroked="f">
                  <v:textbox inset="1.85419mm,.92711mm,1.85419mm,.92711mm">
                    <w:txbxContent>
                      <w:p w14:paraId="6707F37C" w14:textId="77777777" w:rsidR="00C330B0" w:rsidRPr="005D2ED9" w:rsidRDefault="00C330B0" w:rsidP="00251DFB">
                        <w:pPr>
                          <w:autoSpaceDE w:val="0"/>
                          <w:autoSpaceDN w:val="0"/>
                          <w:adjustRightInd w:val="0"/>
                          <w:jc w:val="center"/>
                          <w:rPr>
                            <w:rFonts w:ascii="Times New Roman" w:hAnsi="Times New Roman" w:cs="Times New Roman"/>
                            <w:color w:val="000000"/>
                            <w:sz w:val="14"/>
                            <w:szCs w:val="14"/>
                          </w:rPr>
                        </w:pPr>
                        <w:r w:rsidRPr="005D2ED9">
                          <w:rPr>
                            <w:rFonts w:ascii="Times New Roman" w:hAnsi="Times New Roman" w:cs="Times New Roman"/>
                            <w:color w:val="000000"/>
                            <w:sz w:val="14"/>
                            <w:szCs w:val="14"/>
                          </w:rPr>
                          <w:t>Convenio de Recaudación</w:t>
                        </w:r>
                      </w:p>
                    </w:txbxContent>
                  </v:textbox>
                </v:shape>
                <v:rect id="Rectangle 316" o:spid="_x0000_s1050" style="position:absolute;left:13380;top:29104;width:2788;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" filled="f" fillcolor="#bbe0e3" stroked="f"/>
                <v:rect id="Rectangle 317" o:spid="_x0000_s1051" style="position:absolute;left:11386;top:20697;width:6243;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" filled="f" fillcolor="#bbe0e3" stroked="f">
                  <v:textbox inset="1.85419mm,.92711mm,1.85419mm,.92711mm">
                    <w:txbxContent>
                      <w:p w14:paraId="3714CD6A" w14:textId="77777777" w:rsidR="00C330B0" w:rsidRDefault="00C330B0" w:rsidP="00251DFB">
                        <w:pPr>
                          <w:autoSpaceDE w:val="0"/>
                          <w:autoSpaceDN w:val="0"/>
                          <w:adjustRightInd w:val="0"/>
                          <w:jc w:val="center"/>
                          <w:rPr>
                            <w:color w:val="000000"/>
                            <w:sz w:val="13"/>
                            <w:szCs w:val="18"/>
                          </w:rPr>
                        </w:pPr>
                        <w:r>
                          <w:rPr>
                            <w:color w:val="000000"/>
                            <w:sz w:val="13"/>
                            <w:szCs w:val="18"/>
                          </w:rPr>
                          <w:t>Pagarés</w:t>
                        </w:r>
                      </w:p>
                    </w:txbxContent>
                  </v:textbox>
                </v:rect>
                <v:shape id="Text Box 308" o:spid="_x0000_s1052" type="#_x0000_t202" style="position:absolute;left:20066;top:1977;width:526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" filled="f" fillcolor="#bbe0e3" stroked="f">
                  <v:textbox inset="1.85419mm,.92711mm,1.85419mm,.92711mm">
                    <w:txbxContent>
                      <w:p w14:paraId="34192E88" w14:textId="77777777" w:rsidR="00C330B0" w:rsidRPr="005D2ED9" w:rsidRDefault="00C330B0" w:rsidP="00251DFB">
                        <w:pPr>
                          <w:pStyle w:val="NormalWeb"/>
                          <w:spacing w:before="0" w:beforeAutospacing="0" w:after="0" w:afterAutospacing="0"/>
                          <w:rPr>
                            <w:rFonts w:ascii="Times New Roman" w:hAnsi="Times New Roman" w:cs="Times New Roman"/>
                            <w:sz w:val="16"/>
                            <w:szCs w:val="16"/>
                          </w:rPr>
                        </w:pPr>
                        <w:r w:rsidRPr="005D2ED9">
                          <w:rPr>
                            <w:rFonts w:ascii="Times New Roman" w:eastAsia="Times New Roman" w:hAnsi="Times New Roman" w:cs="Times New Roman"/>
                            <w:color w:val="000000"/>
                            <w:sz w:val="16"/>
                            <w:szCs w:val="16"/>
                          </w:rPr>
                          <w:t>Cobranza</w:t>
                        </w:r>
                      </w:p>
                    </w:txbxContent>
                  </v:textbox>
                </v:shape>
                <v:line id="Line 310" o:spid="_x0000_s1053" style="position:absolute;flip:y;visibility:visible;mso-wrap-style:square" from="45579,32435" to="45585,3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" strokeweight="2.5pt"/>
                <v:line id="Line 311" o:spid="_x0000_s1054" style="position:absolute;flip:x;visibility:visible;mso-wrap-style:square" from="27187,36621" to="45579,3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" strokeweight="2.5pt">
                  <v:stroke endarrow="block"/>
                </v:line>
                <v:shape id="Text Box 301" o:spid="_x0000_s1055" type="#_x0000_t202" style="position:absolute;left:34275;top:7614;width:297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" filled="f" fillcolor="#bbe0e3" stroked="f">
                  <v:textbox inset="1.85419mm,.92711mm,1.85419mm,.92711mm">
                    <w:txbxContent>
                      <w:p w14:paraId="451AD4C6" w14:textId="77777777" w:rsidR="00C330B0" w:rsidRPr="00021CBD" w:rsidRDefault="00C330B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p>
                    </w:txbxContent>
                  </v:textbox>
                </v:shape>
                <v:shape id="Text Box 301" o:spid="_x0000_s1056" type="#_x0000_t202" style="position:absolute;left:6239;top:6866;width:297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" filled="f" fillcolor="#bbe0e3" stroked="f">
                  <v:textbox inset="1.85419mm,.92711mm,1.85419mm,.92711mm">
                    <w:txbxContent>
                      <w:p w14:paraId="316180B4" w14:textId="77777777" w:rsidR="00C330B0" w:rsidRPr="00021CBD" w:rsidRDefault="00C330B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v:textbox>
                </v:shape>
                <v:shape id="Text Box 301" o:spid="_x0000_s1057" type="#_x0000_t202" style="position:absolute;left:46312;top:34141;width:297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" filled="f" fillcolor="#bbe0e3" stroked="f">
                  <v:textbox inset="1.85419mm,.92711mm,1.85419mm,.92711mm">
                    <w:txbxContent>
                      <w:p w14:paraId="04934BE4" w14:textId="77777777" w:rsidR="00C330B0" w:rsidRPr="00021CBD" w:rsidRDefault="00C330B0" w:rsidP="00251DFB">
                        <w:pPr>
                          <w:pStyle w:val="NormalWeb"/>
                          <w:spacing w:before="0" w:beforeAutospacing="0" w:after="0" w:afterAutospacing="0"/>
                          <w:jc w:val="both"/>
                        </w:pPr>
                        <w:r w:rsidRPr="00021CBD">
                          <w:rPr>
                            <w:rFonts w:ascii="Arial" w:eastAsia="Calibri" w:hAnsi="Arial" w:cs="Arial"/>
                            <w:sz w:val="16"/>
                            <w:szCs w:val="16"/>
                            <w:u w:val="single"/>
                            <w:lang w:val="es-ES_tradnl"/>
                          </w:rPr>
                          <w:t>$</w:t>
                        </w:r>
                        <w:r w:rsidRPr="00021CBD">
                          <w:rPr>
                            <w:rFonts w:ascii="Arial" w:eastAsia="Calibri" w:hAnsi="Arial" w:cs="Arial"/>
                            <w:sz w:val="13"/>
                            <w:szCs w:val="13"/>
                            <w:lang w:val="es-ES_tradnl"/>
                          </w:rPr>
                          <w:t>.</w:t>
                        </w:r>
                      </w:p>
                    </w:txbxContent>
                  </v:textbox>
                </v:shape>
                <v:line id="Line 292" o:spid="_x0000_s1058" style="position:absolute;visibility:visible;mso-wrap-style:square" from="24117,13496" to="24117,1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">
                  <v:stroke startarrow="block" endarrow="block"/>
                </v:line>
                <v:shape id="Imagen 131" o:spid="_x0000_s1059" type="#_x0000_t75" style="position:absolute;left:17629;top:17242;width:9803;height:13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">
                  <v:imagedata r:id="rId93" o:title=""/>
                </v:shape>
                <w10:anchorlock/>
              </v:group>
            </w:pict>
          </mc:Fallback>
        </mc:AlternateContent>
      </w:r>
    </w:p>
    <w:p w14:paraId="4795B195" w14:textId="77777777" w:rsidR="00850C95" w:rsidRPr="00506990" w:rsidRDefault="00850C95" w:rsidP="000C5F90">
      <w:pPr>
        <w:suppressAutoHyphens/>
        <w:jc w:val="center"/>
        <w:rPr>
          <w:rFonts w:ascii="Times New Roman" w:hAnsi="Times New Roman" w:cs="Times New Roman"/>
          <w:b/>
          <w:bCs/>
          <w:iCs/>
          <w:color w:val="0D0D0D" w:themeColor="text1" w:themeTint="F2"/>
          <w:sz w:val="22"/>
          <w:szCs w:val="22"/>
          <w:u w:val="single"/>
        </w:rPr>
      </w:pPr>
    </w:p>
    <w:p w14:paraId="07B75B94" w14:textId="77777777" w:rsidR="00A43B76" w:rsidRPr="00506990" w:rsidRDefault="00A43B76" w:rsidP="000C5F90">
      <w:pPr>
        <w:suppressAutoHyphens/>
        <w:jc w:val="center"/>
        <w:rPr>
          <w:rFonts w:ascii="Times New Roman" w:hAnsi="Times New Roman" w:cs="Times New Roman"/>
          <w:b/>
          <w:bCs/>
          <w:iCs/>
          <w:color w:val="0D0D0D" w:themeColor="text1" w:themeTint="F2"/>
          <w:sz w:val="22"/>
          <w:szCs w:val="22"/>
          <w:u w:val="single"/>
        </w:rPr>
      </w:pPr>
    </w:p>
    <w:p w14:paraId="59A490C2" w14:textId="0AA4906B" w:rsidR="000C5F90" w:rsidRPr="00506990" w:rsidRDefault="000C5F90" w:rsidP="00B228F5">
      <w:pPr>
        <w:pStyle w:val="Ttulo1"/>
        <w:jc w:val="center"/>
        <w:rPr>
          <w:rFonts w:ascii="Times New Roman" w:hAnsi="Times New Roman"/>
          <w:sz w:val="22"/>
          <w:szCs w:val="22"/>
        </w:rPr>
      </w:pPr>
      <w:bookmarkStart w:id="113" w:name="_Toc521424876"/>
      <w:bookmarkStart w:id="114" w:name="_Toc20409094"/>
      <w:r w:rsidRPr="00506990">
        <w:rPr>
          <w:rFonts w:ascii="Times New Roman" w:hAnsi="Times New Roman"/>
          <w:sz w:val="22"/>
          <w:szCs w:val="22"/>
        </w:rPr>
        <w:t>X</w:t>
      </w:r>
      <w:r w:rsidR="00F74B80" w:rsidRPr="00506990">
        <w:rPr>
          <w:rFonts w:ascii="Times New Roman" w:hAnsi="Times New Roman"/>
          <w:sz w:val="22"/>
          <w:szCs w:val="22"/>
        </w:rPr>
        <w:t>V</w:t>
      </w:r>
      <w:r w:rsidRPr="00506990">
        <w:rPr>
          <w:rFonts w:ascii="Times New Roman" w:hAnsi="Times New Roman"/>
          <w:sz w:val="22"/>
          <w:szCs w:val="22"/>
        </w:rPr>
        <w:t xml:space="preserve">.- </w:t>
      </w:r>
      <w:r w:rsidR="00A7122D" w:rsidRPr="00506990">
        <w:rPr>
          <w:rFonts w:ascii="Times New Roman" w:hAnsi="Times New Roman"/>
          <w:sz w:val="22"/>
          <w:szCs w:val="22"/>
        </w:rPr>
        <w:t xml:space="preserve">PROCEDIMIENTO DE </w:t>
      </w:r>
      <w:r w:rsidR="004C0989" w:rsidRPr="00506990">
        <w:rPr>
          <w:rFonts w:ascii="Times New Roman" w:hAnsi="Times New Roman"/>
          <w:sz w:val="22"/>
          <w:szCs w:val="22"/>
        </w:rPr>
        <w:t xml:space="preserve">COLOCACIÓN Y NEGOCIACIÓN DE LOS VALORES </w:t>
      </w:r>
      <w:r w:rsidR="008758B7" w:rsidRPr="00506990">
        <w:rPr>
          <w:rFonts w:ascii="Times New Roman" w:hAnsi="Times New Roman"/>
          <w:sz w:val="22"/>
          <w:szCs w:val="22"/>
        </w:rPr>
        <w:t xml:space="preserve">DE DEUDA </w:t>
      </w:r>
      <w:r w:rsidR="00B866EE" w:rsidRPr="00506990">
        <w:rPr>
          <w:rFonts w:ascii="Times New Roman" w:hAnsi="Times New Roman"/>
          <w:sz w:val="22"/>
          <w:szCs w:val="22"/>
        </w:rPr>
        <w:t>FIDUCIARI</w:t>
      </w:r>
      <w:r w:rsidR="008758B7" w:rsidRPr="00506990">
        <w:rPr>
          <w:rFonts w:ascii="Times New Roman" w:hAnsi="Times New Roman"/>
          <w:sz w:val="22"/>
          <w:szCs w:val="22"/>
        </w:rPr>
        <w:t>A</w:t>
      </w:r>
      <w:r w:rsidRPr="00506990">
        <w:rPr>
          <w:rFonts w:ascii="Times New Roman" w:hAnsi="Times New Roman"/>
          <w:sz w:val="22"/>
          <w:szCs w:val="22"/>
        </w:rPr>
        <w:t>.</w:t>
      </w:r>
      <w:bookmarkEnd w:id="113"/>
      <w:bookmarkEnd w:id="114"/>
    </w:p>
    <w:p w14:paraId="195256EB" w14:textId="77777777"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14:paraId="29309DFB" w14:textId="100DCF8A"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005F07">
        <w:rPr>
          <w:rFonts w:ascii="Times New Roman" w:eastAsia="Times New Roman" w:hAnsi="Times New Roman" w:cs="Times New Roman"/>
          <w:color w:val="0D0D0D" w:themeColor="text1" w:themeTint="F2"/>
          <w:sz w:val="22"/>
          <w:szCs w:val="22"/>
          <w:lang w:val="es-AR"/>
        </w:rPr>
        <w:t>Option</w:t>
      </w:r>
      <w:r w:rsidR="00E23F41" w:rsidRPr="0098446E">
        <w:rPr>
          <w:rFonts w:ascii="Times New Roman" w:eastAsia="Times New Roman" w:hAnsi="Times New Roman" w:cs="Times New Roman"/>
          <w:color w:val="0D0D0D" w:themeColor="text1" w:themeTint="F2"/>
          <w:sz w:val="22"/>
          <w:szCs w:val="22"/>
          <w:lang w:val="es-AR"/>
        </w:rPr>
        <w:t xml:space="preserve"> </w:t>
      </w:r>
      <w:r w:rsidR="00005F07">
        <w:rPr>
          <w:rFonts w:ascii="Times New Roman" w:eastAsia="Times New Roman" w:hAnsi="Times New Roman" w:cs="Times New Roman"/>
          <w:color w:val="0D0D0D" w:themeColor="text1" w:themeTint="F2"/>
          <w:sz w:val="22"/>
          <w:szCs w:val="22"/>
          <w:lang w:val="es-AR"/>
        </w:rPr>
        <w:t>Securities</w:t>
      </w:r>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e</w:t>
      </w:r>
      <w:r w:rsidRPr="00806657">
        <w:rPr>
          <w:rFonts w:ascii="Times New Roman" w:eastAsia="Times New Roman" w:hAnsi="Times New Roman" w:cs="Times New Roman"/>
          <w:color w:val="0D0D0D" w:themeColor="text1" w:themeTint="F2"/>
          <w:sz w:val="22"/>
          <w:szCs w:val="22"/>
          <w:lang w:val="es-AR"/>
        </w:rPr>
        <w:t xml:space="preserve"> INTL CIBSA S.A. El Mercado Argentino de Valores S.A. actuará 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citado sistema. Los Valores de Deuda </w:t>
      </w:r>
      <w:r w:rsidRPr="00506990">
        <w:rPr>
          <w:rFonts w:ascii="Times New Roman" w:hAnsi="Times New Roman" w:cs="Times New Roman"/>
          <w:iCs/>
          <w:color w:val="0D0D0D" w:themeColor="text1" w:themeTint="F2"/>
          <w:sz w:val="22"/>
          <w:szCs w:val="22"/>
        </w:rPr>
        <w:t>Fiduciaria</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CNV.</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 establecido en las NORMAS de CNV, a través del sistema informático de colocación de Mercado Argentino de Valores S.A. (SEMAV) autorizado por la CNV bajo la modalidad abierta.</w:t>
      </w:r>
    </w:p>
    <w:p w14:paraId="46EE1729" w14:textId="33E0502F" w:rsidR="00AF3B0A" w:rsidRPr="00506990"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0341-4210125- Gerencia de Operaciones del Mercado Argentino de Valores S.A.-. Los agentes deberán acreditar ante el MAV que cuentan con autorización para funcionar otorgada por la CNV y su inscripción en el registro correspondiente, y deberán informar por correo electrónico 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64B52D49" w14:textId="77777777"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14:paraId="7664EB3E" w14:textId="4E229263"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Los inversores interesados podrán retirar copias del Prospecto y del Suplemento de Prospecto en las oficinas del Mercado Argentino de Valores S.A., sito en Paraguay 777, 8° piso, Rosario, Pcia. de Santa Fe, en el horario de 11 a 16 horas.</w:t>
      </w:r>
    </w:p>
    <w:p w14:paraId="18A19DA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0B2A4B38" w14:textId="4E67B2BB"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Autorizada la oferta pública, y en la oportunidad que determine el Fiduciario según las condiciones del mercado, se publicará un Aviso de Suscripción en AIF y los sistemas de información de los mercados autorizados donde negocien los Valores</w:t>
      </w:r>
      <w:r w:rsidR="008758B7" w:rsidRPr="00506990">
        <w:rPr>
          <w:rFonts w:ascii="Times New Roman" w:eastAsia="Times New Roman" w:hAnsi="Times New Roman" w:cs="Times New Roman"/>
          <w:color w:val="0D0D0D" w:themeColor="text1" w:themeTint="F2"/>
          <w:sz w:val="22"/>
          <w:szCs w:val="22"/>
          <w:lang w:val="es-AR"/>
        </w:rPr>
        <w:t xml:space="preserve"> </w:t>
      </w:r>
      <w:r w:rsidR="008758B7" w:rsidRPr="00B43F7C">
        <w:rPr>
          <w:rFonts w:ascii="Times New Roman" w:hAnsi="Times New Roman" w:cs="Times New Roman"/>
          <w:iCs/>
          <w:color w:val="0D0D0D" w:themeColor="text1" w:themeTint="F2"/>
          <w:sz w:val="22"/>
          <w:szCs w:val="22"/>
          <w:lang w:val="es-AR"/>
        </w:rPr>
        <w:t>de Deuda</w:t>
      </w:r>
      <w:r w:rsidRPr="00506990">
        <w:rPr>
          <w:rFonts w:ascii="Times New Roman" w:eastAsia="Times New Roman" w:hAnsi="Times New Roman" w:cs="Times New Roman"/>
          <w:color w:val="0D0D0D" w:themeColor="text1" w:themeTint="F2"/>
          <w:sz w:val="22"/>
          <w:szCs w:val="22"/>
          <w:lang w:val="es-AR"/>
        </w:rPr>
        <w:t xml:space="preserve"> </w:t>
      </w:r>
      <w:r w:rsidR="00B866EE" w:rsidRPr="00506990">
        <w:rPr>
          <w:rFonts w:ascii="Times New Roman" w:hAnsi="Times New Roman" w:cs="Times New Roman"/>
          <w:iCs/>
          <w:color w:val="0D0D0D" w:themeColor="text1" w:themeTint="F2"/>
          <w:sz w:val="22"/>
          <w:szCs w:val="22"/>
        </w:rPr>
        <w:t>Fiduciari</w:t>
      </w:r>
      <w:r w:rsidR="008758B7" w:rsidRPr="00506990">
        <w:rPr>
          <w:rFonts w:ascii="Times New Roman" w:hAnsi="Times New Roman" w:cs="Times New Roman"/>
          <w:iCs/>
          <w:color w:val="0D0D0D" w:themeColor="text1" w:themeTint="F2"/>
          <w:sz w:val="22"/>
          <w:szCs w:val="22"/>
        </w:rPr>
        <w:t>a</w:t>
      </w:r>
      <w:r w:rsidRPr="00506990">
        <w:rPr>
          <w:rFonts w:ascii="Times New Roman" w:eastAsia="Times New Roman" w:hAnsi="Times New Roman" w:cs="Times New Roman"/>
          <w:color w:val="0D0D0D" w:themeColor="text1" w:themeTint="F2"/>
          <w:sz w:val="22"/>
          <w:szCs w:val="22"/>
          <w:lang w:val="es-AR"/>
        </w:rPr>
        <w:t xml:space="preserve">, en el que se indicará la fecha de inicio y de finalización del Período de Difusión y del Periodo de Licitación y la Fecha de Liquidación y Emisión de los Valores </w:t>
      </w:r>
      <w:r w:rsidR="008758B7" w:rsidRPr="00B43F7C">
        <w:rPr>
          <w:rFonts w:ascii="Times New Roman" w:hAnsi="Times New Roman" w:cs="Times New Roman"/>
          <w:iCs/>
          <w:color w:val="0D0D0D" w:themeColor="text1" w:themeTint="F2"/>
          <w:sz w:val="22"/>
          <w:szCs w:val="22"/>
          <w:lang w:val="es-AR"/>
        </w:rPr>
        <w:t xml:space="preserve">de Deuda </w:t>
      </w:r>
      <w:r w:rsidR="00B866EE"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w:t>
      </w:r>
    </w:p>
    <w:p w14:paraId="70944941"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03CB3F5F" w14:textId="7B408CFE"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Valores </w:t>
      </w:r>
      <w:r w:rsidR="008758B7" w:rsidRPr="00B43F7C">
        <w:rPr>
          <w:rFonts w:ascii="Times New Roman" w:hAnsi="Times New Roman" w:cs="Times New Roman"/>
          <w:iCs/>
          <w:color w:val="0D0D0D" w:themeColor="text1" w:themeTint="F2"/>
          <w:sz w:val="22"/>
          <w:szCs w:val="22"/>
          <w:lang w:val="es-AR"/>
        </w:rPr>
        <w:t xml:space="preserve">de Deuda </w:t>
      </w:r>
      <w:r w:rsidR="004D1480"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14:paraId="274AE3A0"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7F0B28DE" w14:textId="766DE880" w:rsidR="0050339C" w:rsidRPr="00506990" w:rsidRDefault="0050339C" w:rsidP="0050339C">
      <w:pPr>
        <w:widowControl w:val="0"/>
        <w:suppressAutoHyphens/>
        <w:rPr>
          <w:rFonts w:ascii="Times New Roman" w:eastAsia="Times New Roman" w:hAnsi="Times New Roman" w:cs="Times New Roman"/>
          <w:b/>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 xml:space="preserve">I.- </w:t>
      </w:r>
      <w:r w:rsidRPr="00506990">
        <w:rPr>
          <w:rFonts w:ascii="Times New Roman" w:eastAsia="Times New Roman" w:hAnsi="Times New Roman" w:cs="Times New Roman"/>
          <w:b/>
          <w:color w:val="0D0D0D" w:themeColor="text1" w:themeTint="F2"/>
          <w:sz w:val="22"/>
          <w:szCs w:val="22"/>
          <w:u w:val="single"/>
          <w:lang w:val="es-AR"/>
        </w:rPr>
        <w:t>Colocación de los V</w:t>
      </w:r>
      <w:r w:rsidR="004D1480" w:rsidRPr="00506990">
        <w:rPr>
          <w:rFonts w:ascii="Times New Roman" w:eastAsia="Times New Roman" w:hAnsi="Times New Roman" w:cs="Times New Roman"/>
          <w:b/>
          <w:color w:val="0D0D0D" w:themeColor="text1" w:themeTint="F2"/>
          <w:sz w:val="22"/>
          <w:szCs w:val="22"/>
          <w:u w:val="single"/>
          <w:lang w:val="es-AR"/>
        </w:rPr>
        <w:t xml:space="preserve">alores </w:t>
      </w:r>
      <w:r w:rsidR="008758B7" w:rsidRPr="00B43F7C">
        <w:rPr>
          <w:rFonts w:ascii="Times New Roman" w:hAnsi="Times New Roman" w:cs="Times New Roman"/>
          <w:b/>
          <w:iCs/>
          <w:color w:val="0D0D0D" w:themeColor="text1" w:themeTint="F2"/>
          <w:sz w:val="22"/>
          <w:szCs w:val="22"/>
          <w:u w:val="single"/>
          <w:lang w:val="es-AR"/>
        </w:rPr>
        <w:t xml:space="preserve">de Deuda </w:t>
      </w:r>
      <w:r w:rsidRPr="00506990">
        <w:rPr>
          <w:rFonts w:ascii="Times New Roman" w:eastAsia="Times New Roman" w:hAnsi="Times New Roman" w:cs="Times New Roman"/>
          <w:b/>
          <w:color w:val="0D0D0D" w:themeColor="text1" w:themeTint="F2"/>
          <w:sz w:val="22"/>
          <w:szCs w:val="22"/>
          <w:u w:val="single"/>
          <w:lang w:val="es-AR"/>
        </w:rPr>
        <w:t>F</w:t>
      </w:r>
      <w:r w:rsidR="004D1480" w:rsidRPr="00506990">
        <w:rPr>
          <w:rFonts w:ascii="Times New Roman" w:eastAsia="Times New Roman" w:hAnsi="Times New Roman" w:cs="Times New Roman"/>
          <w:b/>
          <w:color w:val="0D0D0D" w:themeColor="text1" w:themeTint="F2"/>
          <w:sz w:val="22"/>
          <w:szCs w:val="22"/>
          <w:u w:val="single"/>
          <w:lang w:val="es-AR"/>
        </w:rPr>
        <w:t>iduciari</w:t>
      </w:r>
      <w:r w:rsidR="008758B7" w:rsidRPr="00506990">
        <w:rPr>
          <w:rFonts w:ascii="Times New Roman" w:eastAsia="Times New Roman" w:hAnsi="Times New Roman" w:cs="Times New Roman"/>
          <w:b/>
          <w:color w:val="0D0D0D" w:themeColor="text1" w:themeTint="F2"/>
          <w:sz w:val="22"/>
          <w:szCs w:val="22"/>
          <w:u w:val="single"/>
          <w:lang w:val="es-AR"/>
        </w:rPr>
        <w:t>a</w:t>
      </w:r>
      <w:r w:rsidRPr="00506990">
        <w:rPr>
          <w:rFonts w:ascii="Times New Roman" w:eastAsia="Times New Roman" w:hAnsi="Times New Roman" w:cs="Times New Roman"/>
          <w:b/>
          <w:color w:val="0D0D0D" w:themeColor="text1" w:themeTint="F2"/>
          <w:sz w:val="22"/>
          <w:szCs w:val="22"/>
          <w:lang w:val="es-AR"/>
        </w:rPr>
        <w:t>:</w:t>
      </w:r>
    </w:p>
    <w:p w14:paraId="6A2BD23E"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2E2D8FA2" w14:textId="3F70EDCC"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1.1 Los Valores </w:t>
      </w:r>
      <w:r w:rsidR="008758B7"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serán colocados mediante el sistema denominado “Subasta Holandesa Modificada” al precio que surja de la oferta y demanda conforme el rango de TIR (Tasa Interna de Retorno) ofrecidos en las solicitudes de suscripción durante el Periodo de Licitación (la “Tasa de Corte” )</w:t>
      </w:r>
      <w:r w:rsidRPr="00506990">
        <w:rPr>
          <w:rFonts w:ascii="Times New Roman" w:eastAsia="Times New Roman" w:hAnsi="Times New Roman" w:cs="Times New Roman"/>
          <w:bCs/>
          <w:color w:val="0D0D0D" w:themeColor="text1" w:themeTint="F2"/>
          <w:sz w:val="22"/>
          <w:szCs w:val="22"/>
          <w:lang w:val="es-AR" w:eastAsia="es-AR"/>
        </w:rPr>
        <w:t>.</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r w:rsidRPr="00506990">
        <w:rPr>
          <w:rFonts w:ascii="Times New Roman" w:eastAsia="Times New Roman" w:hAnsi="Times New Roman" w:cs="Times New Roman"/>
          <w:bCs/>
          <w:color w:val="0D0D0D" w:themeColor="text1" w:themeTint="F2"/>
          <w:sz w:val="22"/>
          <w:szCs w:val="22"/>
          <w:lang w:val="es-AR" w:eastAsia="es-AR"/>
        </w:rPr>
        <w:t>Una vez finalizado el Período de Licitación, l</w:t>
      </w:r>
      <w:r w:rsidR="006E36BA" w:rsidRPr="00506990">
        <w:rPr>
          <w:rFonts w:ascii="Times New Roman" w:eastAsia="Times New Roman" w:hAnsi="Times New Roman" w:cs="Times New Roman"/>
          <w:bCs/>
          <w:color w:val="0D0D0D" w:themeColor="text1" w:themeTint="F2"/>
          <w:sz w:val="22"/>
          <w:szCs w:val="22"/>
          <w:lang w:val="es-AR" w:eastAsia="es-AR"/>
        </w:rPr>
        <w:t>os</w:t>
      </w:r>
      <w:r w:rsidRPr="00506990">
        <w:rPr>
          <w:rFonts w:ascii="Times New Roman" w:eastAsia="Times New Roman" w:hAnsi="Times New Roman" w:cs="Times New Roman"/>
          <w:bCs/>
          <w:color w:val="0D0D0D" w:themeColor="text1" w:themeTint="F2"/>
          <w:sz w:val="22"/>
          <w:szCs w:val="22"/>
          <w:lang w:val="es-AR" w:eastAsia="es-AR"/>
        </w:rPr>
        <w:t xml:space="preserve"> Fiduciante</w:t>
      </w:r>
      <w:r w:rsidR="006E36BA" w:rsidRPr="00506990">
        <w:rPr>
          <w:rFonts w:ascii="Times New Roman" w:eastAsia="Times New Roman" w:hAnsi="Times New Roman" w:cs="Times New Roman"/>
          <w:bCs/>
          <w:color w:val="0D0D0D" w:themeColor="text1" w:themeTint="F2"/>
          <w:sz w:val="22"/>
          <w:szCs w:val="22"/>
          <w:lang w:val="es-AR" w:eastAsia="es-AR"/>
        </w:rPr>
        <w:t>s</w:t>
      </w:r>
      <w:r w:rsidRPr="00506990">
        <w:rPr>
          <w:rFonts w:ascii="Times New Roman" w:eastAsia="Times New Roman" w:hAnsi="Times New Roman" w:cs="Times New Roman"/>
          <w:bCs/>
          <w:color w:val="0D0D0D" w:themeColor="text1" w:themeTint="F2"/>
          <w:sz w:val="22"/>
          <w:szCs w:val="22"/>
          <w:lang w:val="es-AR" w:eastAsia="es-AR"/>
        </w:rPr>
        <w:t xml:space="preserve"> podrá</w:t>
      </w:r>
      <w:r w:rsidR="006E36BA" w:rsidRPr="00506990">
        <w:rPr>
          <w:rFonts w:ascii="Times New Roman" w:eastAsia="Times New Roman" w:hAnsi="Times New Roman" w:cs="Times New Roman"/>
          <w:bCs/>
          <w:color w:val="0D0D0D" w:themeColor="text1" w:themeTint="F2"/>
          <w:sz w:val="22"/>
          <w:szCs w:val="22"/>
          <w:lang w:val="es-AR" w:eastAsia="es-AR"/>
        </w:rPr>
        <w:t>n</w:t>
      </w:r>
      <w:r w:rsidRPr="00506990">
        <w:rPr>
          <w:rFonts w:ascii="Times New Roman" w:eastAsia="Times New Roman" w:hAnsi="Times New Roman" w:cs="Times New Roman"/>
          <w:bCs/>
          <w:color w:val="0D0D0D" w:themeColor="text1" w:themeTint="F2"/>
          <w:sz w:val="22"/>
          <w:szCs w:val="22"/>
          <w:lang w:val="es-AR" w:eastAsia="es-AR"/>
        </w:rPr>
        <w:t xml:space="preserve"> ejercer su derecho de aceptar ofertas por los V</w:t>
      </w:r>
      <w:r w:rsidR="004A686B" w:rsidRPr="00506990">
        <w:rPr>
          <w:rFonts w:ascii="Times New Roman" w:eastAsia="Times New Roman" w:hAnsi="Times New Roman" w:cs="Times New Roman"/>
          <w:bCs/>
          <w:color w:val="0D0D0D" w:themeColor="text1" w:themeTint="F2"/>
          <w:sz w:val="22"/>
          <w:szCs w:val="22"/>
          <w:lang w:val="es-AR" w:eastAsia="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bCs/>
          <w:color w:val="0D0D0D" w:themeColor="text1" w:themeTint="F2"/>
          <w:sz w:val="22"/>
          <w:szCs w:val="22"/>
          <w:lang w:val="es-AR" w:eastAsia="es-AR"/>
        </w:rPr>
        <w:t>F</w:t>
      </w:r>
      <w:r w:rsidR="004A686B" w:rsidRPr="00506990">
        <w:rPr>
          <w:rFonts w:ascii="Times New Roman" w:eastAsia="Times New Roman" w:hAnsi="Times New Roman" w:cs="Times New Roman"/>
          <w:bCs/>
          <w:color w:val="0D0D0D" w:themeColor="text1" w:themeTint="F2"/>
          <w:sz w:val="22"/>
          <w:szCs w:val="22"/>
          <w:lang w:val="es-AR" w:eastAsia="es-AR"/>
        </w:rPr>
        <w:t>iduciari</w:t>
      </w:r>
      <w:r w:rsidR="00286ECE" w:rsidRPr="00506990">
        <w:rPr>
          <w:rFonts w:ascii="Times New Roman" w:eastAsia="Times New Roman" w:hAnsi="Times New Roman" w:cs="Times New Roman"/>
          <w:bCs/>
          <w:color w:val="0D0D0D" w:themeColor="text1" w:themeTint="F2"/>
          <w:sz w:val="22"/>
          <w:szCs w:val="22"/>
          <w:lang w:val="es-AR" w:eastAsia="es-AR"/>
        </w:rPr>
        <w:t>a</w:t>
      </w:r>
      <w:r w:rsidRPr="00506990">
        <w:rPr>
          <w:rFonts w:ascii="Times New Roman" w:eastAsia="Times New Roman" w:hAnsi="Times New Roman" w:cs="Times New Roman"/>
          <w:bCs/>
          <w:color w:val="0D0D0D" w:themeColor="text1" w:themeTint="F2"/>
          <w:sz w:val="22"/>
          <w:szCs w:val="22"/>
          <w:lang w:val="es-AR" w:eastAsia="es-AR"/>
        </w:rPr>
        <w:t xml:space="preserve"> de acuerdo al procedimiento establecido en 1.5.</w:t>
      </w:r>
      <w:r w:rsidR="0090347D" w:rsidRPr="00506990">
        <w:rPr>
          <w:rFonts w:ascii="Times New Roman" w:eastAsia="Times New Roman" w:hAnsi="Times New Roman" w:cs="Times New Roman"/>
          <w:bCs/>
          <w:color w:val="0D0D0D" w:themeColor="text1" w:themeTint="F2"/>
          <w:sz w:val="22"/>
          <w:szCs w:val="22"/>
          <w:lang w:val="es-AR" w:eastAsia="es-AR"/>
        </w:rPr>
        <w:t xml:space="preserve"> </w:t>
      </w:r>
    </w:p>
    <w:p w14:paraId="24EBFE0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0C7D845A" w14:textId="002B127D"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(“TIR”) solicitada para los VDF.</w:t>
      </w:r>
      <w:r w:rsidR="00F51C68" w:rsidRPr="00506990">
        <w:rPr>
          <w:rFonts w:ascii="Times New Roman" w:eastAsia="Times New Roman" w:hAnsi="Times New Roman" w:cs="Times New Roman"/>
          <w:color w:val="0D0D0D" w:themeColor="text1" w:themeTint="F2"/>
          <w:sz w:val="22"/>
          <w:szCs w:val="22"/>
          <w:lang w:val="es-AR"/>
        </w:rPr>
        <w:t xml:space="preserve"> </w:t>
      </w:r>
    </w:p>
    <w:p w14:paraId="464B2572"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4BE85B75" w14:textId="01C36FBB"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1.3. En ambos Tramos la adjudicación se realizará a un precio único (la “Tasa de Corte”), que será la mayor tasa aceptada para las ofertas registradas en el Tramo Competitivo conforme al procedimiento indicado en 1.4.</w:t>
      </w:r>
    </w:p>
    <w:p w14:paraId="2C097790"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01B15E7C" w14:textId="36DAB421" w:rsidR="004A686B"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1.4. A efectos de determinar la Tasa de Corte de los VDF</w:t>
      </w:r>
      <w:r w:rsidR="00F57D61" w:rsidRPr="00506990">
        <w:rPr>
          <w:rFonts w:ascii="Times New Roman" w:eastAsia="Times New Roman" w:hAnsi="Times New Roman" w:cs="Times New Roman"/>
          <w:color w:val="0D0D0D" w:themeColor="text1" w:themeTint="F2"/>
          <w:sz w:val="22"/>
          <w:szCs w:val="22"/>
          <w:lang w:val="es-AR"/>
        </w:rPr>
        <w:t xml:space="preserve"> de cada clase</w:t>
      </w:r>
      <w:r w:rsidRPr="00506990">
        <w:rPr>
          <w:rFonts w:ascii="Times New Roman" w:eastAsia="Times New Roman" w:hAnsi="Times New Roman" w:cs="Times New Roman"/>
          <w:color w:val="0D0D0D" w:themeColor="text1" w:themeTint="F2"/>
          <w:sz w:val="22"/>
          <w:szCs w:val="22"/>
          <w:lang w:val="es-AR"/>
        </w:rPr>
        <w:t xml:space="preserve">,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14:paraId="6B68D7E4"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302F3327" w14:textId="6ACA4EFC"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1.5. Los Valores de Deuda Fiduciaria se adjudicarán considerando las ofertas recibidas a una tasa inferior o igual a la tasa cupón </w:t>
      </w:r>
      <w:r w:rsidRPr="00506990">
        <w:rPr>
          <w:rFonts w:ascii="Times New Roman" w:hAnsi="Times New Roman" w:cs="Times New Roman"/>
          <w:iCs/>
          <w:color w:val="0D0D0D" w:themeColor="text1" w:themeTint="F2"/>
          <w:sz w:val="22"/>
          <w:szCs w:val="22"/>
        </w:rPr>
        <w:t xml:space="preserve">considerándose tal </w:t>
      </w:r>
      <w:r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Pr="00506990">
        <w:rPr>
          <w:rFonts w:ascii="Times New Roman" w:hAnsi="Times New Roman" w:cs="Times New Roman"/>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hAnsi="Times New Roman" w:cs="Times New Roman"/>
          <w:iCs/>
          <w:color w:val="0D0D0D" w:themeColor="text1" w:themeTint="F2"/>
          <w:sz w:val="22"/>
          <w:szCs w:val="22"/>
        </w:rPr>
        <w:t>“Tasa Cupón”),</w:t>
      </w:r>
      <w:r w:rsidRPr="00506990">
        <w:rPr>
          <w:rFonts w:ascii="Times New Roman" w:hAnsi="Times New Roman" w:cs="Times New Roman"/>
          <w:b/>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conforme al mecanismo detallado en el presente apartado. </w:t>
      </w:r>
      <w:r w:rsidR="006E36BA" w:rsidRPr="00506990">
        <w:rPr>
          <w:rFonts w:ascii="Times New Roman" w:eastAsia="Times New Roman" w:hAnsi="Times New Roman" w:cs="Times New Roman"/>
          <w:color w:val="0D0D0D" w:themeColor="text1" w:themeTint="F2"/>
          <w:sz w:val="22"/>
          <w:szCs w:val="22"/>
          <w:lang w:val="es-AR"/>
        </w:rPr>
        <w:t>Los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ejercer su derecho de aceptar ofertas por los Valores de Deuda Fiduciaria hasta un nivel de tasa ofrecida, estableciendo una Tasa de Corte que será igual o superior a la Tasa Cupón. En el caso de que, como consecuencia de lo mencionado precedentemente, queden Valores de Deuda Fiduciaria sin colocar, los mismos serán adjudicados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en pago por la cartera transferida al Fideicomiso a la Tasa de Corte. En el supuesto que no existieran ofertas para los Valores de Deuda Fiduciaria,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podrá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declarar desierta la colocación.</w:t>
      </w:r>
    </w:p>
    <w:p w14:paraId="53B8AB95" w14:textId="77777777" w:rsidR="004A686B" w:rsidRPr="00506990" w:rsidRDefault="004A686B" w:rsidP="0050339C">
      <w:pPr>
        <w:rPr>
          <w:rFonts w:ascii="Times New Roman" w:eastAsia="Times New Roman" w:hAnsi="Times New Roman" w:cs="Times New Roman"/>
          <w:color w:val="0D0D0D" w:themeColor="text1" w:themeTint="F2"/>
          <w:sz w:val="22"/>
          <w:szCs w:val="22"/>
          <w:lang w:val="es-AR"/>
        </w:rPr>
      </w:pPr>
    </w:p>
    <w:p w14:paraId="4DB9E318" w14:textId="5815F4D8"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1.6. Determinada la Tasa de Corte , los Valores </w:t>
      </w:r>
      <w:r w:rsidR="008758B7" w:rsidRPr="00506990">
        <w:rPr>
          <w:rFonts w:ascii="Times New Roman" w:eastAsia="Times New Roman" w:hAnsi="Times New Roman" w:cs="Times New Roman"/>
          <w:color w:val="0D0D0D" w:themeColor="text1" w:themeTint="F2"/>
          <w:sz w:val="22"/>
          <w:szCs w:val="22"/>
          <w:lang w:val="es-AR"/>
        </w:rPr>
        <w:t xml:space="preserve">de </w:t>
      </w:r>
      <w:r w:rsidR="008758B7" w:rsidRPr="00B43F7C">
        <w:rPr>
          <w:rFonts w:ascii="Times New Roman" w:hAnsi="Times New Roman" w:cs="Times New Roman"/>
          <w:iCs/>
          <w:color w:val="0D0D0D" w:themeColor="text1" w:themeTint="F2"/>
          <w:sz w:val="22"/>
          <w:szCs w:val="22"/>
          <w:lang w:val="es-AR"/>
        </w:rPr>
        <w:t xml:space="preserve">Deuda </w:t>
      </w:r>
      <w:r w:rsidRPr="00506990">
        <w:rPr>
          <w:rFonts w:ascii="Times New Roman" w:eastAsia="Times New Roman" w:hAnsi="Times New Roman" w:cs="Times New Roman"/>
          <w:color w:val="0D0D0D" w:themeColor="text1" w:themeTint="F2"/>
          <w:sz w:val="22"/>
          <w:szCs w:val="22"/>
          <w:lang w:val="es-AR"/>
        </w:rPr>
        <w:t>Fiduciari</w:t>
      </w:r>
      <w:r w:rsidR="008758B7"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y en orden creciente de tasa  y continuando hasta agotar los </w:t>
      </w:r>
      <w:r w:rsidR="00286ECE" w:rsidRPr="00506990">
        <w:rPr>
          <w:rFonts w:ascii="Times New Roman" w:eastAsia="Times New Roman" w:hAnsi="Times New Roman" w:cs="Times New Roman"/>
          <w:iCs/>
          <w:color w:val="0D0D0D" w:themeColor="text1" w:themeTint="F2"/>
          <w:sz w:val="22"/>
          <w:szCs w:val="22"/>
          <w:lang w:val="es-AR"/>
        </w:rPr>
        <w:t>v</w:t>
      </w:r>
      <w:r w:rsidRPr="00506990">
        <w:rPr>
          <w:rFonts w:ascii="Times New Roman" w:eastAsia="Times New Roman" w:hAnsi="Times New Roman" w:cs="Times New Roman"/>
          <w:iCs/>
          <w:color w:val="0D0D0D" w:themeColor="text1" w:themeTint="F2"/>
          <w:sz w:val="22"/>
          <w:szCs w:val="22"/>
          <w:lang w:val="es-AR"/>
        </w:rPr>
        <w:t xml:space="preserve">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00806657"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14:paraId="6F49E090" w14:textId="77777777" w:rsidR="0050339C" w:rsidRPr="00506990" w:rsidRDefault="0050339C" w:rsidP="0050339C">
      <w:pPr>
        <w:widowControl w:val="0"/>
        <w:suppressAutoHyphens/>
        <w:rPr>
          <w:rFonts w:ascii="Times New Roman" w:eastAsia="Times New Roman" w:hAnsi="Times New Roman" w:cs="Times New Roman"/>
          <w:iCs/>
          <w:color w:val="0D0D0D" w:themeColor="text1" w:themeTint="F2"/>
          <w:sz w:val="22"/>
          <w:szCs w:val="22"/>
          <w:lang w:val="es-AR"/>
        </w:rPr>
      </w:pPr>
    </w:p>
    <w:p w14:paraId="0038F425" w14:textId="0C7CEA1B"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14:paraId="3133CDED" w14:textId="77777777" w:rsidR="0098209D" w:rsidRPr="00506990" w:rsidRDefault="0098209D" w:rsidP="00557525">
      <w:pPr>
        <w:rPr>
          <w:rFonts w:ascii="Times New Roman" w:eastAsia="Times New Roman" w:hAnsi="Times New Roman" w:cs="Times New Roman"/>
          <w:color w:val="0D0D0D" w:themeColor="text1" w:themeTint="F2"/>
          <w:sz w:val="22"/>
          <w:szCs w:val="22"/>
          <w:lang w:val="es-AR"/>
        </w:rPr>
      </w:pPr>
    </w:p>
    <w:p w14:paraId="1F4528D5" w14:textId="5BBED09F" w:rsidR="0098209D" w:rsidRPr="00506990" w:rsidRDefault="0098209D" w:rsidP="00557525">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14:paraId="3B3C3BC3" w14:textId="77777777" w:rsidR="0098209D" w:rsidRPr="00506990" w:rsidRDefault="0098209D" w:rsidP="0098209D">
      <w:pPr>
        <w:widowControl w:val="0"/>
        <w:suppressAutoHyphens/>
        <w:rPr>
          <w:rFonts w:ascii="Times New Roman" w:eastAsia="Times New Roman" w:hAnsi="Times New Roman" w:cs="Times New Roman"/>
          <w:color w:val="0D0D0D" w:themeColor="text1" w:themeTint="F2"/>
          <w:sz w:val="22"/>
          <w:szCs w:val="22"/>
          <w:lang w:val="es-AR"/>
        </w:rPr>
      </w:pPr>
    </w:p>
    <w:p w14:paraId="23FADE6C"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6A33AACD" w14:textId="77777777" w:rsidR="0050339C" w:rsidRPr="00506990" w:rsidRDefault="0050339C" w:rsidP="0050339C">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14:paraId="5B2C7355" w14:textId="77777777" w:rsidR="0050339C" w:rsidRPr="00506990" w:rsidRDefault="0050339C" w:rsidP="0050339C">
      <w:pPr>
        <w:rPr>
          <w:rFonts w:ascii="Times New Roman" w:eastAsia="Times New Roman" w:hAnsi="Times New Roman" w:cs="Times New Roman"/>
          <w:color w:val="0D0D0D" w:themeColor="text1" w:themeTint="F2"/>
          <w:sz w:val="22"/>
          <w:szCs w:val="22"/>
          <w:u w:val="single"/>
          <w:lang w:val="es-AR"/>
        </w:rPr>
      </w:pPr>
    </w:p>
    <w:p w14:paraId="53515D31" w14:textId="23E522BC"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2.1. El Período de Difusión se extenderá, por lo menos, tres (3) Días Hábiles bursátiles.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Periodo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14:paraId="73710E6B"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5343151B" w14:textId="01DB54E7"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286ECE" w:rsidRPr="00506990">
        <w:rPr>
          <w:rFonts w:ascii="Times New Roman" w:eastAsia="Times New Roman" w:hAnsi="Times New Roman" w:cs="Times New Roman"/>
          <w:color w:val="0D0D0D" w:themeColor="text1" w:themeTint="F2"/>
          <w:sz w:val="22"/>
          <w:szCs w:val="22"/>
          <w:lang w:val="es-AR"/>
        </w:rPr>
        <w:t>de</w:t>
      </w:r>
      <w:r w:rsidRPr="00506990">
        <w:rPr>
          <w:rFonts w:ascii="Times New Roman" w:eastAsia="Times New Roman" w:hAnsi="Times New Roman" w:cs="Times New Roman"/>
          <w:color w:val="0D0D0D" w:themeColor="text1" w:themeTint="F2"/>
          <w:sz w:val="22"/>
          <w:szCs w:val="22"/>
          <w:lang w:val="es-AR"/>
        </w:rPr>
        <w:t xml:space="preserve"> los VDF y las cantidades asignadas, quedando perfeccionado el contrato de suscripción conforme con dichos parámetros, debiéndose pagar el precio dentro de los 2 Días Hábiles siguientes. </w:t>
      </w:r>
      <w:r w:rsidR="00280683" w:rsidRPr="00506990">
        <w:rPr>
          <w:rFonts w:ascii="Times New Roman" w:eastAsia="Times New Roman" w:hAnsi="Times New Roman" w:cs="Times New Roman"/>
          <w:color w:val="0D0D0D" w:themeColor="text1" w:themeTint="F2"/>
          <w:sz w:val="22"/>
          <w:szCs w:val="22"/>
          <w:lang w:val="es-AR"/>
        </w:rPr>
        <w:t xml:space="preserve">En aquellos supuestos en los que se licite un valor fiduciario sin que se estipule previamente una tasa respectiva a los efectos del proceso de subasta, ante el rechazo y/o no aceptación de las ofertas recibidas durante el Período de </w:t>
      </w:r>
      <w:r w:rsidR="00DF4F71" w:rsidRPr="00506990">
        <w:rPr>
          <w:rFonts w:ascii="Times New Roman" w:eastAsia="Times New Roman" w:hAnsi="Times New Roman" w:cs="Times New Roman"/>
          <w:color w:val="0D0D0D" w:themeColor="text1" w:themeTint="F2"/>
          <w:sz w:val="22"/>
          <w:szCs w:val="22"/>
          <w:lang w:val="es-AR"/>
        </w:rPr>
        <w:t>Licitación</w:t>
      </w:r>
      <w:r w:rsidR="00280683" w:rsidRPr="00506990">
        <w:rPr>
          <w:rFonts w:ascii="Times New Roman" w:eastAsia="Times New Roman" w:hAnsi="Times New Roman" w:cs="Times New Roman"/>
          <w:color w:val="0D0D0D" w:themeColor="text1" w:themeTint="F2"/>
          <w:sz w:val="22"/>
          <w:szCs w:val="22"/>
          <w:lang w:val="es-AR"/>
        </w:rPr>
        <w:t>,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4F8D9EEC"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0716B614" w14:textId="68B8F570" w:rsidR="0050339C" w:rsidRPr="00506990" w:rsidRDefault="0050339C" w:rsidP="0050339C">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2.3. Si como resultado de cualquier prorrateo el valor nominal a adjudicar a un oferente contuviera decimales por debajo de los V$N 0,50 los mismos serán suprimidos a efectos de redondear el valor nominal de los </w:t>
      </w:r>
      <w:r w:rsidR="00286ECE" w:rsidRPr="00506990">
        <w:rPr>
          <w:rFonts w:ascii="Times New Roman" w:eastAsia="Times New Roman" w:hAnsi="Times New Roman" w:cs="Times New Roman"/>
          <w:color w:val="0D0D0D" w:themeColor="text1" w:themeTint="F2"/>
          <w:sz w:val="22"/>
          <w:szCs w:val="22"/>
          <w:lang w:val="es-AR"/>
        </w:rPr>
        <w:t>v</w:t>
      </w:r>
      <w:r w:rsidRPr="00506990">
        <w:rPr>
          <w:rFonts w:ascii="Times New Roman" w:eastAsia="Times New Roman" w:hAnsi="Times New Roman" w:cs="Times New Roman"/>
          <w:color w:val="0D0D0D" w:themeColor="text1" w:themeTint="F2"/>
          <w:sz w:val="22"/>
          <w:szCs w:val="22"/>
          <w:lang w:val="es-AR"/>
        </w:rPr>
        <w:t xml:space="preserve">alores a adjudicar. Contrariamente, si contuviera decimales iguales o por encima de V$N 0,50, los mismos serán ponderados hacia arriba, otorgando a dichos decimales V$N 1 de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a adjudicar.  </w:t>
      </w:r>
    </w:p>
    <w:p w14:paraId="0D53D7CA"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648A0E89" w14:textId="1BC55477"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w:t>
      </w:r>
      <w:r w:rsidR="00857599" w:rsidRPr="00506990">
        <w:rPr>
          <w:rFonts w:ascii="Times New Roman" w:eastAsia="Times New Roman" w:hAnsi="Times New Roman" w:cs="Times New Roman"/>
          <w:color w:val="0D0D0D" w:themeColor="text1" w:themeTint="F2"/>
          <w:sz w:val="22"/>
          <w:szCs w:val="22"/>
          <w:lang w:val="es-AR"/>
        </w:rPr>
        <w:t xml:space="preserve">, </w:t>
      </w:r>
      <w:r w:rsidR="0033127E">
        <w:rPr>
          <w:rFonts w:ascii="Times New Roman" w:eastAsia="Times New Roman" w:hAnsi="Times New Roman" w:cs="Times New Roman"/>
          <w:color w:val="0D0D0D" w:themeColor="text1" w:themeTint="F2"/>
          <w:sz w:val="22"/>
          <w:szCs w:val="22"/>
          <w:lang w:val="es-AR"/>
        </w:rPr>
        <w:t xml:space="preserve">28/18 y </w:t>
      </w:r>
      <w:r w:rsidR="0076132E" w:rsidRPr="00506990">
        <w:rPr>
          <w:rFonts w:ascii="Times New Roman" w:eastAsia="Times New Roman" w:hAnsi="Times New Roman" w:cs="Times New Roman"/>
          <w:color w:val="0D0D0D" w:themeColor="text1" w:themeTint="F2"/>
          <w:sz w:val="22"/>
          <w:szCs w:val="22"/>
          <w:lang w:val="es-AR"/>
        </w:rPr>
        <w:t>156/18</w:t>
      </w:r>
      <w:r w:rsidRPr="00506990">
        <w:rPr>
          <w:rFonts w:ascii="Times New Roman" w:eastAsia="Times New Roman" w:hAnsi="Times New Roman" w:cs="Times New Roman"/>
          <w:color w:val="0D0D0D" w:themeColor="text1" w:themeTint="F2"/>
          <w:sz w:val="22"/>
          <w:szCs w:val="22"/>
          <w:lang w:val="es-AR"/>
        </w:rPr>
        <w:t xml:space="preserve"> de la UIF y sus modificaciones).</w:t>
      </w:r>
    </w:p>
    <w:p w14:paraId="1F5C99C7"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3E84325F" w14:textId="203A7065"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2.5. En cumplimiento</w:t>
      </w:r>
      <w:r w:rsidR="00215FC4" w:rsidRPr="00506990">
        <w:rPr>
          <w:rFonts w:ascii="Times New Roman" w:eastAsia="Times New Roman" w:hAnsi="Times New Roman" w:cs="Times New Roman"/>
          <w:color w:val="0D0D0D" w:themeColor="text1" w:themeTint="F2"/>
          <w:sz w:val="22"/>
          <w:szCs w:val="22"/>
          <w:lang w:val="es-AR"/>
        </w:rPr>
        <w:t xml:space="preserve"> de lo dispuesto </w:t>
      </w:r>
      <w:r w:rsidR="00330758" w:rsidRPr="00506990">
        <w:rPr>
          <w:rFonts w:ascii="Times New Roman" w:eastAsia="Times New Roman" w:hAnsi="Times New Roman" w:cs="Times New Roman"/>
          <w:color w:val="0D0D0D" w:themeColor="text1" w:themeTint="F2"/>
          <w:sz w:val="22"/>
          <w:szCs w:val="22"/>
          <w:lang w:val="es-AR"/>
        </w:rPr>
        <w:t>en</w:t>
      </w:r>
      <w:r w:rsidR="00215FC4" w:rsidRPr="00506990">
        <w:rPr>
          <w:rFonts w:ascii="Times New Roman" w:eastAsia="Times New Roman" w:hAnsi="Times New Roman" w:cs="Times New Roman"/>
          <w:color w:val="0D0D0D" w:themeColor="text1" w:themeTint="F2"/>
          <w:sz w:val="22"/>
          <w:szCs w:val="22"/>
          <w:lang w:val="es-AR"/>
        </w:rPr>
        <w:t xml:space="preserve"> la Resolución Nº </w:t>
      </w:r>
      <w:r w:rsidR="00AE3003"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w:t>
      </w:r>
      <w:r w:rsidR="00D93206" w:rsidRPr="00506990">
        <w:rPr>
          <w:rFonts w:ascii="Times New Roman" w:eastAsia="Times New Roman" w:hAnsi="Times New Roman" w:cs="Times New Roman"/>
          <w:color w:val="0D0D0D" w:themeColor="text1" w:themeTint="F2"/>
          <w:sz w:val="22"/>
          <w:szCs w:val="22"/>
          <w:lang w:val="es-AR"/>
        </w:rPr>
        <w:t>156</w:t>
      </w:r>
      <w:r w:rsidR="00215FC4" w:rsidRPr="00506990">
        <w:rPr>
          <w:rFonts w:ascii="Times New Roman" w:eastAsia="Times New Roman" w:hAnsi="Times New Roman" w:cs="Times New Roman"/>
          <w:color w:val="0D0D0D" w:themeColor="text1" w:themeTint="F2"/>
          <w:sz w:val="22"/>
          <w:szCs w:val="22"/>
          <w:lang w:val="es-AR"/>
        </w:rPr>
        <w:t xml:space="preserve">/2018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14:paraId="708D407F" w14:textId="77777777" w:rsidR="0050339C" w:rsidRPr="00506990" w:rsidRDefault="0050339C" w:rsidP="0050339C">
      <w:pPr>
        <w:rPr>
          <w:rFonts w:ascii="Times New Roman" w:eastAsia="Times New Roman" w:hAnsi="Times New Roman" w:cs="Times New Roman"/>
          <w:color w:val="0D0D0D" w:themeColor="text1" w:themeTint="F2"/>
          <w:sz w:val="22"/>
          <w:szCs w:val="22"/>
          <w:lang w:val="es-AR"/>
        </w:rPr>
      </w:pPr>
    </w:p>
    <w:p w14:paraId="75F04E1B" w14:textId="70AEB4BE" w:rsidR="0050339C" w:rsidRPr="00506990" w:rsidRDefault="0050339C" w:rsidP="0050339C">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Valores</w:t>
      </w:r>
      <w:r w:rsidR="00286ECE" w:rsidRPr="00B43F7C">
        <w:rPr>
          <w:rFonts w:ascii="Times New Roman" w:hAnsi="Times New Roman" w:cs="Times New Roman"/>
          <w:iCs/>
          <w:color w:val="0D0D0D" w:themeColor="text1" w:themeTint="F2"/>
          <w:sz w:val="22"/>
          <w:szCs w:val="22"/>
          <w:lang w:val="es-AR"/>
        </w:rPr>
        <w:t xml:space="preserve"> de Deuda</w:t>
      </w:r>
      <w:r w:rsidRPr="00506990">
        <w:rPr>
          <w:rFonts w:ascii="Times New Roman" w:eastAsia="Times New Roman" w:hAnsi="Times New Roman" w:cs="Times New Roman"/>
          <w:color w:val="0D0D0D" w:themeColor="text1" w:themeTint="F2"/>
          <w:sz w:val="22"/>
          <w:szCs w:val="22"/>
          <w:lang w:val="es-AR"/>
        </w:rPr>
        <w:t xml:space="preserve"> 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podrán ser listados en el Mercado Argentino de Valores (“MAV”) y negociarse en el Mercado Abierto Electrónico  S.A. (“MAE”) como así también en otros mercados autorizados.</w:t>
      </w:r>
    </w:p>
    <w:p w14:paraId="1EF15952"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2BFC6DD7" w14:textId="5E23AEBC"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2.7. Los Colocadores percibirán una comisión de hasta el 0,50 % sobre el monto total de V</w:t>
      </w:r>
      <w:r w:rsidR="004A686B" w:rsidRPr="00506990">
        <w:rPr>
          <w:rFonts w:ascii="Times New Roman" w:eastAsia="Times New Roman" w:hAnsi="Times New Roman" w:cs="Times New Roman"/>
          <w:color w:val="0D0D0D" w:themeColor="text1" w:themeTint="F2"/>
          <w:sz w:val="22"/>
          <w:szCs w:val="22"/>
          <w:lang w:val="es-AR"/>
        </w:rPr>
        <w:t xml:space="preserve">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w:t>
      </w:r>
      <w:r w:rsidR="004A686B" w:rsidRPr="00506990">
        <w:rPr>
          <w:rFonts w:ascii="Times New Roman" w:eastAsia="Times New Roman" w:hAnsi="Times New Roman" w:cs="Times New Roman"/>
          <w:color w:val="0D0D0D" w:themeColor="text1" w:themeTint="F2"/>
          <w:sz w:val="22"/>
          <w:szCs w:val="22"/>
          <w:lang w:val="es-AR"/>
        </w:rPr>
        <w:t>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colocados</w:t>
      </w:r>
      <w:r w:rsidR="00857599" w:rsidRPr="00506990">
        <w:rPr>
          <w:rFonts w:ascii="Times New Roman" w:eastAsia="Times New Roman" w:hAnsi="Times New Roman" w:cs="Times New Roman"/>
          <w:color w:val="0D0D0D" w:themeColor="text1" w:themeTint="F2"/>
          <w:sz w:val="22"/>
          <w:szCs w:val="22"/>
          <w:lang w:val="es-AR"/>
        </w:rPr>
        <w:t xml:space="preserve"> por cada uno de </w:t>
      </w:r>
      <w:r w:rsidR="00275EAF" w:rsidRPr="00506990">
        <w:rPr>
          <w:rFonts w:ascii="Times New Roman" w:eastAsia="Times New Roman" w:hAnsi="Times New Roman" w:cs="Times New Roman"/>
          <w:color w:val="0D0D0D" w:themeColor="text1" w:themeTint="F2"/>
          <w:sz w:val="22"/>
          <w:szCs w:val="22"/>
          <w:lang w:val="es-AR"/>
        </w:rPr>
        <w:t>ellos</w:t>
      </w:r>
      <w:r w:rsidRPr="00506990">
        <w:rPr>
          <w:rFonts w:ascii="Times New Roman" w:eastAsia="Times New Roman" w:hAnsi="Times New Roman" w:cs="Times New Roman"/>
          <w:color w:val="0D0D0D" w:themeColor="text1" w:themeTint="F2"/>
          <w:sz w:val="22"/>
          <w:szCs w:val="22"/>
          <w:lang w:val="es-AR"/>
        </w:rPr>
        <w:t xml:space="preserve">. </w:t>
      </w:r>
    </w:p>
    <w:p w14:paraId="0E0E9CC9"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61A19007"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p>
    <w:p w14:paraId="2DD98B3C" w14:textId="77777777" w:rsidR="000C5F90" w:rsidRPr="00506990" w:rsidRDefault="000C5F90" w:rsidP="000C5F90">
      <w:pPr>
        <w:suppressAutoHyphens/>
        <w:spacing w:line="240" w:lineRule="atLeast"/>
        <w:ind w:right="51"/>
        <w:rPr>
          <w:rFonts w:ascii="Times New Roman" w:hAnsi="Times New Roman" w:cs="Times New Roman"/>
          <w:b/>
          <w:bCs/>
          <w:iCs/>
          <w:color w:val="0D0D0D" w:themeColor="text1" w:themeTint="F2"/>
          <w:sz w:val="22"/>
          <w:szCs w:val="22"/>
          <w:lang w:val="es-AR"/>
        </w:rPr>
      </w:pPr>
    </w:p>
    <w:p w14:paraId="2FF41973" w14:textId="4ABBBA95" w:rsidR="00577C2C" w:rsidRPr="00506990" w:rsidRDefault="000C5F90" w:rsidP="00B228F5">
      <w:pPr>
        <w:pStyle w:val="Ttulo1"/>
        <w:jc w:val="center"/>
        <w:rPr>
          <w:rFonts w:ascii="Times New Roman" w:hAnsi="Times New Roman"/>
          <w:sz w:val="22"/>
          <w:szCs w:val="22"/>
        </w:rPr>
      </w:pPr>
      <w:bookmarkStart w:id="115" w:name="_Toc521424877"/>
      <w:bookmarkStart w:id="116" w:name="_Toc20409095"/>
      <w:r w:rsidRPr="00506990">
        <w:rPr>
          <w:rFonts w:ascii="Times New Roman" w:hAnsi="Times New Roman"/>
          <w:sz w:val="22"/>
          <w:szCs w:val="22"/>
        </w:rPr>
        <w:t>X</w:t>
      </w:r>
      <w:r w:rsidR="0050339C" w:rsidRPr="00506990">
        <w:rPr>
          <w:rFonts w:ascii="Times New Roman" w:hAnsi="Times New Roman"/>
          <w:sz w:val="22"/>
          <w:szCs w:val="22"/>
        </w:rPr>
        <w:t>V</w:t>
      </w:r>
      <w:r w:rsidR="00366277" w:rsidRPr="00506990">
        <w:rPr>
          <w:rFonts w:ascii="Times New Roman" w:hAnsi="Times New Roman"/>
          <w:sz w:val="22"/>
          <w:szCs w:val="22"/>
        </w:rPr>
        <w:t>I</w:t>
      </w:r>
      <w:r w:rsidR="00577C2C" w:rsidRPr="00506990">
        <w:rPr>
          <w:rFonts w:ascii="Times New Roman" w:hAnsi="Times New Roman"/>
          <w:sz w:val="22"/>
          <w:szCs w:val="22"/>
        </w:rPr>
        <w:t xml:space="preserve">.- </w:t>
      </w:r>
      <w:r w:rsidR="00A7122D" w:rsidRPr="00506990">
        <w:rPr>
          <w:rFonts w:ascii="Times New Roman" w:hAnsi="Times New Roman"/>
          <w:sz w:val="22"/>
          <w:szCs w:val="22"/>
        </w:rPr>
        <w:t xml:space="preserve">DESCRIPCIÓN DEL </w:t>
      </w:r>
      <w:r w:rsidR="00577C2C" w:rsidRPr="00506990">
        <w:rPr>
          <w:rFonts w:ascii="Times New Roman" w:hAnsi="Times New Roman"/>
          <w:sz w:val="22"/>
          <w:szCs w:val="22"/>
        </w:rPr>
        <w:t>TRATAMIENTO IMPOSITIVO</w:t>
      </w:r>
      <w:bookmarkEnd w:id="115"/>
      <w:bookmarkEnd w:id="116"/>
    </w:p>
    <w:p w14:paraId="50510F85" w14:textId="77777777" w:rsidR="00641C0E" w:rsidRPr="00506990" w:rsidRDefault="00641C0E" w:rsidP="00375AFE">
      <w:pPr>
        <w:jc w:val="center"/>
        <w:rPr>
          <w:rFonts w:ascii="Times New Roman" w:hAnsi="Times New Roman" w:cs="Times New Roman"/>
          <w:b/>
          <w:iCs/>
          <w:color w:val="0D0D0D" w:themeColor="text1" w:themeTint="F2"/>
          <w:sz w:val="22"/>
          <w:szCs w:val="22"/>
          <w:u w:val="single"/>
          <w:lang w:val="es-AR"/>
        </w:rPr>
      </w:pPr>
    </w:p>
    <w:p w14:paraId="32FDE200"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esta sección se efectúa un resumen de las consecuencias fiscales que en general resultan aplicables a la adquisición, tenencia, y disposición de los Valores Fiduciarios por el Inversor. El mismo se basa en una razonable aplicación de la legislación vigente a la fecha del presente Suplemento de Prospecto, sujeta a diferentes interpretaciones y a cambios futuros. Los inversores deben consultar a sus asesores respecto del tratamiento fiscal en el orden nacional, provincial o local, que en particular deberán otorgar a las compras, propiedad y disposición de los Valores Fiduciarios.</w:t>
      </w:r>
    </w:p>
    <w:p w14:paraId="50D3F5B6"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p>
    <w:p w14:paraId="6E862D8B"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La siguiente descripción es un resumen de ciertas consideraciones impositivas de la Argentina vinculadas a una inversión en los Valores Fiduciarios en el presente Fideicomiso Financiero. La descripción sólo tiene propósitos de información general y está fundada en las leyes y regulaciones impositivas locales en vigencia a la fecha de este Suplemento de Prospecto. Asimismo, la descripción no hace referencia a todas las consecuencias impositivas posibles relacionadas a una inversión en los Valores Fiduciarios. </w:t>
      </w:r>
    </w:p>
    <w:p w14:paraId="2C8E12F3" w14:textId="77777777" w:rsidR="00015892" w:rsidRPr="00506990" w:rsidRDefault="00015892" w:rsidP="00015892">
      <w:pPr>
        <w:rPr>
          <w:rFonts w:ascii="Times New Roman" w:eastAsia="Times New Roman" w:hAnsi="Times New Roman" w:cs="Times New Roman"/>
          <w:sz w:val="22"/>
          <w:szCs w:val="22"/>
        </w:rPr>
      </w:pPr>
    </w:p>
    <w:p w14:paraId="6179CC04"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Si bien este resumen se considera una interpretación correcta de la legislación vigente a la fecha de este Suplemento de Prospecto, no puede asegurarse que los tribunales o las autoridades fiscales responsables de la aplicación de dichas leyes concuerden con esta interpretación. Las leyes tributarias argentinas han sufrido numerosas reformas en el pasado, y podrán ser objeto de reformulaciones, derogación de exenciones, restablecimiento de impuestos, y otras clases de modificaciones que podrían disminuir o eliminar el rendimiento de las inversiones. </w:t>
      </w:r>
    </w:p>
    <w:p w14:paraId="1894AA32" w14:textId="77777777" w:rsidR="00015892" w:rsidRPr="00506990" w:rsidRDefault="00015892" w:rsidP="00015892">
      <w:pPr>
        <w:rPr>
          <w:rFonts w:ascii="Times New Roman" w:eastAsia="Times New Roman" w:hAnsi="Times New Roman" w:cs="Times New Roman"/>
          <w:sz w:val="22"/>
          <w:szCs w:val="22"/>
        </w:rPr>
      </w:pPr>
    </w:p>
    <w:p w14:paraId="54F6EC82" w14:textId="77777777" w:rsidR="00015892" w:rsidRPr="00506990" w:rsidRDefault="00015892" w:rsidP="00015892">
      <w:pPr>
        <w:rPr>
          <w:rFonts w:ascii="Times New Roman" w:eastAsia="Times New Roman" w:hAnsi="Times New Roman" w:cs="Times New Roman"/>
          <w:b/>
          <w:bCs/>
          <w:sz w:val="22"/>
          <w:szCs w:val="22"/>
        </w:rPr>
      </w:pPr>
    </w:p>
    <w:p w14:paraId="1FDC18DC"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b/>
          <w:bCs/>
          <w:sz w:val="22"/>
          <w:szCs w:val="22"/>
        </w:rPr>
        <w:t>LOS COMPRADORES POTENCIALES DE LOS VALORES FIDUCIARIOS DEBEN CONSULTAR A SUS ASESORES IMPOSITIVOS EN LO QUE RESPECTA A LAS CONSECUENCIAS IMPOSITIVAS APLICABLES DE ACUERDO CON SUS SITUACIONES PARTICULARES, DERIVADAS DE LA ADQUISICIÓN, TENENCIA Y DISPOSICIÓN DE LOS VALORES FIDUCIARIOS.</w:t>
      </w:r>
    </w:p>
    <w:p w14:paraId="59B27D66" w14:textId="77777777" w:rsidR="00015892" w:rsidRPr="00506990" w:rsidRDefault="00015892" w:rsidP="00015892">
      <w:pPr>
        <w:rPr>
          <w:rFonts w:ascii="Times New Roman" w:eastAsia="Times New Roman" w:hAnsi="Times New Roman" w:cs="Times New Roman"/>
          <w:sz w:val="22"/>
          <w:szCs w:val="22"/>
          <w:lang w:val="es-AR"/>
        </w:rPr>
      </w:pPr>
    </w:p>
    <w:p w14:paraId="2F8184DA" w14:textId="77777777" w:rsidR="00015892" w:rsidRPr="00506990" w:rsidRDefault="00015892" w:rsidP="00015892">
      <w:pPr>
        <w:spacing w:line="360" w:lineRule="auto"/>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I. Impuestos que gravan los Fideicomisos</w:t>
      </w:r>
    </w:p>
    <w:p w14:paraId="16D26E06" w14:textId="77777777" w:rsidR="00015892" w:rsidRPr="00506990" w:rsidRDefault="00015892" w:rsidP="00015892">
      <w:pPr>
        <w:spacing w:line="360" w:lineRule="auto"/>
        <w:rPr>
          <w:rFonts w:ascii="Times New Roman" w:hAnsi="Times New Roman" w:cs="Times New Roman"/>
          <w:b/>
          <w:bCs/>
          <w:sz w:val="22"/>
          <w:szCs w:val="22"/>
          <w:lang w:eastAsia="en-US"/>
        </w:rPr>
      </w:pPr>
      <w:r w:rsidRPr="00506990">
        <w:rPr>
          <w:rFonts w:ascii="Times New Roman" w:hAnsi="Times New Roman" w:cs="Times New Roman"/>
          <w:b/>
          <w:bCs/>
          <w:sz w:val="22"/>
          <w:szCs w:val="22"/>
          <w:lang w:eastAsia="en-US"/>
        </w:rPr>
        <w:t>I.1. Impuesto a las Ganancias</w:t>
      </w:r>
    </w:p>
    <w:p w14:paraId="14EDE625"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Los fideicomisos financieros son sujetos tributarios como sociedades de capital, motivo por el cual sus rendimientos pertenecen a la tercera categoría, denominados generalmente como “rentas de empresas”.</w:t>
      </w:r>
    </w:p>
    <w:p w14:paraId="05A2D71C" w14:textId="77777777" w:rsidR="005219FA" w:rsidRPr="00506990" w:rsidRDefault="005219FA" w:rsidP="00D419D5">
      <w:pPr>
        <w:rPr>
          <w:rFonts w:ascii="Times New Roman" w:eastAsia="Times New Roman" w:hAnsi="Times New Roman" w:cs="Times New Roman"/>
          <w:sz w:val="22"/>
          <w:szCs w:val="22"/>
        </w:rPr>
      </w:pPr>
    </w:p>
    <w:p w14:paraId="53231374" w14:textId="7C461A31"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Siendo ello así, las ganancias de los fideicomisos financieros en general se considerarán alcanzados a la alícuota del 30% para los periodos fiscales iniciados a partir del 01/01/2018 y hasta el 31/12/</w:t>
      </w:r>
      <w:r w:rsidR="006B4159" w:rsidRPr="008E789E">
        <w:rPr>
          <w:rFonts w:ascii="Times New Roman" w:eastAsia="Times New Roman" w:hAnsi="Times New Roman" w:cs="Times New Roman"/>
          <w:sz w:val="22"/>
          <w:szCs w:val="22"/>
        </w:rPr>
        <w:t>2020 (antes hasta el 31/12/2019), sin embargo, conforme la reciente publicación de la Ley de Solidaridad Social y Reactivación Productiva N° 27.541 (B.O. 23/12/2019) se suspendió la entrada en vigencia de lo dispuesto por la reforma introducida por la Ley 27.430;</w:t>
      </w:r>
      <w:r w:rsidRPr="00506990">
        <w:rPr>
          <w:rFonts w:ascii="Times New Roman" w:eastAsia="Times New Roman" w:hAnsi="Times New Roman" w:cs="Times New Roman"/>
          <w:sz w:val="22"/>
          <w:szCs w:val="22"/>
        </w:rPr>
        <w:t xml:space="preserve"> y del 25% a partir de los ejercicios fiscales subsiguientes</w:t>
      </w:r>
      <w:r w:rsidRPr="00506990">
        <w:rPr>
          <w:rStyle w:val="Refdenotaalpie"/>
          <w:rFonts w:ascii="Times New Roman" w:hAnsi="Times New Roman"/>
          <w:sz w:val="18"/>
        </w:rPr>
        <w:footnoteReference w:id="2"/>
      </w:r>
      <w:r w:rsidRPr="0098446E">
        <w:rPr>
          <w:rStyle w:val="Refdenotaalpie"/>
          <w:rFonts w:ascii="Times New Roman" w:hAnsi="Times New Roman"/>
          <w:sz w:val="18"/>
        </w:rPr>
        <w:t xml:space="preserve"> </w:t>
      </w:r>
      <w:r w:rsidRPr="00506990">
        <w:rPr>
          <w:rFonts w:ascii="Times New Roman" w:eastAsia="Times New Roman" w:hAnsi="Times New Roman" w:cs="Times New Roman"/>
          <w:sz w:val="22"/>
          <w:szCs w:val="22"/>
        </w:rPr>
        <w:t>en el año calendario en el cual se han devengado conforme a las normas generales definidas para los denominados “sujetos empresa” (“teoría del balance”) con determinadas excepciones (entre las cuales podemos mencionar la inaplicabilidad de las limitaciones previstas para la deducibilidad de los intereses de determinadas deudas</w:t>
      </w:r>
      <w:r w:rsidRPr="00506990">
        <w:rPr>
          <w:rStyle w:val="Refdenotaalpie"/>
          <w:rFonts w:ascii="Times New Roman" w:hAnsi="Times New Roman"/>
          <w:sz w:val="18"/>
        </w:rPr>
        <w:footnoteReference w:id="3"/>
      </w:r>
      <w:r w:rsidRPr="0098446E">
        <w:rPr>
          <w:rStyle w:val="Refdenotaalpie"/>
          <w:rFonts w:ascii="Times New Roman" w:hAnsi="Times New Roman"/>
          <w:sz w:val="18"/>
        </w:rPr>
        <w:t>,</w:t>
      </w:r>
      <w:r w:rsidRPr="00506990">
        <w:rPr>
          <w:rFonts w:ascii="Times New Roman" w:eastAsia="Times New Roman" w:hAnsi="Times New Roman" w:cs="Times New Roman"/>
          <w:sz w:val="22"/>
          <w:szCs w:val="22"/>
        </w:rPr>
        <w:t xml:space="preserve"> pudiéndose deducir todos los gastos necesarios para obtener, mantener y conservar la fuente productora de ganancia gravada, dentro de lo cual no se incluyen los importes que bajo cualquier denominación corresponda asignar en concepto de distribución de utilidades.</w:t>
      </w:r>
    </w:p>
    <w:p w14:paraId="03AE3185"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 </w:t>
      </w:r>
    </w:p>
    <w:p w14:paraId="4CAE6FC4"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No obstante lo expuesto, debemos destacar que a partir de la publicación de la Ley de Mercado de Capitales Ley N° 27.440 (B.O. 11/05/2018), con vigencia a partir de las utilidades generadas en los ejercicios iniciados a partir del 01/01/2018, reglamentada por Decreto N° 382/2019 y Resolución General (AFIP) N° 4.498/2019, se introdujeron importantes modificaciones en el encuadre fiscal de la presente estructura.</w:t>
      </w:r>
    </w:p>
    <w:p w14:paraId="5B0291BC" w14:textId="77777777" w:rsidR="005219FA" w:rsidRPr="00506990" w:rsidRDefault="005219FA" w:rsidP="00D419D5">
      <w:pPr>
        <w:rPr>
          <w:rFonts w:ascii="Times New Roman" w:eastAsia="Times New Roman" w:hAnsi="Times New Roman" w:cs="Times New Roman"/>
          <w:sz w:val="22"/>
          <w:szCs w:val="22"/>
        </w:rPr>
      </w:pPr>
    </w:p>
    <w:p w14:paraId="0C9DC9D8" w14:textId="79E02079"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Ello así, en un todo conforme con lo dispuesto por </w:t>
      </w:r>
      <w:r w:rsidR="00771105" w:rsidRPr="00506990">
        <w:rPr>
          <w:rFonts w:ascii="Times New Roman" w:eastAsia="Times New Roman" w:hAnsi="Times New Roman" w:cs="Times New Roman"/>
          <w:sz w:val="22"/>
          <w:szCs w:val="22"/>
        </w:rPr>
        <w:t xml:space="preserve">el </w:t>
      </w:r>
      <w:r w:rsidRPr="00506990">
        <w:rPr>
          <w:rFonts w:ascii="Times New Roman" w:eastAsia="Times New Roman" w:hAnsi="Times New Roman" w:cs="Times New Roman"/>
          <w:sz w:val="22"/>
          <w:szCs w:val="22"/>
        </w:rPr>
        <w:t xml:space="preserve">artículo 205 </w:t>
      </w:r>
      <w:r w:rsidR="00771105" w:rsidRPr="00506990">
        <w:rPr>
          <w:rFonts w:ascii="Times New Roman" w:eastAsia="Times New Roman" w:hAnsi="Times New Roman" w:cs="Times New Roman"/>
          <w:sz w:val="22"/>
          <w:szCs w:val="22"/>
        </w:rPr>
        <w:t xml:space="preserve">de la Ley N° 27.440,  </w:t>
      </w:r>
      <w:r w:rsidRPr="00506990">
        <w:rPr>
          <w:rFonts w:ascii="Times New Roman" w:eastAsia="Times New Roman" w:hAnsi="Times New Roman" w:cs="Times New Roman"/>
          <w:sz w:val="22"/>
          <w:szCs w:val="22"/>
        </w:rPr>
        <w:t xml:space="preserve">“En pos de transparentar el tratamiento impositivo vigente, los fideicomisos y los fondos comunes de inversión a que aluden los apartados 6 y 7 del inciso a) del artículo </w:t>
      </w:r>
      <w:r w:rsidR="006B4159">
        <w:rPr>
          <w:rFonts w:ascii="Times New Roman" w:eastAsia="Times New Roman" w:hAnsi="Times New Roman" w:cs="Times New Roman"/>
          <w:sz w:val="22"/>
          <w:szCs w:val="22"/>
        </w:rPr>
        <w:t>73 (t.o. 2019)</w:t>
      </w:r>
      <w:r w:rsidRPr="00506990">
        <w:rPr>
          <w:rFonts w:ascii="Times New Roman" w:eastAsia="Times New Roman" w:hAnsi="Times New Roman" w:cs="Times New Roman"/>
          <w:sz w:val="22"/>
          <w:szCs w:val="22"/>
        </w:rPr>
        <w:t xml:space="preserve"> de la Ley de Impuesto a las Ganancias, tributarán el impuesto a las ganancias en la medida en que los certificados de participación y/o títulos de deuda o las cuotapartes que emitieran no hubieren sido colocados por oferta pública con autorización de la Comisión Nacional de Valores. De existir tal colocación tributarán sólo en la proporción a las inversiones no realizadas en la República Argentina</w:t>
      </w:r>
      <w:r w:rsidRPr="00506990">
        <w:rPr>
          <w:rStyle w:val="Refdenotaalpie"/>
          <w:rFonts w:ascii="Times New Roman" w:hAnsi="Times New Roman"/>
          <w:sz w:val="18"/>
          <w:szCs w:val="20"/>
        </w:rPr>
        <w:footnoteReference w:id="4"/>
      </w:r>
      <w:r w:rsidRPr="00506990">
        <w:rPr>
          <w:rFonts w:ascii="Times New Roman" w:eastAsia="Times New Roman" w:hAnsi="Times New Roman" w:cs="Times New Roman"/>
          <w:sz w:val="22"/>
          <w:szCs w:val="22"/>
        </w:rPr>
        <w:t>”.</w:t>
      </w:r>
    </w:p>
    <w:p w14:paraId="1C551034" w14:textId="77777777" w:rsidR="005219FA" w:rsidRPr="00506990" w:rsidRDefault="005219FA" w:rsidP="00D419D5">
      <w:pPr>
        <w:rPr>
          <w:rFonts w:ascii="Times New Roman" w:eastAsia="Times New Roman" w:hAnsi="Times New Roman" w:cs="Times New Roman"/>
          <w:sz w:val="22"/>
          <w:szCs w:val="22"/>
        </w:rPr>
      </w:pPr>
    </w:p>
    <w:p w14:paraId="065B5F3B"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Así, la reglamentación aclara que en el caso de que los Certificados de Participación y Títulos de Deuda fueran colocados por Oferta Pública con autorización de la Comisión Nacional de Valores, sólo tributarán el presente impuesto por los resultados comprendidos en el Título IX de la Ley del Tributo (Renta de Fuente Extranjera).</w:t>
      </w:r>
    </w:p>
    <w:p w14:paraId="7A6100B8" w14:textId="77777777" w:rsidR="005219FA" w:rsidRPr="00506990" w:rsidRDefault="005219FA" w:rsidP="00D419D5">
      <w:pPr>
        <w:rPr>
          <w:rFonts w:ascii="Times New Roman" w:eastAsia="Times New Roman" w:hAnsi="Times New Roman" w:cs="Times New Roman"/>
          <w:sz w:val="22"/>
          <w:szCs w:val="22"/>
        </w:rPr>
      </w:pPr>
    </w:p>
    <w:p w14:paraId="76658C13"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por aplicación de lo dispuesto anteriormente los fideicomisos no deban tributar el impuesto, el inversor perceptor de las ganancias que aquéllos distribuyan deberá incorporar dichas ganancias en su propia declaración jurada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esta sea percibida, considerando como tal la distribución realizada por el fideicomiso. La capitalización de utilidades mediante la entrega al inversor de certificados de participación implica asimismo la distribución y percepción, en su medida, de la ganancia</w:t>
      </w:r>
      <w:r w:rsidRPr="00506990">
        <w:rPr>
          <w:rStyle w:val="Refdenotaalpie"/>
          <w:rFonts w:ascii="Times New Roman" w:hAnsi="Times New Roman"/>
          <w:sz w:val="18"/>
          <w:szCs w:val="20"/>
        </w:rPr>
        <w:footnoteReference w:id="5"/>
      </w:r>
      <w:r w:rsidRPr="0098446E">
        <w:rPr>
          <w:rStyle w:val="Refdenotaalpie"/>
          <w:rFonts w:ascii="Times New Roman" w:hAnsi="Times New Roman"/>
          <w:sz w:val="18"/>
          <w:szCs w:val="20"/>
        </w:rPr>
        <w:t>.</w:t>
      </w:r>
    </w:p>
    <w:p w14:paraId="30BBB136" w14:textId="77777777" w:rsidR="005219FA" w:rsidRPr="00506990" w:rsidRDefault="005219FA" w:rsidP="00D419D5">
      <w:pPr>
        <w:rPr>
          <w:rFonts w:ascii="Times New Roman" w:eastAsia="Times New Roman" w:hAnsi="Times New Roman" w:cs="Times New Roman"/>
          <w:sz w:val="22"/>
          <w:szCs w:val="22"/>
        </w:rPr>
      </w:pPr>
    </w:p>
    <w:p w14:paraId="2B8A254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6DC50BA0" w14:textId="77777777" w:rsidR="005219FA" w:rsidRPr="00506990" w:rsidRDefault="005219FA" w:rsidP="00D419D5">
      <w:pPr>
        <w:rPr>
          <w:rFonts w:ascii="Times New Roman" w:eastAsia="Times New Roman" w:hAnsi="Times New Roman" w:cs="Times New Roman"/>
          <w:sz w:val="22"/>
          <w:szCs w:val="22"/>
        </w:rPr>
      </w:pPr>
    </w:p>
    <w:p w14:paraId="3B5BFC7A"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52F197D4" w14:textId="77777777" w:rsidR="005219FA" w:rsidRPr="00506990" w:rsidRDefault="005219FA" w:rsidP="00D419D5">
      <w:pPr>
        <w:rPr>
          <w:rFonts w:ascii="Times New Roman" w:eastAsia="Times New Roman" w:hAnsi="Times New Roman" w:cs="Times New Roman"/>
          <w:sz w:val="22"/>
          <w:szCs w:val="22"/>
        </w:rPr>
      </w:pPr>
    </w:p>
    <w:p w14:paraId="195A931C"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42CA4CA6" w14:textId="77777777" w:rsidR="005219FA" w:rsidRPr="00506990" w:rsidRDefault="005219FA" w:rsidP="00D419D5">
      <w:pPr>
        <w:rPr>
          <w:rFonts w:ascii="Times New Roman" w:eastAsia="Times New Roman" w:hAnsi="Times New Roman" w:cs="Times New Roman"/>
          <w:sz w:val="22"/>
          <w:szCs w:val="22"/>
        </w:rPr>
      </w:pPr>
    </w:p>
    <w:p w14:paraId="65EB4DF9"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los titulares de Certificados de Participación fueran beneficiarios del exterior, el fiduciario procederá a efectuar la retención con carácter de pago único y definitivo a la alícuota que hubiere resultado aplicable a esos beneficiarios de haber obtenido estas de forma directa, aplicando las presunciones previstas en el artículo 93 de la Ley de Impuesto a las Ganancias, conforme la categoría de renta de que se trate.</w:t>
      </w:r>
    </w:p>
    <w:p w14:paraId="0F1B4937" w14:textId="77777777" w:rsidR="005219FA" w:rsidRPr="00506990" w:rsidRDefault="005219FA" w:rsidP="00D419D5">
      <w:pPr>
        <w:rPr>
          <w:rFonts w:ascii="Times New Roman" w:eastAsia="Times New Roman" w:hAnsi="Times New Roman" w:cs="Times New Roman"/>
          <w:sz w:val="22"/>
          <w:szCs w:val="22"/>
        </w:rPr>
      </w:pPr>
    </w:p>
    <w:p w14:paraId="24D46AD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Finalmente, y como norma de carácter transitorio, la reglamentación establece que en la primera distribución de utilidades que los inversores perciban por resultados provenientes a ejercicios iniciados a partir del 01/01/2018, el fideicomiso adicionará al informe de “Certificados de Resultados”, los datos relativos a: i) saldos a favor computables originados en pago de anticipos; y ii) los quebrantos que tuvieran su origen en ganancias de fuente argentina y que estuvieran pendientes de compensación.</w:t>
      </w:r>
    </w:p>
    <w:p w14:paraId="51790C59"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p>
    <w:p w14:paraId="2BDB8AE6"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I.2. Impuesto a la Ganancia Mínima Presunta</w:t>
      </w:r>
    </w:p>
    <w:p w14:paraId="206C67DB"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7EAB7F1" w14:textId="77777777" w:rsidR="00771105" w:rsidRPr="00506990" w:rsidRDefault="00771105" w:rsidP="00771105">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Por medio del artículo 76 de la ley Nº 27.260 (Boletín Oficial del 22/07/2016) se derogó este impuesto para los ejercicios que se inician a partir del 1º de enero de 2019. </w:t>
      </w:r>
    </w:p>
    <w:p w14:paraId="172C0504" w14:textId="77777777" w:rsidR="00015892" w:rsidRPr="00506990" w:rsidRDefault="00015892" w:rsidP="00015892">
      <w:pPr>
        <w:rPr>
          <w:rFonts w:ascii="Times New Roman" w:eastAsia="Times New Roman" w:hAnsi="Times New Roman" w:cs="Times New Roman"/>
          <w:sz w:val="22"/>
          <w:szCs w:val="22"/>
          <w:highlight w:val="yellow"/>
          <w:lang w:val="es-AR"/>
        </w:rPr>
      </w:pPr>
    </w:p>
    <w:p w14:paraId="0EC9256D"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u w:val="single"/>
          <w:lang w:val="es-AR"/>
        </w:rPr>
      </w:pPr>
    </w:p>
    <w:p w14:paraId="55AD7833"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I.3. Impuesto al Valor Agregado</w:t>
      </w:r>
    </w:p>
    <w:p w14:paraId="7AE91FC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5C761586"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el Impuesto al Valor Agregado, el artículo 4 de la ley establece que son sujetos pasivos del gravamen, entre otros “cualquier ente individual o colectivo” , en tanto se encuentren en alguna de las situaciones previstas en el primer párrafo del artículo 4 de la ley, es decir, que realicen alguna de las actividades gravadas en dicho párrafo.</w:t>
      </w:r>
    </w:p>
    <w:p w14:paraId="3924A0E7"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base a lo expuesto, el Fideicomiso Financiero será sujeto del tributo si realizare actos gravados por el impuesto, en cuyo caso los ingresos así obtenidos estarán sujetos al gravamen a la alícuota general del 21% (veintiún por ciento), salvo que resulte procedente alguna alícuota reducida o exención.</w:t>
      </w:r>
    </w:p>
    <w:p w14:paraId="4D3D94FC" w14:textId="4B612012"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Asimismo, el artículo 84 de la ley 24.441 dispone que a los efectos del I.V.A., cuando los Bienes Fideicomitidos fuesen créditos, las transmisiones a favor del Fideicomiso no constituirán prestaciones o colocaciones financieras gravadas. Es decir, la transferencia onerosa de</w:t>
      </w:r>
      <w:r w:rsidR="006E36BA" w:rsidRPr="00506990">
        <w:rPr>
          <w:rFonts w:ascii="Times New Roman" w:eastAsia="Times New Roman" w:hAnsi="Times New Roman" w:cs="Times New Roman"/>
          <w:sz w:val="22"/>
          <w:szCs w:val="22"/>
          <w:lang w:val="es-ES"/>
        </w:rPr>
        <w:t xml:space="preserve"> </w:t>
      </w:r>
      <w:r w:rsidRPr="00506990">
        <w:rPr>
          <w:rFonts w:ascii="Times New Roman" w:eastAsia="Times New Roman" w:hAnsi="Times New Roman" w:cs="Times New Roman"/>
          <w:sz w:val="22"/>
          <w:szCs w:val="22"/>
          <w:lang w:val="es-ES"/>
        </w:rPr>
        <w:t>l</w:t>
      </w:r>
      <w:r w:rsidR="006E36BA" w:rsidRPr="00506990">
        <w:rPr>
          <w:rFonts w:ascii="Times New Roman" w:eastAsia="Times New Roman" w:hAnsi="Times New Roman" w:cs="Times New Roman"/>
          <w:sz w:val="22"/>
          <w:szCs w:val="22"/>
          <w:lang w:val="es-ES"/>
        </w:rPr>
        <w:t>os</w:t>
      </w:r>
      <w:r w:rsidRPr="00506990">
        <w:rPr>
          <w:rFonts w:ascii="Times New Roman" w:eastAsia="Times New Roman" w:hAnsi="Times New Roman" w:cs="Times New Roman"/>
          <w:sz w:val="22"/>
          <w:szCs w:val="22"/>
          <w:lang w:val="es-ES"/>
        </w:rPr>
        <w:t xml:space="preserve"> Fiduciante</w:t>
      </w:r>
      <w:r w:rsidR="006E36BA"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xml:space="preserve"> hacia el Fideicomiso de las cuentas por cobrar, no estará alcanzada por este gravamen.  </w:t>
      </w:r>
    </w:p>
    <w:p w14:paraId="4E8963EF" w14:textId="1AFDF75C"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A su vez, el citado artículo establece que cuando el crédito cedido incluya intereses de financiación, el sujeto pasivo del impuesto por la prestación correspondiente a estos últimos continuará siendo l</w:t>
      </w:r>
      <w:r w:rsidR="006E36BA" w:rsidRPr="00506990">
        <w:rPr>
          <w:rFonts w:ascii="Times New Roman" w:eastAsia="Times New Roman" w:hAnsi="Times New Roman" w:cs="Times New Roman"/>
          <w:sz w:val="22"/>
          <w:szCs w:val="22"/>
          <w:lang w:val="es-ES"/>
        </w:rPr>
        <w:t>os</w:t>
      </w:r>
      <w:r w:rsidRPr="00506990">
        <w:rPr>
          <w:rFonts w:ascii="Times New Roman" w:eastAsia="Times New Roman" w:hAnsi="Times New Roman" w:cs="Times New Roman"/>
          <w:sz w:val="22"/>
          <w:szCs w:val="22"/>
          <w:lang w:val="es-ES"/>
        </w:rPr>
        <w:t xml:space="preserve"> Fiduciante</w:t>
      </w:r>
      <w:r w:rsidR="006E36BA"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xml:space="preserve">, salvo que la cancelación de dichos créditos deba efectuarse a otra persona, en cuyo caso será quien lo reciba el que asumirá la calidad de sujeto pasivo. </w:t>
      </w:r>
    </w:p>
    <w:p w14:paraId="07CBA03E" w14:textId="1C073FEB"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el caso del presente Fideicomiso, dado que la gestión de cobro será llevada a cabo por l</w:t>
      </w:r>
      <w:r w:rsidR="006E36BA" w:rsidRPr="00506990">
        <w:rPr>
          <w:rFonts w:ascii="Times New Roman" w:eastAsia="Times New Roman" w:hAnsi="Times New Roman" w:cs="Times New Roman"/>
          <w:sz w:val="22"/>
          <w:szCs w:val="22"/>
          <w:lang w:val="es-ES"/>
        </w:rPr>
        <w:t>os</w:t>
      </w:r>
      <w:r w:rsidRPr="00506990">
        <w:rPr>
          <w:rFonts w:ascii="Times New Roman" w:eastAsia="Times New Roman" w:hAnsi="Times New Roman" w:cs="Times New Roman"/>
          <w:sz w:val="22"/>
          <w:szCs w:val="22"/>
          <w:lang w:val="es-ES"/>
        </w:rPr>
        <w:t xml:space="preserve"> Fiduciante</w:t>
      </w:r>
      <w:r w:rsidR="006E36BA"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en su carácter de Agente</w:t>
      </w:r>
      <w:r w:rsidR="002A2B1C" w:rsidRPr="00506990">
        <w:rPr>
          <w:rFonts w:ascii="Times New Roman" w:eastAsia="Times New Roman" w:hAnsi="Times New Roman" w:cs="Times New Roman"/>
          <w:sz w:val="22"/>
          <w:szCs w:val="22"/>
          <w:lang w:val="es-ES"/>
        </w:rPr>
        <w:t>s</w:t>
      </w:r>
      <w:r w:rsidRPr="00506990">
        <w:rPr>
          <w:rFonts w:ascii="Times New Roman" w:eastAsia="Times New Roman" w:hAnsi="Times New Roman" w:cs="Times New Roman"/>
          <w:sz w:val="22"/>
          <w:szCs w:val="22"/>
          <w:lang w:val="es-ES"/>
        </w:rPr>
        <w:t xml:space="preserve"> de Cobro, éste se constituirá como sujeto pasivo del tributo. </w:t>
      </w:r>
    </w:p>
    <w:p w14:paraId="29CF2AE3"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0BAD216E"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I.4. Impuesto sobre los Ingresos Brutos</w:t>
      </w:r>
    </w:p>
    <w:p w14:paraId="0BE84012"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67EEB479"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Este es un impuesto de carácter local, es decir provincial o de la Ciudad de Buenos Aires. En el caso de la Provincia de Santa Fe recae sobre el ejercicio habitual de una actividad a título oneroso, cualquiera sea el resultado obtenido y la naturaleza del sujeto que la realice. En general, las legislaciones fiscales locales no contienen normas específicas relacionadas con el tratamiento a dispensar a los fideicomisos financieros.</w:t>
      </w:r>
    </w:p>
    <w:p w14:paraId="4B8E802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34D7AEE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En el caso de la Provincia de Santa Fe, el Código Fiscal no posee previsiones expresas respecto de los Fideicomisos Financieros. No obstante, la Administración Provincial de Impuestos de la provincia les ha reconocido el carácter de sujetos de las obligaciones tributarias respecto de la determinación e ingreso del tributo que corresponda a la naturaleza de la actividad desarrollada. </w:t>
      </w:r>
    </w:p>
    <w:p w14:paraId="515E10D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0B7D22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Dicho Organismo interpretó a través de la Resolución Nº 17/05 de la Administración Provincial de Impuestos de la Provincia de Santa Fe (API) que las operaciones realizadas por los fideicomisos financieros, tienen el tratamiento previsto para las entidades financieras comprendidas en el régimen de la Ley Nacional 21.526, debiendo tributar el impuesto sobre los Ingresos Brutos según lo dispuesto en el artículo 140 del Código Fiscal (t.o. 1997 y sus mod.).</w:t>
      </w:r>
    </w:p>
    <w:p w14:paraId="470707A7"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73BD5C72"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Dicho artículo dispone que en las operaciones realizadas por las entidades financieras comprendidas en el régimen de la Ley Nº 21.526 y sus modificaciones, se considerará ingreso bruto a los importes devengados en función del tiempo en cada período.</w:t>
      </w:r>
    </w:p>
    <w:p w14:paraId="429065E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38A1CBF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Agrega que en tales casos la base imponible estará constituida por el total de la suma del haber de las cuentas de resultado, no admitiéndose deducciones de ningún tipo, excepto que se trate de bancos de carácter público con domicilio fiscal en la Provincia de Santa Fe, para los cuales la base imponible estará constituida por la diferencia que resulte entre el total de la suma del haber de las cuentas de resultados y los intereses y actualizaciones pasivas. Asimismo para éste último caso se computarán como intereses acreedores y deudores respectivamente, las compensaciones establecidas por el Artículo 3 de la Ley Nro. 21.572 y los cargos determinados de acuerdo con el Artículo 2 inciso a) del citado texto legal. Los intereses y actualizaciones aludidos serán por financiaciones, mora o punitorios. </w:t>
      </w:r>
    </w:p>
    <w:p w14:paraId="321BCC4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6F77B28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En consecuencia, el fideicomiso deberá tributar el impuesto sobre los ingresos brutos tomando como base imponible la suma del haber de las cuentas de resultado, no admitiéndose deducciones de ningún tipo.</w:t>
      </w:r>
    </w:p>
    <w:p w14:paraId="5E09BC5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368C206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Por último, en el caso de obtener ingresos o realizar gastos en distintas jurisdicciones locales, correspondería la aplicación de las normas del Convenio Multilateral, que instruye el procedimiento de distribución de los ingresos obtenidos entre todos los fiscos involucrados, debiéndose analizar el tratamiento fiscal aplicable que disponga cada jurisdicción involucrada.</w:t>
      </w:r>
    </w:p>
    <w:p w14:paraId="38C45A2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5FC437C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b/>
          <w:bCs/>
          <w:sz w:val="22"/>
          <w:szCs w:val="22"/>
          <w:lang w:val="es-ES"/>
        </w:rPr>
        <w:t>I.5. Impuesto sobre los Créditos y Débitos en Cuenta Corriente Bancaria</w:t>
      </w:r>
    </w:p>
    <w:p w14:paraId="059BC4E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0FD8080F" w14:textId="77777777" w:rsidR="000958BD" w:rsidRPr="00506990" w:rsidRDefault="000958BD" w:rsidP="000958BD">
      <w:pPr>
        <w:pStyle w:val="Encabezado"/>
        <w:rPr>
          <w:rFonts w:ascii="Times New Roman" w:hAnsi="Times New Roman"/>
          <w:sz w:val="22"/>
          <w:szCs w:val="22"/>
          <w:lang w:val="es-ES"/>
        </w:rPr>
      </w:pPr>
      <w:r w:rsidRPr="00506990">
        <w:rPr>
          <w:rFonts w:ascii="Times New Roman" w:hAnsi="Times New Roman"/>
          <w:sz w:val="22"/>
          <w:szCs w:val="22"/>
          <w:lang w:val="es-ES"/>
        </w:rPr>
        <w:t xml:space="preserve">Con fecha 08/02/2019 se publicó en el Boletín Oficial el Decreto 117/2019, mediante el cual el Poder Ejecutivo, haciendo uso de las facultades otorgadas por el art. 2do, de la Ley 25413, ha sustituido el texto de la exención contenida en el Art 10, inc c del Decreto 380/01. </w:t>
      </w:r>
    </w:p>
    <w:p w14:paraId="6DB9DA2C" w14:textId="77777777" w:rsidR="000958BD" w:rsidRPr="00506990" w:rsidRDefault="000958BD" w:rsidP="000958BD">
      <w:pPr>
        <w:pStyle w:val="Encabezado"/>
        <w:rPr>
          <w:rFonts w:ascii="Times New Roman" w:hAnsi="Times New Roman"/>
          <w:sz w:val="22"/>
          <w:szCs w:val="22"/>
          <w:lang w:val="es-ES"/>
        </w:rPr>
      </w:pPr>
    </w:p>
    <w:p w14:paraId="0DF3C911" w14:textId="77777777" w:rsidR="000958BD" w:rsidRPr="00506990" w:rsidRDefault="000958BD" w:rsidP="000958BD">
      <w:pPr>
        <w:pStyle w:val="Encabezado"/>
        <w:rPr>
          <w:rFonts w:ascii="Times New Roman" w:hAnsi="Times New Roman"/>
          <w:sz w:val="22"/>
          <w:szCs w:val="22"/>
          <w:lang w:val="es-ES"/>
        </w:rPr>
      </w:pPr>
      <w:r w:rsidRPr="00506990">
        <w:rPr>
          <w:rFonts w:ascii="Times New Roman" w:hAnsi="Times New Roman"/>
          <w:sz w:val="22"/>
          <w:szCs w:val="22"/>
          <w:lang w:val="es-ES"/>
        </w:rPr>
        <w:t>La nueva redacción dispone que la exención comprende a las cuentas utilizadas en forma exclusiva en el desarrollo específico de su actividad por los fideicomisos financieros en tanto cumplan los siguientes requisitos: a) los bienes fideicomitidos se constituyan con activos homogéneos que consistan en títulos valores públicos o privados o derechos creditorios provenientes de operaciones de financiación evidenciados en instrumentos públicos o privados y b)la totalidad de los valores fiduciarios cuenten con oferta pública.</w:t>
      </w:r>
    </w:p>
    <w:p w14:paraId="48DF3B1D" w14:textId="77777777" w:rsidR="00015892" w:rsidRPr="00506990" w:rsidRDefault="00015892" w:rsidP="00015892">
      <w:pPr>
        <w:tabs>
          <w:tab w:val="center" w:pos="4252"/>
          <w:tab w:val="right" w:pos="8504"/>
        </w:tabs>
        <w:rPr>
          <w:rFonts w:ascii="Times New Roman" w:eastAsia="Times New Roman" w:hAnsi="Times New Roman" w:cs="Times New Roman"/>
          <w:color w:val="0D0D0D"/>
          <w:sz w:val="22"/>
          <w:szCs w:val="22"/>
          <w:lang w:val="es-AR"/>
        </w:rPr>
      </w:pPr>
    </w:p>
    <w:p w14:paraId="36EB9875" w14:textId="77777777" w:rsidR="00015892" w:rsidRPr="00506990" w:rsidRDefault="00015892" w:rsidP="00015892">
      <w:pPr>
        <w:tabs>
          <w:tab w:val="center" w:pos="4252"/>
          <w:tab w:val="right" w:pos="8504"/>
        </w:tabs>
        <w:rPr>
          <w:rFonts w:ascii="Times New Roman" w:eastAsia="Times New Roman" w:hAnsi="Times New Roman" w:cs="Times New Roman"/>
          <w:color w:val="0D0D0D"/>
          <w:sz w:val="22"/>
          <w:szCs w:val="22"/>
          <w:lang w:val="es-ES"/>
        </w:rPr>
      </w:pPr>
      <w:r w:rsidRPr="00506990">
        <w:rPr>
          <w:rFonts w:ascii="Times New Roman" w:eastAsia="Times New Roman" w:hAnsi="Times New Roman" w:cs="Times New Roman"/>
          <w:color w:val="0D0D0D"/>
          <w:sz w:val="22"/>
          <w:szCs w:val="22"/>
          <w:lang w:val="es-ES"/>
        </w:rPr>
        <w:t>En cumplimiento de las disposiciones de la RG AFIP Nº 3900/2016,  a los fines del reconocimiento de la exención señalada, se procederá a la inscripción de las cuentas bancarias de las que resulte titular el fideicomiso en el  “Registro de Beneficios Fiscales en el Impuesto sobre los Créditos y Débitos en Cuentas Bancarias y otras Operatorias”.</w:t>
      </w:r>
    </w:p>
    <w:p w14:paraId="7A578D26" w14:textId="77777777" w:rsidR="000958BD" w:rsidRPr="00506990" w:rsidRDefault="000958BD" w:rsidP="00015892">
      <w:pPr>
        <w:tabs>
          <w:tab w:val="center" w:pos="4252"/>
          <w:tab w:val="right" w:pos="8504"/>
        </w:tabs>
        <w:rPr>
          <w:rFonts w:ascii="Times New Roman" w:eastAsia="Times New Roman" w:hAnsi="Times New Roman" w:cs="Times New Roman"/>
          <w:color w:val="0D0D0D"/>
          <w:sz w:val="22"/>
          <w:szCs w:val="22"/>
          <w:lang w:val="es-ES"/>
        </w:rPr>
      </w:pPr>
    </w:p>
    <w:p w14:paraId="0744A0F1"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6EDEE842"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ES"/>
        </w:rPr>
        <w:t xml:space="preserve">I.6. </w:t>
      </w:r>
      <w:r w:rsidRPr="00506990">
        <w:rPr>
          <w:rFonts w:ascii="Times New Roman" w:eastAsia="Times New Roman" w:hAnsi="Times New Roman" w:cs="Times New Roman"/>
          <w:b/>
          <w:bCs/>
          <w:sz w:val="22"/>
          <w:szCs w:val="22"/>
          <w:lang w:val="es-AR"/>
        </w:rPr>
        <w:t>Impuesto sobre los Bienes Personales</w:t>
      </w:r>
    </w:p>
    <w:p w14:paraId="3ACC6B73" w14:textId="77777777" w:rsidR="00AE4331" w:rsidRPr="00506990" w:rsidRDefault="00AE4331" w:rsidP="00015892">
      <w:pPr>
        <w:tabs>
          <w:tab w:val="center" w:pos="4252"/>
          <w:tab w:val="right" w:pos="8504"/>
        </w:tabs>
        <w:rPr>
          <w:rFonts w:ascii="Times New Roman" w:eastAsia="Times New Roman" w:hAnsi="Times New Roman" w:cs="Times New Roman"/>
          <w:b/>
          <w:bCs/>
          <w:sz w:val="22"/>
          <w:szCs w:val="22"/>
          <w:lang w:val="es-AR"/>
        </w:rPr>
      </w:pPr>
    </w:p>
    <w:p w14:paraId="78811A5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En virtud de que los fideicomisos financieros no son sujetos del Impuesto sobre los Bienes Personales, y de lo dispuesto en el segundo párrafo del artículo 13 del Decreto 780/95, el Fiduciario no será responsable por el ingreso del gravamen correspondiente a los activos fideicomitidos.  </w:t>
      </w:r>
    </w:p>
    <w:p w14:paraId="0BDC913E" w14:textId="77777777" w:rsidR="00015892" w:rsidRPr="00506990" w:rsidRDefault="00015892" w:rsidP="00015892">
      <w:pPr>
        <w:tabs>
          <w:tab w:val="left" w:pos="-1440"/>
        </w:tabs>
        <w:ind w:right="90"/>
        <w:rPr>
          <w:rFonts w:ascii="Times New Roman" w:eastAsia="Times New Roman" w:hAnsi="Times New Roman" w:cs="Times New Roman"/>
          <w:b/>
          <w:bCs/>
          <w:sz w:val="22"/>
          <w:szCs w:val="22"/>
          <w:lang w:val="es-AR"/>
        </w:rPr>
      </w:pPr>
    </w:p>
    <w:p w14:paraId="27BCA0F6"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b/>
          <w:bCs/>
          <w:sz w:val="22"/>
          <w:szCs w:val="22"/>
          <w:lang w:val="es-AR"/>
        </w:rPr>
        <w:t>I.7. Tasa de Justicia</w:t>
      </w:r>
    </w:p>
    <w:p w14:paraId="0A77C201" w14:textId="0B454C8C" w:rsidR="00015892" w:rsidRPr="00506990" w:rsidRDefault="00015892" w:rsidP="00015892">
      <w:pPr>
        <w:tabs>
          <w:tab w:val="left" w:pos="-1440"/>
        </w:tabs>
        <w:ind w:right="90"/>
        <w:rPr>
          <w:rFonts w:ascii="Times New Roman" w:eastAsia="Times New Roman" w:hAnsi="Times New Roman" w:cs="Times New Roman"/>
          <w:sz w:val="22"/>
          <w:szCs w:val="22"/>
          <w:lang w:val="es-AR"/>
        </w:rPr>
      </w:pPr>
    </w:p>
    <w:p w14:paraId="2F5A6287" w14:textId="77777777" w:rsidR="00015892" w:rsidRPr="00506990" w:rsidRDefault="00015892" w:rsidP="00015892">
      <w:pPr>
        <w:tabs>
          <w:tab w:val="left" w:pos="-1440"/>
        </w:tabs>
        <w:ind w:right="90"/>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que se inicien procedimientos ante un tribunal nacional para exigir el cumplimiento de cualquiera de los términos de los Títulos, en su calidad de tal y no a título personal, el demandante estará obligado a pagar una tasa de justicia por una suma equivalente al 3% del monto pretendido en dicho procedimiento.</w:t>
      </w:r>
    </w:p>
    <w:p w14:paraId="3982976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61F82E40" w14:textId="77777777" w:rsidR="00015892" w:rsidRPr="00506990" w:rsidRDefault="00015892" w:rsidP="00015892">
      <w:pPr>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I.8. Impuesto de Sellos</w:t>
      </w:r>
    </w:p>
    <w:p w14:paraId="09133E8C" w14:textId="7C965D37" w:rsidR="00015892" w:rsidRPr="00506990" w:rsidRDefault="00015892" w:rsidP="00015892">
      <w:pPr>
        <w:rPr>
          <w:rFonts w:ascii="Times New Roman" w:eastAsia="Times New Roman" w:hAnsi="Times New Roman" w:cs="Times New Roman"/>
          <w:sz w:val="22"/>
          <w:szCs w:val="22"/>
          <w:lang w:val="es-AR"/>
        </w:rPr>
      </w:pPr>
    </w:p>
    <w:p w14:paraId="4253268C" w14:textId="77777777"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 xml:space="preserve">En materia de impuesto de sellos, los antecedentes remiten a consultas en las que la Administración Provincial de Impuestos (A.P.I.) ha entendido que el contrato de fideicomiso se encuentra gravado a la tasa del 10 por mil sobre el 100% de las remuneraciones atribuibles al fiduciario, mientras que consideró exenta del gravamen la transferencia fiduciaria de los bienes al fideicomiso financiero con Oferta Pública. </w:t>
      </w:r>
    </w:p>
    <w:p w14:paraId="0AFAB0B7" w14:textId="77777777" w:rsidR="00015892" w:rsidRPr="00506990" w:rsidRDefault="00015892" w:rsidP="00015892">
      <w:pPr>
        <w:rPr>
          <w:rFonts w:ascii="Times New Roman" w:eastAsia="Times New Roman" w:hAnsi="Times New Roman" w:cs="Times New Roman"/>
          <w:spacing w:val="-5"/>
          <w:sz w:val="22"/>
          <w:szCs w:val="22"/>
        </w:rPr>
      </w:pPr>
    </w:p>
    <w:p w14:paraId="4E5A0684" w14:textId="77777777"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Así la Administración Provincial de Impuestos de la Provincia de Santa Fe ha interpretado que los instrumentos relacionados para posibilitar la negociación y emisión de los Valores Fiduciarios para su Oferta Pública, encuadran en la exención prevista en el inciso 39) a) del artículo 183 del Código Fiscal, que eximen a los instrumentos, actos y operaciones de cualquier naturaleza, vinculados y/o necesarios para posibilitar la emisión de títulos valores representativos de deuda de sus emisoras, cualesquiera otros títulos valores destinados a la oferta pública en los términos de la Ley 26.831 de Mercado de Capitales, por parte de sociedades debidamente autorizadas por la Comisión Nacional de Valores a hacer oferta pública de dichos valores. No obstante tal criterio no está incluido en el texto del Código Fiscal.</w:t>
      </w:r>
    </w:p>
    <w:p w14:paraId="6EB8CBF8" w14:textId="77777777" w:rsidR="00015892" w:rsidRPr="00506990" w:rsidRDefault="00015892" w:rsidP="00015892">
      <w:pPr>
        <w:rPr>
          <w:rFonts w:ascii="Times New Roman" w:eastAsia="Times New Roman" w:hAnsi="Times New Roman" w:cs="Times New Roman"/>
          <w:spacing w:val="-5"/>
          <w:sz w:val="22"/>
          <w:szCs w:val="22"/>
        </w:rPr>
      </w:pPr>
    </w:p>
    <w:p w14:paraId="4275D704" w14:textId="26C1485A"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Asimismo, dicho Organismo mediante la Resolución Nº 44/14 del 1º de diciembre de 2014 estableció que la transmisión de la propiedad fiduciaria de</w:t>
      </w:r>
      <w:r w:rsidR="006E36BA" w:rsidRPr="00506990">
        <w:rPr>
          <w:rFonts w:ascii="Times New Roman" w:eastAsia="Times New Roman" w:hAnsi="Times New Roman" w:cs="Times New Roman"/>
          <w:spacing w:val="-5"/>
          <w:sz w:val="22"/>
          <w:szCs w:val="22"/>
        </w:rPr>
        <w:t xml:space="preserve"> </w:t>
      </w:r>
      <w:r w:rsidRPr="00506990">
        <w:rPr>
          <w:rFonts w:ascii="Times New Roman" w:eastAsia="Times New Roman" w:hAnsi="Times New Roman" w:cs="Times New Roman"/>
          <w:spacing w:val="-5"/>
          <w:sz w:val="22"/>
          <w:szCs w:val="22"/>
        </w:rPr>
        <w:t>l</w:t>
      </w:r>
      <w:r w:rsidR="006E36BA" w:rsidRPr="00506990">
        <w:rPr>
          <w:rFonts w:ascii="Times New Roman" w:eastAsia="Times New Roman" w:hAnsi="Times New Roman" w:cs="Times New Roman"/>
          <w:spacing w:val="-5"/>
          <w:sz w:val="22"/>
          <w:szCs w:val="22"/>
        </w:rPr>
        <w:t>os</w:t>
      </w:r>
      <w:r w:rsidRPr="00506990">
        <w:rPr>
          <w:rFonts w:ascii="Times New Roman" w:eastAsia="Times New Roman" w:hAnsi="Times New Roman" w:cs="Times New Roman"/>
          <w:spacing w:val="-5"/>
          <w:sz w:val="22"/>
          <w:szCs w:val="22"/>
        </w:rPr>
        <w:t xml:space="preserve"> fiduciante</w:t>
      </w:r>
      <w:r w:rsidR="006E36BA" w:rsidRPr="00506990">
        <w:rPr>
          <w:rFonts w:ascii="Times New Roman" w:eastAsia="Times New Roman" w:hAnsi="Times New Roman" w:cs="Times New Roman"/>
          <w:spacing w:val="-5"/>
          <w:sz w:val="22"/>
          <w:szCs w:val="22"/>
        </w:rPr>
        <w:t>s</w:t>
      </w:r>
      <w:r w:rsidRPr="00506990">
        <w:rPr>
          <w:rFonts w:ascii="Times New Roman" w:eastAsia="Times New Roman" w:hAnsi="Times New Roman" w:cs="Times New Roman"/>
          <w:spacing w:val="-5"/>
          <w:sz w:val="22"/>
          <w:szCs w:val="22"/>
        </w:rPr>
        <w:t xml:space="preserve"> al fiduciario, incluida en los contratos de fideicomisos, queda fuera del ámbito del impuesto de sellos solo en caso que dicha transmisión no conlleve contraprestación ni liberalidad alguna del fiduciario al fiduciante, ratificando que los contratos de fideicomisos deberán tributar el impuesto de sellos aplicando la alícuota contemplada en el artículo 19 inciso 4.d) de la ley impositiva anual, sobre la base imponible constituida por la retribución correspondiente al fiduciario, incluido el denominado honorario de éxito o de resultado, cualquiera fuere la denominación con la que a este se lo designe en el contrato, con exclusión del importe que constituya el reembolso de gastos, debidamente acreditado como tales.</w:t>
      </w:r>
    </w:p>
    <w:p w14:paraId="3DC679EA" w14:textId="77777777" w:rsidR="00015892" w:rsidRPr="00506990" w:rsidRDefault="00015892" w:rsidP="00015892">
      <w:pPr>
        <w:rPr>
          <w:rFonts w:ascii="Times New Roman" w:eastAsia="Times New Roman" w:hAnsi="Times New Roman" w:cs="Times New Roman"/>
          <w:spacing w:val="-5"/>
          <w:sz w:val="22"/>
          <w:szCs w:val="22"/>
        </w:rPr>
      </w:pPr>
    </w:p>
    <w:p w14:paraId="023FC819" w14:textId="77777777" w:rsidR="00015892" w:rsidRPr="00506990" w:rsidRDefault="00015892" w:rsidP="00015892">
      <w:pPr>
        <w:rPr>
          <w:rFonts w:ascii="Times New Roman" w:eastAsia="Times New Roman" w:hAnsi="Times New Roman" w:cs="Times New Roman"/>
          <w:spacing w:val="-5"/>
          <w:sz w:val="22"/>
          <w:szCs w:val="22"/>
        </w:rPr>
      </w:pPr>
      <w:r w:rsidRPr="00506990">
        <w:rPr>
          <w:rFonts w:ascii="Times New Roman" w:eastAsia="Times New Roman" w:hAnsi="Times New Roman" w:cs="Times New Roman"/>
          <w:spacing w:val="-5"/>
          <w:sz w:val="22"/>
          <w:szCs w:val="22"/>
        </w:rPr>
        <w:t>II. Impuestos que gravan los Valores Fiduciarios</w:t>
      </w:r>
    </w:p>
    <w:p w14:paraId="63EC2280" w14:textId="77777777" w:rsidR="00015892" w:rsidRPr="00506990" w:rsidRDefault="00015892" w:rsidP="00015892">
      <w:pPr>
        <w:rPr>
          <w:rFonts w:ascii="Times New Roman" w:eastAsia="Times New Roman" w:hAnsi="Times New Roman" w:cs="Times New Roman"/>
          <w:spacing w:val="-5"/>
          <w:sz w:val="22"/>
          <w:szCs w:val="22"/>
        </w:rPr>
      </w:pPr>
    </w:p>
    <w:p w14:paraId="74F463E9" w14:textId="77777777" w:rsidR="00015892" w:rsidRPr="00506990" w:rsidRDefault="00015892" w:rsidP="00015892">
      <w:pPr>
        <w:keepNext/>
        <w:outlineLvl w:val="1"/>
        <w:rPr>
          <w:rFonts w:ascii="Times New Roman" w:eastAsia="Times New Roman" w:hAnsi="Times New Roman" w:cs="Times New Roman"/>
          <w:b/>
          <w:sz w:val="22"/>
          <w:szCs w:val="22"/>
          <w:u w:val="single"/>
          <w:lang w:val="x-none"/>
        </w:rPr>
      </w:pPr>
      <w:bookmarkStart w:id="117" w:name="_Toc521424878"/>
      <w:bookmarkStart w:id="118" w:name="_Toc20409096"/>
      <w:r w:rsidRPr="00506990">
        <w:rPr>
          <w:rFonts w:ascii="Times New Roman" w:eastAsia="Times New Roman" w:hAnsi="Times New Roman" w:cs="Times New Roman"/>
          <w:b/>
          <w:sz w:val="22"/>
          <w:szCs w:val="22"/>
          <w:u w:val="single"/>
          <w:lang w:val="x-none"/>
        </w:rPr>
        <w:t>II.1. Impuesto a las Ganancias</w:t>
      </w:r>
      <w:bookmarkEnd w:id="117"/>
      <w:bookmarkEnd w:id="118"/>
    </w:p>
    <w:p w14:paraId="5EA9E99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37722656" w14:textId="77777777" w:rsidR="00015892" w:rsidRPr="00506990" w:rsidRDefault="00015892" w:rsidP="00015892">
      <w:pPr>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w:t>
      </w:r>
    </w:p>
    <w:p w14:paraId="31356FBC" w14:textId="77777777" w:rsidR="00015892" w:rsidRPr="00506990" w:rsidRDefault="00015892" w:rsidP="00015892">
      <w:pPr>
        <w:rPr>
          <w:rFonts w:ascii="Times New Roman" w:eastAsia="Times New Roman" w:hAnsi="Times New Roman" w:cs="Times New Roman"/>
          <w:sz w:val="22"/>
          <w:szCs w:val="22"/>
          <w:lang w:val="es-AR"/>
        </w:rPr>
      </w:pPr>
    </w:p>
    <w:p w14:paraId="6A0C4581"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El rendimiento obtenido por quienes posean los Valores Fiduciarios queda alcanzado por el tributo cualquiera sea el sujeto residente en nuestro país (persona humana o jurídica) que resulte beneficiario de aquellos; excepto que el perceptor se encuentre amparado por una exención subjetiva del gravamen (por ejemplo, cooperativas, mutuales, fundaciones y otros entes sin fines de lucro)</w:t>
      </w:r>
    </w:p>
    <w:p w14:paraId="4F43004E" w14:textId="77777777" w:rsidR="00AE4331" w:rsidRPr="00506990" w:rsidRDefault="00AE4331" w:rsidP="00015892">
      <w:pPr>
        <w:rPr>
          <w:rFonts w:ascii="Times New Roman" w:eastAsia="Times New Roman" w:hAnsi="Times New Roman" w:cs="Times New Roman"/>
          <w:sz w:val="22"/>
          <w:szCs w:val="22"/>
          <w:lang w:val="es-AR"/>
        </w:rPr>
      </w:pPr>
    </w:p>
    <w:p w14:paraId="2AA8C481"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Finalmente, y producto de la reciente reglamentación de la Ley de Financiamiento Productivo N° 27.440 dispuesta por Decreto N° 382/2019, mencionamos que el mismo aclara que no se aplican cambios respecto de las ganancias producto de la enajenación de los Certificados de Participación o en concepto de intereses por la tenencia de los Títulos de Deuda emitidos por los Fideicomisos que gozan de los beneficios dispuestos por la mencionada Ley, aplicando de esta forma las disposiciones vigentes que mencionaremos a continuación.</w:t>
      </w:r>
    </w:p>
    <w:p w14:paraId="73D34744" w14:textId="77777777" w:rsidR="00015892" w:rsidRPr="00506990" w:rsidRDefault="00015892" w:rsidP="00015892">
      <w:pPr>
        <w:rPr>
          <w:rFonts w:ascii="Times New Roman" w:eastAsia="Times New Roman" w:hAnsi="Times New Roman" w:cs="Times New Roman"/>
          <w:sz w:val="22"/>
          <w:szCs w:val="22"/>
          <w:lang w:val="es-AR"/>
        </w:rPr>
      </w:pPr>
    </w:p>
    <w:p w14:paraId="0B620101"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humanas residentes</w:t>
      </w:r>
    </w:p>
    <w:p w14:paraId="49CD3C3C" w14:textId="77777777" w:rsidR="00015892" w:rsidRPr="00506990" w:rsidRDefault="00015892" w:rsidP="00015892">
      <w:pPr>
        <w:rPr>
          <w:rFonts w:ascii="Times New Roman" w:eastAsia="Times New Roman" w:hAnsi="Times New Roman" w:cs="Times New Roman"/>
          <w:sz w:val="22"/>
          <w:szCs w:val="22"/>
          <w:lang w:val="es-AR"/>
        </w:rPr>
      </w:pPr>
    </w:p>
    <w:p w14:paraId="618C9E77" w14:textId="77777777" w:rsidR="00015892" w:rsidRPr="00506990" w:rsidRDefault="00015892" w:rsidP="00AE4331">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La Ley N</w:t>
      </w:r>
      <w:r w:rsidRPr="00506990">
        <w:rPr>
          <w:rFonts w:ascii="Times New Roman" w:eastAsia="MingLiU-ExtB" w:hAnsi="Times New Roman" w:cs="Times New Roman"/>
          <w:sz w:val="22"/>
          <w:szCs w:val="22"/>
          <w:lang w:val="es-AR"/>
        </w:rPr>
        <w:t xml:space="preserve">º 27.430, publicada en el Boletín Oficial el 29/12/2017 introdujo modificaciones a la Ley del Impuesto a las Ganancias (“LIG”). A través de su artículo 63 se incorporó </w:t>
      </w:r>
      <w:r w:rsidRPr="00506990">
        <w:rPr>
          <w:rFonts w:ascii="Times New Roman" w:eastAsia="Times New Roman" w:hAnsi="Times New Roman" w:cs="Times New Roman"/>
          <w:sz w:val="22"/>
          <w:szCs w:val="22"/>
          <w:lang w:val="es-AR"/>
        </w:rPr>
        <w:t>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o un beneficiario del exterior, según el caso. En ese contexto, se detallan en forma pormenorizada los distintos rendimientos y resultados, la forma de establecer los mismos y las alícuotas aplicables.</w:t>
      </w:r>
    </w:p>
    <w:p w14:paraId="6AA81ECF" w14:textId="77777777" w:rsidR="00015892" w:rsidRPr="00506990" w:rsidRDefault="00015892">
      <w:pPr>
        <w:rPr>
          <w:rFonts w:ascii="Times New Roman" w:eastAsia="Times New Roman" w:hAnsi="Times New Roman" w:cs="Times New Roman"/>
          <w:sz w:val="22"/>
          <w:szCs w:val="22"/>
          <w:lang w:val="es-AR"/>
        </w:rPr>
      </w:pPr>
    </w:p>
    <w:p w14:paraId="4EB2D466" w14:textId="77777777" w:rsidR="00015892" w:rsidRPr="00506990" w:rsidRDefault="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las personas humanas residentes el impuesto se determinará aplicando una tasa del 5% (cinco por ciento) sobre el total de los intereses percibidos en pesos sin cláusulas de ajuste, la cual se elevará al 15%  si el título es emitido en pesos con cláusula de ajustes o en moneda extranjera</w:t>
      </w:r>
    </w:p>
    <w:p w14:paraId="3D8B27CB" w14:textId="77777777" w:rsidR="00015892" w:rsidRPr="00506990" w:rsidRDefault="00015892">
      <w:pPr>
        <w:rPr>
          <w:rFonts w:ascii="Times New Roman" w:eastAsia="Times New Roman" w:hAnsi="Times New Roman" w:cs="Times New Roman"/>
          <w:sz w:val="22"/>
          <w:szCs w:val="22"/>
          <w:lang w:val="es-AR"/>
        </w:rPr>
      </w:pPr>
    </w:p>
    <w:p w14:paraId="1E826F50" w14:textId="432C0F27" w:rsidR="00015892" w:rsidRPr="00506990" w:rsidRDefault="00015892" w:rsidP="004619DF">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Cuando las personas humanas residentes, obtengan las ganancias de fuente argentina provenientes de intereses y la enajenación de ciertos títulos valores, podrán computar una deducción especial en la determinación del impuesto por un monto equivalente al “mínimo no imponible” que se establezca en cada ejercicio fiscal (para el período fiscal 201</w:t>
      </w:r>
      <w:r w:rsidR="004619DF" w:rsidRPr="00506990">
        <w:rPr>
          <w:rFonts w:ascii="Times New Roman" w:eastAsia="Times New Roman" w:hAnsi="Times New Roman" w:cs="Times New Roman"/>
          <w:sz w:val="22"/>
          <w:szCs w:val="22"/>
          <w:lang w:val="es-AR"/>
        </w:rPr>
        <w:t>9</w:t>
      </w:r>
      <w:r w:rsidRPr="00506990">
        <w:rPr>
          <w:rFonts w:ascii="Times New Roman" w:eastAsia="Times New Roman" w:hAnsi="Times New Roman" w:cs="Times New Roman"/>
          <w:sz w:val="22"/>
          <w:szCs w:val="22"/>
          <w:lang w:val="es-AR"/>
        </w:rPr>
        <w:t xml:space="preserve"> asciende a</w:t>
      </w:r>
      <w:r w:rsidR="004619DF" w:rsidRPr="00506990">
        <w:rPr>
          <w:rFonts w:ascii="Times New Roman" w:eastAsia="Times New Roman" w:hAnsi="Times New Roman" w:cs="Times New Roman"/>
          <w:sz w:val="22"/>
          <w:szCs w:val="22"/>
          <w:lang w:val="es-AR"/>
        </w:rPr>
        <w:t>$103.018,79 producto de las modificaciones realizadas por Decreto N° 561/2019 y Resolución General N° 4546/2019</w:t>
      </w:r>
      <w:r w:rsidRPr="00506990">
        <w:rPr>
          <w:rFonts w:ascii="Times New Roman" w:eastAsia="Times New Roman" w:hAnsi="Times New Roman" w:cs="Times New Roman"/>
          <w:sz w:val="22"/>
          <w:szCs w:val="22"/>
          <w:lang w:val="es-AR"/>
        </w:rPr>
        <w:t>) que se proporcionará de acuerdo a la renta atribuible a cada uno de aquellos conceptos. La alícuota aludida se aplicará sobre la diferencia entre los resultados financieros gravados y el mínimo aludido.</w:t>
      </w:r>
    </w:p>
    <w:p w14:paraId="0CF51E5E" w14:textId="77777777" w:rsidR="00015892" w:rsidRPr="00506990" w:rsidRDefault="00015892">
      <w:pPr>
        <w:rPr>
          <w:rFonts w:ascii="Times New Roman" w:eastAsia="Times New Roman" w:hAnsi="Times New Roman" w:cs="Times New Roman"/>
          <w:sz w:val="22"/>
          <w:szCs w:val="22"/>
          <w:lang w:val="es-AR"/>
        </w:rPr>
      </w:pPr>
    </w:p>
    <w:p w14:paraId="723F4B14" w14:textId="3EC692DE" w:rsidR="00015892" w:rsidRDefault="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Ciertos aspectos del “impuesto cedular” fueron reglamentados por el Decreto 1170/2018, no obstante a la fecha aún se encuentra pendiente de reglamentar por la Administración Federal de Ingresos Públicos las cuestiones formales de presentación y pago del mencionado tributo. </w:t>
      </w:r>
    </w:p>
    <w:p w14:paraId="0682E606"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Sin perjuicio de lo expuesto cabe destacar que recientemente, el artículo 33 de la Ley N° 27.541 (B.O. 23/12/2019) dispuso sustituir el inciso h) del articulo 26 de la Ley del Impuesto a las Ganancias (t.o. 2019), por lo que conforme al texto actualmente vigente dicha exención alcanza (i) los intereses originados por depósitos efectuados en caja de ahorro, cuentas especiales de ahorro, a plazo fijo en moneda nacional y los depósitos de terceros u otras formas de captación de fondos del publico conforme lo determine el B.C.R.A., siempre que los mismos sean realizados en instituciones sujetas al régimen legal de entidades financieras normado por la Ley N° 21.526 y excluyendo a los intereses provenientes de depósitos con clausula de ajuste, en tanto que (ii) a efectos de la exención de que se trata se ha restablecido la vigencia -entre otras normas- del inciso b) del articulo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w:t>
      </w:r>
    </w:p>
    <w:p w14:paraId="66BF38AA" w14:textId="77777777" w:rsidR="006B4159" w:rsidRPr="008E789E" w:rsidRDefault="006B4159" w:rsidP="006B4159">
      <w:pPr>
        <w:rPr>
          <w:rFonts w:ascii="Times New Roman" w:hAnsi="Times New Roman" w:cs="Times New Roman"/>
          <w:sz w:val="22"/>
          <w:szCs w:val="22"/>
        </w:rPr>
      </w:pPr>
    </w:p>
    <w:p w14:paraId="50EDAC58"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Por otra parte, el articulo 32 de la Ley N° 27.541 ha derogado el artículo 95 de la Ley del Impuesto a las Ganancias (t.o. 2019) -ver arriba para mayores detalles- así como el artículo 96 de la misma norma, en ambos casos a partir del periodo fiscal 2020, por lo que a partir de dicho momento queda sin efecto el “Impuesto Cedular” en cuanto se refiere al rendimiento producto de las colocaciones de capital en Valores Representativos de Deuda, entre otros activos, ello sin perjuicio de la exención referida en el párrafo anterior.</w:t>
      </w:r>
    </w:p>
    <w:p w14:paraId="05F797B0" w14:textId="77777777" w:rsidR="006B4159" w:rsidRPr="006E1DEB" w:rsidRDefault="006B4159">
      <w:pPr>
        <w:rPr>
          <w:rFonts w:ascii="Times New Roman" w:eastAsia="Times New Roman" w:hAnsi="Times New Roman" w:cs="Times New Roman"/>
          <w:sz w:val="22"/>
          <w:szCs w:val="22"/>
        </w:rPr>
      </w:pPr>
    </w:p>
    <w:p w14:paraId="586F8EE5" w14:textId="77777777" w:rsidR="00AE4331" w:rsidRPr="00506990" w:rsidRDefault="00AE4331">
      <w:pPr>
        <w:rPr>
          <w:rFonts w:ascii="Times New Roman" w:eastAsia="Times New Roman" w:hAnsi="Times New Roman" w:cs="Times New Roman"/>
          <w:i/>
          <w:iCs/>
          <w:sz w:val="22"/>
          <w:szCs w:val="22"/>
          <w:lang w:val="es-AR"/>
        </w:rPr>
      </w:pPr>
    </w:p>
    <w:p w14:paraId="013045E4" w14:textId="77777777" w:rsidR="00015892" w:rsidRPr="00506990" w:rsidRDefault="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jurídicas residentes</w:t>
      </w:r>
    </w:p>
    <w:p w14:paraId="33F5E69D" w14:textId="77777777" w:rsidR="00015892" w:rsidRPr="00506990" w:rsidRDefault="00015892">
      <w:pPr>
        <w:rPr>
          <w:rFonts w:ascii="Times New Roman" w:eastAsia="Times New Roman" w:hAnsi="Times New Roman" w:cs="Times New Roman"/>
          <w:sz w:val="22"/>
          <w:szCs w:val="22"/>
          <w:lang w:val="es-AR"/>
        </w:rPr>
      </w:pPr>
    </w:p>
    <w:p w14:paraId="7B9CE402" w14:textId="19A91771" w:rsidR="00015892" w:rsidRPr="00506990" w:rsidRDefault="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Respecto a personas jurídicas, los rendimientos quedarán alcanzados a las siguientes tasas dispuestas por la Ley 27.430: Ejercicios iniciados a partir del 1 de enero de 2018 y hasta el 31 de diciembre de </w:t>
      </w:r>
      <w:r w:rsidR="006B4159" w:rsidRPr="00506990">
        <w:rPr>
          <w:rFonts w:ascii="Times New Roman" w:eastAsia="Times New Roman" w:hAnsi="Times New Roman" w:cs="Times New Roman"/>
          <w:sz w:val="22"/>
          <w:szCs w:val="22"/>
          <w:lang w:val="es-AR"/>
        </w:rPr>
        <w:t>20</w:t>
      </w:r>
      <w:r w:rsidR="006B4159">
        <w:rPr>
          <w:rFonts w:ascii="Times New Roman" w:eastAsia="Times New Roman" w:hAnsi="Times New Roman" w:cs="Times New Roman"/>
          <w:sz w:val="22"/>
          <w:szCs w:val="22"/>
          <w:lang w:val="es-AR"/>
        </w:rPr>
        <w:t>20</w:t>
      </w:r>
      <w:r w:rsidRPr="00506990">
        <w:rPr>
          <w:rFonts w:ascii="Times New Roman" w:eastAsia="Times New Roman" w:hAnsi="Times New Roman" w:cs="Times New Roman"/>
          <w:sz w:val="22"/>
          <w:szCs w:val="22"/>
          <w:lang w:val="es-AR"/>
        </w:rPr>
        <w:t xml:space="preserve">, inclusive: 30% y para ejercicios que se inicien a partir del 1 de enero de </w:t>
      </w:r>
      <w:r w:rsidR="006B4159" w:rsidRPr="00506990">
        <w:rPr>
          <w:rFonts w:ascii="Times New Roman" w:eastAsia="Times New Roman" w:hAnsi="Times New Roman" w:cs="Times New Roman"/>
          <w:sz w:val="22"/>
          <w:szCs w:val="22"/>
          <w:lang w:val="es-AR"/>
        </w:rPr>
        <w:t>20</w:t>
      </w:r>
      <w:r w:rsidR="006B4159">
        <w:rPr>
          <w:rFonts w:ascii="Times New Roman" w:eastAsia="Times New Roman" w:hAnsi="Times New Roman" w:cs="Times New Roman"/>
          <w:sz w:val="22"/>
          <w:szCs w:val="22"/>
          <w:lang w:val="es-AR"/>
        </w:rPr>
        <w:t>21</w:t>
      </w:r>
      <w:r w:rsidRPr="00506990">
        <w:rPr>
          <w:rFonts w:ascii="Times New Roman" w:eastAsia="Times New Roman" w:hAnsi="Times New Roman" w:cs="Times New Roman"/>
          <w:sz w:val="22"/>
          <w:szCs w:val="22"/>
          <w:lang w:val="es-AR"/>
        </w:rPr>
        <w:t>: 25%</w:t>
      </w:r>
      <w:r w:rsidR="006B4159">
        <w:rPr>
          <w:rFonts w:ascii="Times New Roman" w:eastAsia="Times New Roman" w:hAnsi="Times New Roman" w:cs="Times New Roman"/>
          <w:sz w:val="22"/>
          <w:szCs w:val="22"/>
          <w:lang w:val="es-AR"/>
        </w:rPr>
        <w:t xml:space="preserve"> </w:t>
      </w:r>
      <w:r w:rsidR="006B4159" w:rsidRPr="008E789E">
        <w:rPr>
          <w:rFonts w:ascii="Times New Roman" w:eastAsia="Times New Roman" w:hAnsi="Times New Roman" w:cs="Times New Roman"/>
          <w:sz w:val="22"/>
          <w:szCs w:val="22"/>
          <w:lang w:val="es-AR"/>
        </w:rPr>
        <w:t>(modificación introducida por el artículo 48° de la Ley 27.541).</w:t>
      </w:r>
    </w:p>
    <w:p w14:paraId="4CE4174D" w14:textId="77777777" w:rsidR="00015892" w:rsidRPr="00506990" w:rsidRDefault="00015892" w:rsidP="00015892">
      <w:pPr>
        <w:rPr>
          <w:rFonts w:ascii="Times New Roman" w:eastAsia="Times New Roman" w:hAnsi="Times New Roman" w:cs="Times New Roman"/>
          <w:sz w:val="22"/>
          <w:szCs w:val="22"/>
          <w:lang w:val="es-AR"/>
        </w:rPr>
      </w:pPr>
    </w:p>
    <w:p w14:paraId="655EBCDD"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Beneficiarios del exterior (personas humanas o jurídicas no residentes)</w:t>
      </w:r>
    </w:p>
    <w:p w14:paraId="7E804698" w14:textId="77777777" w:rsidR="00015892" w:rsidRPr="00506990" w:rsidRDefault="00015892" w:rsidP="00015892">
      <w:pPr>
        <w:rPr>
          <w:rFonts w:ascii="Times New Roman" w:eastAsia="Times New Roman" w:hAnsi="Times New Roman" w:cs="Times New Roman"/>
          <w:sz w:val="22"/>
          <w:szCs w:val="22"/>
          <w:lang w:val="es-AR"/>
        </w:rPr>
      </w:pPr>
    </w:p>
    <w:p w14:paraId="1A212D08" w14:textId="06F50CBE" w:rsidR="00015892" w:rsidRPr="00506990" w:rsidRDefault="00015892" w:rsidP="00015892">
      <w:pPr>
        <w:rPr>
          <w:rFonts w:ascii="Times New Roman" w:eastAsia="Times New Roman" w:hAnsi="Times New Roman" w:cs="Times New Roman"/>
          <w:color w:val="000000"/>
          <w:sz w:val="22"/>
          <w:szCs w:val="22"/>
          <w:lang w:val="es-AR"/>
        </w:rPr>
      </w:pPr>
      <w:r w:rsidRPr="00506990">
        <w:rPr>
          <w:rFonts w:ascii="Times New Roman" w:eastAsia="Times New Roman" w:hAnsi="Times New Roman" w:cs="Times New Roman"/>
          <w:sz w:val="22"/>
          <w:szCs w:val="22"/>
          <w:lang w:val="es-AR"/>
        </w:rPr>
        <w:t xml:space="preserve">Se encuentran exentos del gravamen los intereses de títulos de deuda de fideicomisos financieros constituidos en el país conforme a las disposiciones del Código Civil y Comercial de la Nación, colocados por oferta pública, obtenidos por beneficiaros del exterior (según lo dispuesto por el cuarto párrafo del inciso w) del artículo </w:t>
      </w:r>
      <w:r w:rsidR="006B4159" w:rsidRPr="00506990">
        <w:rPr>
          <w:rFonts w:ascii="Times New Roman" w:eastAsia="Times New Roman" w:hAnsi="Times New Roman" w:cs="Times New Roman"/>
          <w:sz w:val="22"/>
          <w:szCs w:val="22"/>
          <w:lang w:val="es-AR"/>
        </w:rPr>
        <w:t>2</w:t>
      </w:r>
      <w:r w:rsidR="006B4159">
        <w:rPr>
          <w:rFonts w:ascii="Times New Roman" w:eastAsia="Times New Roman" w:hAnsi="Times New Roman" w:cs="Times New Roman"/>
          <w:sz w:val="22"/>
          <w:szCs w:val="22"/>
          <w:lang w:val="es-AR"/>
        </w:rPr>
        <w:t>6</w:t>
      </w:r>
      <w:r w:rsidR="006B4159" w:rsidRPr="00506990">
        <w:rPr>
          <w:rFonts w:ascii="Times New Roman" w:eastAsia="Times New Roman" w:hAnsi="Times New Roman" w:cs="Times New Roman"/>
          <w:sz w:val="22"/>
          <w:szCs w:val="22"/>
          <w:lang w:val="es-AR"/>
        </w:rPr>
        <w:t xml:space="preserve"> </w:t>
      </w:r>
      <w:r w:rsidRPr="00506990">
        <w:rPr>
          <w:rFonts w:ascii="Times New Roman" w:eastAsia="Times New Roman" w:hAnsi="Times New Roman" w:cs="Times New Roman"/>
          <w:sz w:val="22"/>
          <w:szCs w:val="22"/>
          <w:lang w:val="es-AR"/>
        </w:rPr>
        <w:t>de la LIG</w:t>
      </w:r>
      <w:r w:rsidR="006B4159">
        <w:rPr>
          <w:rFonts w:ascii="Times New Roman" w:eastAsia="Times New Roman" w:hAnsi="Times New Roman" w:cs="Times New Roman"/>
          <w:sz w:val="22"/>
          <w:szCs w:val="22"/>
          <w:lang w:val="es-AR"/>
        </w:rPr>
        <w:t xml:space="preserve"> t.o. 2019</w:t>
      </w:r>
      <w:r w:rsidRPr="00506990">
        <w:rPr>
          <w:rFonts w:ascii="Times New Roman" w:eastAsia="Times New Roman" w:hAnsi="Times New Roman" w:cs="Times New Roman"/>
          <w:sz w:val="22"/>
          <w:szCs w:val="22"/>
          <w:lang w:val="es-AR"/>
        </w:rPr>
        <w:t xml:space="preserve">). </w:t>
      </w:r>
      <w:r w:rsidRPr="00506990">
        <w:rPr>
          <w:rFonts w:ascii="Times New Roman" w:eastAsia="Times New Roman" w:hAnsi="Times New Roman" w:cs="Times New Roman"/>
          <w:color w:val="000000"/>
          <w:sz w:val="22"/>
          <w:szCs w:val="22"/>
          <w:lang w:val="es-AR"/>
        </w:rPr>
        <w:t xml:space="preserve">La exención será de aplicación en la medida en que tales beneficiarios no residan en jurisdicciones no cooperantes o los fondos invertidos no provengan de jurisdicciones no cooperantes. El concepto de “jurisdicción no cooperante” surge del artículo 15.2 de la LIG incorporado por el artículo 12 de la Ley 27.430 el cual expresa: “A todos los efectos previstos en esta ley, cualquier referencia efectuada a </w:t>
      </w:r>
      <w:r w:rsidRPr="00506990">
        <w:rPr>
          <w:rFonts w:ascii="Times New Roman" w:eastAsia="Times New Roman" w:hAnsi="Times New Roman" w:cs="Times New Roman"/>
          <w:i/>
          <w:iCs/>
          <w:color w:val="000000"/>
          <w:sz w:val="22"/>
          <w:szCs w:val="22"/>
          <w:lang w:val="es-AR"/>
        </w:rPr>
        <w:t>jurisdicciones no cooperantes</w:t>
      </w:r>
      <w:r w:rsidRPr="00506990">
        <w:rPr>
          <w:rFonts w:ascii="Times New Roman" w:eastAsia="Times New Roman" w:hAnsi="Times New Roman" w:cs="Times New Roman"/>
          <w:color w:val="000000"/>
          <w:sz w:val="22"/>
          <w:szCs w:val="22"/>
          <w:lang w:val="es-AR"/>
        </w:rPr>
        <w:t>, deberá entenderse referida a aquellos países o jurisdicciones que no tengan vigente con la República Argentina un acuerdo de intercambio de información en materia tributaria o un convenio para evitar la doble imposición internacional con cláusula amplia de intercambio de información. Asimismo, se considerarán como no cooperantes aquellos países que, teniendo vigente un acuerdo con los alcances definidos en el párrafo anterior, no cumplan efectivamente con el intercambio de información. El Poder Ejecutivo nacional elaborará un listado de las jurisdicciones no cooperantes con base en el criterio contenido en este artículo”.</w:t>
      </w:r>
    </w:p>
    <w:p w14:paraId="05C95078" w14:textId="77777777" w:rsidR="00015892" w:rsidRPr="00506990" w:rsidRDefault="00015892" w:rsidP="00015892">
      <w:pPr>
        <w:rPr>
          <w:rFonts w:ascii="Times New Roman" w:eastAsia="Times New Roman" w:hAnsi="Times New Roman" w:cs="Times New Roman"/>
          <w:color w:val="000000"/>
          <w:sz w:val="22"/>
          <w:szCs w:val="22"/>
          <w:lang w:val="es-AR"/>
        </w:rPr>
      </w:pPr>
    </w:p>
    <w:p w14:paraId="1720C6CA" w14:textId="3C68A236"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color w:val="000000"/>
          <w:sz w:val="22"/>
          <w:szCs w:val="22"/>
          <w:lang w:val="es-AR"/>
        </w:rPr>
        <w:t xml:space="preserve">Por medio del Decreto 279/18 (Boletín Oficial 09/04/18) el Poder Ejecutivo ha dispuesto que hasta tanto </w:t>
      </w:r>
      <w:r w:rsidRPr="00506990">
        <w:rPr>
          <w:rFonts w:ascii="Times New Roman" w:eastAsia="Times New Roman" w:hAnsi="Times New Roman" w:cs="Times New Roman"/>
          <w:sz w:val="22"/>
          <w:szCs w:val="22"/>
          <w:lang w:val="es-AR"/>
        </w:rPr>
        <w:t xml:space="preserve">se reglamente el  artículo 15.2 de la Ley de Impuesto a las Ganancias, para determinar si una jurisdicción es “cooperante” se verificará si está incluida en el listado vigente publicado por la ADMINISTRACIÓN FEDERAL DE INGRESOS PÚBLICOS en el marco del Decreto Nº 589 del 27 de mayo de 2013. El listado vigente puede consultarse en el link </w:t>
      </w:r>
      <w:hyperlink r:id="rId94" w:anchor="ver" w:history="1">
        <w:r w:rsidR="005219FA" w:rsidRPr="00506990">
          <w:rPr>
            <w:rStyle w:val="Hipervnculo"/>
            <w:rFonts w:ascii="Times New Roman" w:hAnsi="Times New Roman"/>
            <w:sz w:val="20"/>
            <w:szCs w:val="20"/>
          </w:rPr>
          <w:t>http://www.afip.gob.ar/jurisdiccionesCooperantes/#ver</w:t>
        </w:r>
      </w:hyperlink>
      <w:r w:rsidR="005219FA" w:rsidRPr="00506990">
        <w:rPr>
          <w:rFonts w:ascii="Times New Roman" w:hAnsi="Times New Roman" w:cs="Times New Roman"/>
          <w:sz w:val="20"/>
          <w:szCs w:val="20"/>
        </w:rPr>
        <w:t>.</w:t>
      </w:r>
    </w:p>
    <w:p w14:paraId="5F76F9E4" w14:textId="77777777" w:rsidR="00015892"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consecuencia deberán considerarse “no cooperantes” a aquellos países, dominios, jurisdicciones, territorios, estados asociados y regímenes tributarios, que no figuren en el listado.</w:t>
      </w:r>
    </w:p>
    <w:p w14:paraId="04A32349" w14:textId="77777777" w:rsidR="006B4159" w:rsidRPr="008E789E" w:rsidRDefault="006B4159" w:rsidP="006B4159">
      <w:pPr>
        <w:rPr>
          <w:rFonts w:ascii="Times New Roman" w:eastAsia="Times New Roman" w:hAnsi="Times New Roman" w:cs="Times New Roman"/>
          <w:sz w:val="22"/>
          <w:szCs w:val="22"/>
          <w:lang w:val="es-AR"/>
        </w:rPr>
      </w:pPr>
      <w:r w:rsidRPr="008E789E">
        <w:rPr>
          <w:rFonts w:ascii="Times New Roman" w:hAnsi="Times New Roman" w:cs="Times New Roman"/>
          <w:sz w:val="22"/>
          <w:szCs w:val="22"/>
        </w:rPr>
        <w:t>Adicionalmente, y conforme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Ganancias (t.o. 2019) ni en el artículo 106 de la Ley N° 11.683 (t.o. 1998), que restringen la aplicación de exenciones cuando se ello pudiere resultar una transferencia de ingresos a fiscos extranjeros.</w:t>
      </w:r>
    </w:p>
    <w:p w14:paraId="018D5EAC" w14:textId="77777777" w:rsidR="006B4159" w:rsidRPr="00506990" w:rsidRDefault="006B4159" w:rsidP="006B4159">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06A14BD7"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74E73179"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ES"/>
        </w:rPr>
      </w:pPr>
      <w:r w:rsidRPr="00506990">
        <w:rPr>
          <w:rFonts w:ascii="Times New Roman" w:eastAsia="Times New Roman" w:hAnsi="Times New Roman" w:cs="Times New Roman"/>
          <w:sz w:val="22"/>
          <w:szCs w:val="22"/>
          <w:u w:val="single"/>
          <w:lang w:val="es-ES"/>
        </w:rPr>
        <w:t>Resultados derivados de la compraventa de los Valores Fiduciarios.</w:t>
      </w:r>
    </w:p>
    <w:p w14:paraId="6461DBE7"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93E0AF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Los resultados provenientes de la compraventa de los títulos bajo análisis resultan gravados en el Impuesto a las Ganancias cuando el enajenante sea una persona humana o jurídica residente</w:t>
      </w:r>
    </w:p>
    <w:p w14:paraId="48BCE22E" w14:textId="77777777" w:rsidR="00A540D1" w:rsidRPr="00506990" w:rsidRDefault="00A540D1" w:rsidP="00D419D5">
      <w:pPr>
        <w:rPr>
          <w:rFonts w:ascii="Times New Roman" w:eastAsia="Times New Roman" w:hAnsi="Times New Roman" w:cs="Times New Roman"/>
          <w:sz w:val="22"/>
          <w:szCs w:val="22"/>
        </w:rPr>
      </w:pPr>
    </w:p>
    <w:p w14:paraId="0B37FBF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Finalmente, y producto de la reciente reglamentación de la Ley de Financiamiento Productivo N° 27.440 dispuesta por Decreto N° 382/2019, mencionamos que el mismo aclara que no se aplican cambios respecto de las ganancias producto de la enajenación de los Certificados de Participación o en concepto de intereses por la tenencia de los Títulos de Deuda emitidos por los Fideicomisos que gozan de los beneficios dispuestos por la mencionada Ley (ver A.1), aplicando de esta forma las disposiciones vigentes ya mencionadas.</w:t>
      </w:r>
    </w:p>
    <w:p w14:paraId="754632CC" w14:textId="77777777" w:rsidR="005219FA" w:rsidRPr="00506990" w:rsidRDefault="005219FA" w:rsidP="00D419D5">
      <w:pPr>
        <w:rPr>
          <w:rFonts w:ascii="Times New Roman" w:eastAsia="Times New Roman" w:hAnsi="Times New Roman" w:cs="Times New Roman"/>
          <w:sz w:val="22"/>
          <w:szCs w:val="22"/>
        </w:rPr>
      </w:pPr>
    </w:p>
    <w:p w14:paraId="7C370AE7"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66AA3F12"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humanas residentes</w:t>
      </w:r>
    </w:p>
    <w:p w14:paraId="2C4278D2"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0D21DD9E"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En el caso de las personas humanas residentes el impuesto se determinará de diferentes maneras atendiendo al tipo de valor fiduciario:</w:t>
      </w:r>
    </w:p>
    <w:p w14:paraId="673FBB41" w14:textId="77777777" w:rsidR="00015892" w:rsidRPr="00506990" w:rsidRDefault="00015892" w:rsidP="00015892">
      <w:pPr>
        <w:rPr>
          <w:rFonts w:ascii="Times New Roman" w:eastAsia="Times New Roman" w:hAnsi="Times New Roman" w:cs="Times New Roman"/>
          <w:sz w:val="22"/>
          <w:szCs w:val="22"/>
          <w:lang w:val="es-AR"/>
        </w:rPr>
      </w:pPr>
    </w:p>
    <w:p w14:paraId="12FFAA0C"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Títulos de Deuda:</w:t>
      </w:r>
      <w:r w:rsidRPr="00506990">
        <w:rPr>
          <w:rFonts w:ascii="Times New Roman" w:eastAsia="Times New Roman" w:hAnsi="Times New Roman" w:cs="Times New Roman"/>
          <w:sz w:val="22"/>
          <w:szCs w:val="22"/>
          <w:lang w:val="es-AR"/>
        </w:rPr>
        <w:t xml:space="preserve"> Aplicando una tasa del 5% (cinco por ciento) sobre la diferencia entre el precio de venta y el de suscripción original o compra. </w:t>
      </w:r>
    </w:p>
    <w:p w14:paraId="752B4461" w14:textId="77777777" w:rsidR="00015892" w:rsidRPr="00506990" w:rsidRDefault="00015892" w:rsidP="00015892">
      <w:pPr>
        <w:rPr>
          <w:rFonts w:ascii="Times New Roman" w:eastAsia="Times New Roman" w:hAnsi="Times New Roman" w:cs="Times New Roman"/>
          <w:sz w:val="22"/>
          <w:szCs w:val="22"/>
          <w:lang w:val="es-AR"/>
        </w:rPr>
      </w:pPr>
    </w:p>
    <w:p w14:paraId="17EB3C05" w14:textId="77777777" w:rsidR="00015892"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Certificados de Participación:</w:t>
      </w:r>
      <w:r w:rsidRPr="00506990">
        <w:rPr>
          <w:rFonts w:ascii="Times New Roman" w:eastAsia="Times New Roman" w:hAnsi="Times New Roman" w:cs="Times New Roman"/>
          <w:sz w:val="22"/>
          <w:szCs w:val="22"/>
          <w:lang w:val="es-AR"/>
        </w:rPr>
        <w:t xml:space="preserve"> Aplicando una tasa del 15% (quince por ciento) sobre la diferencia entre el precio de venta y el de suscripción original o compra actualizados por aplicación del </w:t>
      </w:r>
      <w:r w:rsidRPr="00506990">
        <w:rPr>
          <w:rFonts w:ascii="Times New Roman" w:eastAsia="Times New Roman" w:hAnsi="Times New Roman" w:cs="Times New Roman"/>
          <w:color w:val="000000"/>
          <w:sz w:val="22"/>
          <w:szCs w:val="22"/>
          <w:lang w:val="es-AR"/>
        </w:rPr>
        <w:t xml:space="preserve">Índice de Precios Internos al por Mayor (IPIM), desde la fecha de adquisición hasta la fecha de transferencia. </w:t>
      </w:r>
      <w:r w:rsidRPr="00506990">
        <w:rPr>
          <w:rFonts w:ascii="Times New Roman" w:eastAsia="Times New Roman" w:hAnsi="Times New Roman" w:cs="Times New Roman"/>
          <w:sz w:val="22"/>
          <w:szCs w:val="22"/>
          <w:lang w:val="es-AR"/>
        </w:rPr>
        <w:t>(Valores emitidos en pesos, sin cláusulas de ajuste)</w:t>
      </w:r>
    </w:p>
    <w:p w14:paraId="7DAA437F" w14:textId="77777777" w:rsidR="006B4159" w:rsidRDefault="006B4159" w:rsidP="00015892">
      <w:pPr>
        <w:rPr>
          <w:rFonts w:ascii="Times New Roman" w:eastAsia="Times New Roman" w:hAnsi="Times New Roman" w:cs="Times New Roman"/>
          <w:sz w:val="22"/>
          <w:szCs w:val="22"/>
          <w:lang w:val="es-AR"/>
        </w:rPr>
      </w:pPr>
    </w:p>
    <w:p w14:paraId="0934B9CD"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Sin perjuicio de lo expuesto, cabe destacar que conforme lo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w:t>
      </w:r>
    </w:p>
    <w:p w14:paraId="46C8ACB6" w14:textId="77777777" w:rsidR="006B4159" w:rsidRPr="008E789E" w:rsidRDefault="006B4159" w:rsidP="006B4159">
      <w:pPr>
        <w:rPr>
          <w:rFonts w:ascii="Times New Roman" w:hAnsi="Times New Roman" w:cs="Times New Roman"/>
          <w:sz w:val="22"/>
          <w:szCs w:val="22"/>
        </w:rPr>
      </w:pPr>
    </w:p>
    <w:p w14:paraId="1B96A7A6" w14:textId="77777777" w:rsidR="006B4159" w:rsidRPr="008E789E" w:rsidRDefault="006B4159" w:rsidP="006B4159">
      <w:pPr>
        <w:rPr>
          <w:rFonts w:ascii="Times New Roman" w:eastAsia="Times New Roman" w:hAnsi="Times New Roman" w:cs="Times New Roman"/>
          <w:sz w:val="22"/>
          <w:szCs w:val="22"/>
          <w:lang w:val="es-AR"/>
        </w:rPr>
      </w:pPr>
      <w:r w:rsidRPr="008E789E">
        <w:rPr>
          <w:rFonts w:ascii="Times New Roman" w:hAnsi="Times New Roman" w:cs="Times New Roman"/>
          <w:sz w:val="22"/>
          <w:szCs w:val="22"/>
        </w:rPr>
        <w:t>Adicionalmente, el artículo 34 de la Ley N° 27.541 ha incorporado con efecto a partir del período fiscal 2020, un último párrafo al inciso u) del artículo 26 de la Ley del Impuesto a las Ganancias (t.o. 2019) que exime a las personas humanas residentes y sucesiones indivisas radicadas en el país de los resultados provenientes de operaciones de compraventa, cambio, permuta o disposición de los valores alcanzados por el artículo 98 de la Ley del Impuesto a las Ganancias (t.o. 2019) que no se encuentran comprendidos en el primer párrafo del inciso u) del artículo 26 de la ley del gravamen (por lo que el beneficio comprendería tanto a los valores representativos de deuda como a los certificados de participación), ello en la medida en que coticen en bolas o mercados de valores autorizados por la CNV.</w:t>
      </w:r>
    </w:p>
    <w:p w14:paraId="27692ECA" w14:textId="77777777" w:rsidR="006B4159" w:rsidRPr="00506990" w:rsidRDefault="006B4159" w:rsidP="00015892">
      <w:pPr>
        <w:rPr>
          <w:rFonts w:ascii="Times New Roman" w:eastAsia="Times New Roman" w:hAnsi="Times New Roman" w:cs="Times New Roman"/>
          <w:sz w:val="22"/>
          <w:szCs w:val="22"/>
          <w:lang w:val="es-AR"/>
        </w:rPr>
      </w:pPr>
    </w:p>
    <w:p w14:paraId="366A4C2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26F95BAD" w14:textId="77777777" w:rsidR="00015892" w:rsidRPr="00506990" w:rsidRDefault="00015892" w:rsidP="00015892">
      <w:pPr>
        <w:tabs>
          <w:tab w:val="center" w:pos="4252"/>
          <w:tab w:val="right" w:pos="8504"/>
        </w:tabs>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Personas jurídicas residentes</w:t>
      </w:r>
    </w:p>
    <w:p w14:paraId="473EC2F4" w14:textId="77777777" w:rsidR="00015892" w:rsidRPr="00506990" w:rsidRDefault="00015892" w:rsidP="00015892">
      <w:pPr>
        <w:rPr>
          <w:rFonts w:ascii="Times New Roman" w:eastAsia="Times New Roman" w:hAnsi="Times New Roman" w:cs="Times New Roman"/>
          <w:sz w:val="22"/>
          <w:szCs w:val="22"/>
          <w:lang w:val="es-AR"/>
        </w:rPr>
      </w:pPr>
    </w:p>
    <w:p w14:paraId="4DC9F2F1" w14:textId="46D0406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Respecto a personas jurídicas, los resultados de las enajenaciones de los Valores Fiduciarios quedarán alcanzados a las siguientes tasas dispuestas por la Ley 27.430: Ejercicios iniciados a partir del 1 de enero de 2018 y hasta el 31 de diciembre de </w:t>
      </w:r>
      <w:r w:rsidR="006B4159" w:rsidRPr="00506990">
        <w:rPr>
          <w:rFonts w:ascii="Times New Roman" w:eastAsia="Times New Roman" w:hAnsi="Times New Roman" w:cs="Times New Roman"/>
          <w:sz w:val="22"/>
          <w:szCs w:val="22"/>
          <w:lang w:val="es-AR"/>
        </w:rPr>
        <w:t>20</w:t>
      </w:r>
      <w:r w:rsidR="006B4159">
        <w:rPr>
          <w:rFonts w:ascii="Times New Roman" w:eastAsia="Times New Roman" w:hAnsi="Times New Roman" w:cs="Times New Roman"/>
          <w:sz w:val="22"/>
          <w:szCs w:val="22"/>
          <w:lang w:val="es-AR"/>
        </w:rPr>
        <w:t>20</w:t>
      </w:r>
      <w:r w:rsidRPr="00506990">
        <w:rPr>
          <w:rFonts w:ascii="Times New Roman" w:eastAsia="Times New Roman" w:hAnsi="Times New Roman" w:cs="Times New Roman"/>
          <w:sz w:val="22"/>
          <w:szCs w:val="22"/>
          <w:lang w:val="es-AR"/>
        </w:rPr>
        <w:t xml:space="preserve">, inclusive: 30% y para ejercicios que se inicien a partir del 1 de enero de </w:t>
      </w:r>
      <w:r w:rsidR="006B4159" w:rsidRPr="00506990">
        <w:rPr>
          <w:rFonts w:ascii="Times New Roman" w:eastAsia="Times New Roman" w:hAnsi="Times New Roman" w:cs="Times New Roman"/>
          <w:sz w:val="22"/>
          <w:szCs w:val="22"/>
          <w:lang w:val="es-AR"/>
        </w:rPr>
        <w:t>202</w:t>
      </w:r>
      <w:r w:rsidR="006B4159">
        <w:rPr>
          <w:rFonts w:ascii="Times New Roman" w:eastAsia="Times New Roman" w:hAnsi="Times New Roman" w:cs="Times New Roman"/>
          <w:sz w:val="22"/>
          <w:szCs w:val="22"/>
          <w:lang w:val="es-AR"/>
        </w:rPr>
        <w:t>1</w:t>
      </w:r>
      <w:r w:rsidRPr="00506990">
        <w:rPr>
          <w:rFonts w:ascii="Times New Roman" w:eastAsia="Times New Roman" w:hAnsi="Times New Roman" w:cs="Times New Roman"/>
          <w:sz w:val="22"/>
          <w:szCs w:val="22"/>
          <w:lang w:val="es-AR"/>
        </w:rPr>
        <w:t>: 25%</w:t>
      </w:r>
      <w:r w:rsidR="006B4159">
        <w:rPr>
          <w:rFonts w:ascii="Times New Roman" w:eastAsia="Times New Roman" w:hAnsi="Times New Roman" w:cs="Times New Roman"/>
          <w:sz w:val="22"/>
          <w:szCs w:val="22"/>
          <w:lang w:val="es-AR"/>
        </w:rPr>
        <w:t xml:space="preserve"> </w:t>
      </w:r>
      <w:r w:rsidR="006B4159" w:rsidRPr="008E789E">
        <w:rPr>
          <w:rFonts w:ascii="Times New Roman" w:eastAsia="Times New Roman" w:hAnsi="Times New Roman" w:cs="Times New Roman"/>
          <w:sz w:val="22"/>
          <w:szCs w:val="22"/>
          <w:lang w:val="es-AR"/>
        </w:rPr>
        <w:t>conforme la modificación introducida por la Ley 27.541, la cual a través de su artículo 48° suspendió la entrada en vigencia de la aplicación el a alícuota del 25% en los ejercicios iniciados a partir del 01/01/2019.-</w:t>
      </w:r>
    </w:p>
    <w:p w14:paraId="5779DB65" w14:textId="77777777" w:rsidR="00015892" w:rsidRPr="00506990" w:rsidRDefault="00015892" w:rsidP="00015892">
      <w:pPr>
        <w:rPr>
          <w:rFonts w:ascii="Times New Roman" w:eastAsia="Times New Roman" w:hAnsi="Times New Roman" w:cs="Times New Roman"/>
          <w:i/>
          <w:iCs/>
          <w:sz w:val="22"/>
          <w:szCs w:val="22"/>
          <w:lang w:val="es-AR"/>
        </w:rPr>
      </w:pPr>
    </w:p>
    <w:p w14:paraId="78E29558" w14:textId="77777777" w:rsidR="00015892" w:rsidRPr="00506990" w:rsidRDefault="00015892" w:rsidP="00015892">
      <w:pPr>
        <w:rPr>
          <w:rFonts w:ascii="Times New Roman" w:eastAsia="Times New Roman" w:hAnsi="Times New Roman" w:cs="Times New Roman"/>
          <w:i/>
          <w:iCs/>
          <w:sz w:val="22"/>
          <w:szCs w:val="22"/>
          <w:lang w:val="es-AR"/>
        </w:rPr>
      </w:pPr>
      <w:r w:rsidRPr="00506990">
        <w:rPr>
          <w:rFonts w:ascii="Times New Roman" w:eastAsia="Times New Roman" w:hAnsi="Times New Roman" w:cs="Times New Roman"/>
          <w:i/>
          <w:iCs/>
          <w:sz w:val="22"/>
          <w:szCs w:val="22"/>
          <w:lang w:val="es-AR"/>
        </w:rPr>
        <w:t>Beneficiarios del exterior (personas humanas o jurídicas no residentes)</w:t>
      </w:r>
    </w:p>
    <w:p w14:paraId="27884123" w14:textId="77777777" w:rsidR="00015892" w:rsidRPr="00506990" w:rsidRDefault="00015892" w:rsidP="00015892">
      <w:pPr>
        <w:rPr>
          <w:rFonts w:ascii="Times New Roman" w:eastAsia="Times New Roman" w:hAnsi="Times New Roman" w:cs="Times New Roman"/>
          <w:sz w:val="22"/>
          <w:szCs w:val="22"/>
          <w:lang w:val="es-AR"/>
        </w:rPr>
      </w:pPr>
    </w:p>
    <w:p w14:paraId="3137B268"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El resultado de la enajenación de Títulos de Deuda se encuentra exento del impuesto a las ganancias en función de lo expuesto respecto al tratamiento de los intereses de dichos títulos.</w:t>
      </w:r>
    </w:p>
    <w:p w14:paraId="40C41FB1" w14:textId="77777777" w:rsidR="00015892" w:rsidRPr="00506990" w:rsidRDefault="00015892" w:rsidP="00015892">
      <w:pPr>
        <w:rPr>
          <w:rFonts w:ascii="Times New Roman" w:eastAsia="Times New Roman" w:hAnsi="Times New Roman" w:cs="Times New Roman"/>
          <w:sz w:val="22"/>
          <w:szCs w:val="22"/>
          <w:highlight w:val="yellow"/>
          <w:lang w:val="es-AR"/>
        </w:rPr>
      </w:pPr>
    </w:p>
    <w:p w14:paraId="3F008FF5"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En cuanto al resultado de la enajenación de Certificados de Participación el mismo quedará sometido el impuesto, aplicando la tasa del 15% </w:t>
      </w:r>
      <w:r w:rsidRPr="00506990">
        <w:rPr>
          <w:rFonts w:ascii="Times New Roman" w:eastAsia="Times New Roman" w:hAnsi="Times New Roman" w:cs="Times New Roman"/>
          <w:color w:val="000000"/>
          <w:sz w:val="22"/>
          <w:szCs w:val="22"/>
          <w:lang w:val="es-AR"/>
        </w:rPr>
        <w:t xml:space="preserve"> </w:t>
      </w:r>
      <w:r w:rsidRPr="00506990">
        <w:rPr>
          <w:rFonts w:ascii="Times New Roman" w:eastAsia="Times New Roman" w:hAnsi="Times New Roman" w:cs="Times New Roman"/>
          <w:color w:val="0D0D0D"/>
          <w:spacing w:val="-5"/>
          <w:sz w:val="22"/>
          <w:szCs w:val="22"/>
          <w:lang w:val="es-AR"/>
        </w:rPr>
        <w:t>(cuarto artículo incorporado a continuación del artículo 90 LIG por el artículo 63 de la Ley 27.430, inc. c). Para determinar el resultado, se podrá optar por la aplicación de la alícuota del 15% directamente sobre el 90% de las sumas abonadas (art. 93, inc. h, de la LIG) o el precio de venta menos costo actualizado.</w:t>
      </w:r>
    </w:p>
    <w:p w14:paraId="139F8EDC" w14:textId="77777777" w:rsidR="00015892" w:rsidRPr="00506990" w:rsidRDefault="00015892" w:rsidP="00015892">
      <w:pPr>
        <w:rPr>
          <w:rFonts w:ascii="Times New Roman" w:eastAsia="Times New Roman" w:hAnsi="Times New Roman" w:cs="Times New Roman"/>
          <w:sz w:val="22"/>
          <w:szCs w:val="22"/>
          <w:lang w:val="es-AR"/>
        </w:rPr>
      </w:pPr>
    </w:p>
    <w:p w14:paraId="6B385421"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A través de la RG Nº 4227, la Administración Federal de Ingresos Públicos  estableció un régimen de retención del impuesto a las Ganancias aplicable –entre otras operatorias- a la enajenación de ciertos valores, entre ellos los Certificados de Participación, mediante el cual, deberá actuar como agente de retención el adquirente de los CP en tanto se trate de un sujeto residente en Argentina, determinando la base sujeta al gravamen y la alícuota aplicable según lo indicado en el párrafo precedente. Si el adquirente fuese un  residente en el exterior, la determinación e ingreso del impuesto estará a cargo del representante legal domiciliado en Argentina del beneficiario del exterior. De no poseer un representante legal en el país, dicho ingreso deberá ser efectuado por el propio beneficiario del exterior mediante transferencia bancaria internacional en Dólares Estadounidenses o en Euros.  La resolución citada contiene las formas, plazos y demás condiciones para el ingreso de las sumas retenidas y/los ingresos directos del impuesto.</w:t>
      </w:r>
    </w:p>
    <w:p w14:paraId="6B005765" w14:textId="77777777" w:rsidR="00015892" w:rsidRDefault="00015892" w:rsidP="00015892">
      <w:pPr>
        <w:rPr>
          <w:rFonts w:ascii="Times New Roman" w:eastAsia="Times New Roman" w:hAnsi="Times New Roman" w:cs="Times New Roman"/>
          <w:sz w:val="22"/>
          <w:szCs w:val="22"/>
          <w:lang w:val="es-AR"/>
        </w:rPr>
      </w:pPr>
    </w:p>
    <w:p w14:paraId="59643AF7" w14:textId="77777777" w:rsidR="006B4159" w:rsidRPr="008E789E" w:rsidRDefault="006B4159" w:rsidP="006B4159">
      <w:pPr>
        <w:rPr>
          <w:rFonts w:ascii="Times New Roman" w:hAnsi="Times New Roman" w:cs="Times New Roman"/>
          <w:sz w:val="22"/>
          <w:szCs w:val="22"/>
        </w:rPr>
      </w:pPr>
      <w:r w:rsidRPr="008E789E">
        <w:rPr>
          <w:rFonts w:ascii="Times New Roman" w:hAnsi="Times New Roman" w:cs="Times New Roman"/>
          <w:sz w:val="22"/>
          <w:szCs w:val="22"/>
        </w:rPr>
        <w:t xml:space="preserve">Adicionalmente, el artículo 34 de la Ley N° 27.541 ha incorporado con efecto a partir del período fiscal 2020, un último párrafo al inciso u) del artículo 26 de la Ley del Impuesto a las Ganancias (t.o. 2019) que exime a los beneficiarios del exterior de los resultados provenientes de operaciones de compraventa, cambio, permuta o disposición de los valores no comprendidos en el cuarto párrafo del inciso referido (por lo que el beneficio comprendería a los certificados de participación), ello en la medida en que los mencionados beneficiarios no residan en jurisdicciones no cooperantes o los fondos invertidos no provengan de jurisdicciones no cooperantes. </w:t>
      </w:r>
    </w:p>
    <w:p w14:paraId="7536F20A" w14:textId="77777777" w:rsidR="006B4159" w:rsidRPr="008E789E" w:rsidRDefault="006B4159" w:rsidP="006B4159">
      <w:pPr>
        <w:rPr>
          <w:rFonts w:ascii="Times New Roman" w:hAnsi="Times New Roman" w:cs="Times New Roman"/>
          <w:sz w:val="22"/>
          <w:szCs w:val="22"/>
        </w:rPr>
      </w:pPr>
    </w:p>
    <w:p w14:paraId="57F06171" w14:textId="77777777" w:rsidR="006B4159" w:rsidRPr="008E789E" w:rsidRDefault="006B4159" w:rsidP="006B4159">
      <w:pPr>
        <w:rPr>
          <w:rFonts w:ascii="Times New Roman" w:eastAsia="Times New Roman" w:hAnsi="Times New Roman" w:cs="Times New Roman"/>
          <w:sz w:val="22"/>
          <w:szCs w:val="22"/>
          <w:lang w:val="es-AR"/>
        </w:rPr>
      </w:pPr>
      <w:r w:rsidRPr="008E789E">
        <w:rPr>
          <w:rFonts w:ascii="Times New Roman" w:hAnsi="Times New Roman" w:cs="Times New Roman"/>
          <w:sz w:val="22"/>
          <w:szCs w:val="22"/>
        </w:rPr>
        <w:t>Por su parte, cabe destacar que conforme lo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Ganancias (t.o. 2019) ni en el artículo 106 de la Ley N° 11.683 (t.o. 1998), que restringen la aplicación de exenciones cuando de ello pudiere resultar una transferencia de ingresos a fiscos extranjeros</w:t>
      </w:r>
    </w:p>
    <w:p w14:paraId="56DC382F" w14:textId="77777777" w:rsidR="006B4159" w:rsidRPr="00506990" w:rsidRDefault="006B4159" w:rsidP="00015892">
      <w:pPr>
        <w:rPr>
          <w:rFonts w:ascii="Times New Roman" w:eastAsia="Times New Roman" w:hAnsi="Times New Roman" w:cs="Times New Roman"/>
          <w:sz w:val="22"/>
          <w:szCs w:val="22"/>
          <w:lang w:val="es-AR"/>
        </w:rPr>
      </w:pPr>
    </w:p>
    <w:p w14:paraId="07259CA1" w14:textId="77777777" w:rsidR="00015892" w:rsidRPr="00506990" w:rsidRDefault="00015892" w:rsidP="00015892">
      <w:pPr>
        <w:rPr>
          <w:rFonts w:ascii="Times New Roman" w:eastAsia="Times New Roman" w:hAnsi="Times New Roman" w:cs="Times New Roman"/>
          <w:sz w:val="22"/>
          <w:szCs w:val="22"/>
          <w:lang w:val="es-AR"/>
        </w:rPr>
      </w:pPr>
    </w:p>
    <w:p w14:paraId="48F6855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ES"/>
        </w:rPr>
      </w:pPr>
      <w:r w:rsidRPr="00506990">
        <w:rPr>
          <w:rFonts w:ascii="Times New Roman" w:eastAsia="Times New Roman" w:hAnsi="Times New Roman" w:cs="Times New Roman"/>
          <w:sz w:val="22"/>
          <w:szCs w:val="22"/>
          <w:u w:val="single"/>
          <w:lang w:val="es-ES"/>
        </w:rPr>
        <w:t>Utilidades de los Certificados de Participación</w:t>
      </w:r>
    </w:p>
    <w:p w14:paraId="3466EF18" w14:textId="77777777" w:rsidR="00015892" w:rsidRPr="00506990" w:rsidRDefault="00015892" w:rsidP="00D419D5">
      <w:pPr>
        <w:rPr>
          <w:rFonts w:ascii="Times New Roman" w:eastAsia="Times New Roman" w:hAnsi="Times New Roman" w:cs="Times New Roman"/>
          <w:sz w:val="22"/>
          <w:szCs w:val="22"/>
        </w:rPr>
      </w:pPr>
    </w:p>
    <w:p w14:paraId="5C4D3FAC"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 partir de la publicación de la reforma de ley de Mercado de Capitales Ley N° 27.440 (B.O. 11/05/2018) con vigencia a partir de las utilidades generadas en los ejercicios iniciados a partir del 01/01/2018, los fideicomisos financieros que cuenten con oferta pública autorizada por la CNV y realicen inversiones ejecutadas en la República Argentina (rentas de fuente argentina), gozarán de la exención en el impuesto, debiendo el inversor perceptor de las ganancias que aquellos distribuyan incorporar dichas ganancias en su propia declaración jurada, no siendo de aplicación las retenciones a dividendos en carácter de pago único y definitivo estipuladas en el artículo 90.3 de la Ley del Tributo (retenciones del 7%, luego 13%).</w:t>
      </w:r>
    </w:p>
    <w:p w14:paraId="1A90916A" w14:textId="77777777" w:rsidR="005219FA" w:rsidRPr="00506990" w:rsidRDefault="005219FA" w:rsidP="00D419D5">
      <w:pPr>
        <w:rPr>
          <w:rFonts w:ascii="Times New Roman" w:eastAsia="Times New Roman" w:hAnsi="Times New Roman" w:cs="Times New Roman"/>
          <w:sz w:val="22"/>
          <w:szCs w:val="22"/>
        </w:rPr>
      </w:pPr>
    </w:p>
    <w:p w14:paraId="37274083"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De esta forma, serán los inversores receptores de las ganancias que distribuya el Fideicomiso quienes deberán incorporar dicha renta en sus Declaraciones Juradas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esta sea percibida en proporción de la participación que cada uno tuviere en el patrimonio y los resultados del fideicomiso a la fecha de distribución. La capitalización de utilidades mediante la entrega al inversor de certificados de participación implica asimismo la distribución y percepción, en su medida, de la ganancia</w:t>
      </w:r>
      <w:r w:rsidRPr="00506990">
        <w:rPr>
          <w:rStyle w:val="Refdenotaalpie"/>
          <w:rFonts w:ascii="Times New Roman" w:hAnsi="Times New Roman"/>
          <w:sz w:val="20"/>
          <w:szCs w:val="20"/>
        </w:rPr>
        <w:footnoteReference w:id="6"/>
      </w:r>
      <w:r w:rsidRPr="00506990">
        <w:rPr>
          <w:rFonts w:ascii="Times New Roman" w:eastAsia="Times New Roman" w:hAnsi="Times New Roman" w:cs="Times New Roman"/>
          <w:sz w:val="22"/>
          <w:szCs w:val="22"/>
        </w:rPr>
        <w:t>.</w:t>
      </w:r>
    </w:p>
    <w:p w14:paraId="77E2B37C" w14:textId="77777777" w:rsidR="005219FA" w:rsidRPr="00506990" w:rsidRDefault="005219FA" w:rsidP="00D419D5">
      <w:pPr>
        <w:rPr>
          <w:rFonts w:ascii="Times New Roman" w:eastAsia="Times New Roman" w:hAnsi="Times New Roman" w:cs="Times New Roman"/>
          <w:sz w:val="22"/>
          <w:szCs w:val="22"/>
        </w:rPr>
      </w:pPr>
    </w:p>
    <w:p w14:paraId="4F0C8A57"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La reglamentación por su parte aclara que los inversores no deberán incluir en la base imponible del impuesto, según corresponda, los siguientes conceptos: i) Valor Patrimonial Proporcional (VPP) o similares; Utilidades en la parte que se encuentren integradas por ganancias acumuladas generadas con anterioridad al 01/01/2018; iii) Utilidades que hubieran tributado el impuesto por parte del fideicomiso; y iv) Distribuciones de utilidades que hubieran sido capitalizadas, por las cuales ya hubiera tributado el inversor al momento de su capitalización.</w:t>
      </w:r>
    </w:p>
    <w:p w14:paraId="2F2413D5" w14:textId="77777777" w:rsidR="005219FA" w:rsidRPr="00506990" w:rsidRDefault="005219FA" w:rsidP="00D419D5">
      <w:pPr>
        <w:rPr>
          <w:rFonts w:ascii="Times New Roman" w:eastAsia="Times New Roman" w:hAnsi="Times New Roman" w:cs="Times New Roman"/>
          <w:sz w:val="22"/>
          <w:szCs w:val="22"/>
        </w:rPr>
      </w:pPr>
    </w:p>
    <w:p w14:paraId="16199F42"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6FFF6863" w14:textId="77777777" w:rsidR="005219FA" w:rsidRPr="00506990" w:rsidRDefault="005219FA" w:rsidP="00D419D5">
      <w:pPr>
        <w:rPr>
          <w:rFonts w:ascii="Times New Roman" w:eastAsia="Times New Roman" w:hAnsi="Times New Roman" w:cs="Times New Roman"/>
          <w:sz w:val="22"/>
          <w:szCs w:val="22"/>
        </w:rPr>
      </w:pPr>
    </w:p>
    <w:p w14:paraId="34548DC2"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Cuando las declaraciones juradas del impuesto por los ejercicios iniciados antes del 01/01/2018 del fideicomiso hubieran generado quebrantos que tuvieran su origen en ganancias de fuente argentina y que estuvieran pendientes de compensación, estos podrán ser computados en los periodos siguientes disminuyendo las ganancias a computar por los inversores.</w:t>
      </w:r>
    </w:p>
    <w:p w14:paraId="2ACF259E" w14:textId="77777777" w:rsidR="005219FA" w:rsidRPr="00506990" w:rsidRDefault="005219FA" w:rsidP="00D419D5">
      <w:pPr>
        <w:rPr>
          <w:rFonts w:ascii="Times New Roman" w:eastAsia="Times New Roman" w:hAnsi="Times New Roman" w:cs="Times New Roman"/>
          <w:sz w:val="22"/>
          <w:szCs w:val="22"/>
        </w:rPr>
      </w:pPr>
    </w:p>
    <w:p w14:paraId="67E2E594"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068E4E0A" w14:textId="77777777" w:rsidR="005219FA" w:rsidRPr="00506990" w:rsidRDefault="005219FA" w:rsidP="00D419D5">
      <w:pPr>
        <w:rPr>
          <w:rFonts w:ascii="Times New Roman" w:eastAsia="Times New Roman" w:hAnsi="Times New Roman" w:cs="Times New Roman"/>
          <w:sz w:val="22"/>
          <w:szCs w:val="22"/>
        </w:rPr>
      </w:pPr>
    </w:p>
    <w:p w14:paraId="1C547EFF"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Finalmente, y como norma de carácter transitorio, la reglamentación establece que en la primera distribución de utilidades que los inversores perciban por resultados provenientes a ejercicios iniciados a partir del 01/01/2018, el fideicomiso adicionará al informe de “Certificados de Resultados”, los datos relativos a: i) saldos a favor computables originados en pago de anticipos; y ii) los quebrantos que tuvieran su origen en ganancias de fuente argentina y que estuvieran pendientes de compensación. Asimismo, dispone que los inversores que hubieran presentado sus declaraciones juradas con anterioridad a la publicación de la reglamentación, podrán rectificar sus posiciones a fin de incorporar las rentas, pagos a cuenta y demás conceptos que correspondan a su participación en el fideicomiso hasta el 30/08/2019 inclusive.</w:t>
      </w:r>
    </w:p>
    <w:p w14:paraId="2E30089F" w14:textId="77777777" w:rsidR="005219FA" w:rsidRPr="00506990" w:rsidRDefault="005219FA" w:rsidP="00015892">
      <w:pPr>
        <w:rPr>
          <w:rFonts w:ascii="Times New Roman" w:eastAsia="Times New Roman" w:hAnsi="Times New Roman" w:cs="Times New Roman"/>
          <w:sz w:val="22"/>
          <w:szCs w:val="22"/>
        </w:rPr>
      </w:pPr>
    </w:p>
    <w:p w14:paraId="7D2EA1EF" w14:textId="77777777" w:rsidR="00015892" w:rsidRPr="00506990" w:rsidRDefault="00015892" w:rsidP="00015892">
      <w:pPr>
        <w:rPr>
          <w:rFonts w:ascii="Times New Roman" w:eastAsia="Times New Roman" w:hAnsi="Times New Roman" w:cs="Times New Roman"/>
          <w:sz w:val="22"/>
          <w:szCs w:val="22"/>
        </w:rPr>
      </w:pPr>
    </w:p>
    <w:p w14:paraId="0107427E" w14:textId="77777777" w:rsidR="00015892" w:rsidRPr="00506990" w:rsidRDefault="00015892" w:rsidP="00015892">
      <w:pPr>
        <w:rPr>
          <w:rFonts w:ascii="Times New Roman" w:eastAsia="Times New Roman" w:hAnsi="Times New Roman" w:cs="Times New Roman"/>
          <w:i/>
          <w:sz w:val="22"/>
          <w:szCs w:val="22"/>
        </w:rPr>
      </w:pPr>
      <w:r w:rsidRPr="00506990">
        <w:rPr>
          <w:rFonts w:ascii="Times New Roman" w:eastAsia="Times New Roman" w:hAnsi="Times New Roman" w:cs="Times New Roman"/>
          <w:i/>
          <w:sz w:val="22"/>
          <w:szCs w:val="22"/>
        </w:rPr>
        <w:t>Personas humanas y jurídicas residentes</w:t>
      </w:r>
    </w:p>
    <w:p w14:paraId="059F952E" w14:textId="77777777" w:rsidR="005219FA" w:rsidRPr="00506990" w:rsidRDefault="005219FA" w:rsidP="00015892">
      <w:pPr>
        <w:rPr>
          <w:rFonts w:ascii="Times New Roman" w:eastAsia="Times New Roman" w:hAnsi="Times New Roman" w:cs="Times New Roman"/>
          <w:sz w:val="22"/>
          <w:szCs w:val="22"/>
        </w:rPr>
      </w:pPr>
    </w:p>
    <w:p w14:paraId="6A282E18" w14:textId="77777777" w:rsidR="005219FA" w:rsidRPr="00506990" w:rsidRDefault="005219FA" w:rsidP="00D419D5">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Las personas humanas y sucesiones indivisas residentes locales titulares de Certificados de Participación deberán tributar el impuesto a la alícuota que hubiera resultado aplicable a las ganancias que le son distribuidas por el fideicomiso, de haberse obtenido estas rentas de forma directa. </w:t>
      </w:r>
    </w:p>
    <w:p w14:paraId="266A6FE8" w14:textId="77777777" w:rsidR="00015892" w:rsidRPr="00506990" w:rsidRDefault="00015892" w:rsidP="00015892">
      <w:pPr>
        <w:rPr>
          <w:rFonts w:ascii="Times New Roman" w:eastAsia="Times New Roman" w:hAnsi="Times New Roman" w:cs="Times New Roman"/>
          <w:sz w:val="22"/>
          <w:szCs w:val="22"/>
        </w:rPr>
      </w:pPr>
    </w:p>
    <w:p w14:paraId="791F6DC1" w14:textId="0AC5D639" w:rsidR="006B4159" w:rsidRPr="006E1DEB" w:rsidRDefault="00015892" w:rsidP="006B4159">
      <w:pPr>
        <w:rPr>
          <w:rFonts w:ascii="Times New Roman" w:hAnsi="Times New Roman"/>
          <w:sz w:val="22"/>
          <w:lang w:val="es-AR"/>
        </w:rPr>
      </w:pPr>
      <w:r w:rsidRPr="00506990">
        <w:rPr>
          <w:rFonts w:ascii="Times New Roman" w:eastAsia="Times New Roman" w:hAnsi="Times New Roman" w:cs="Times New Roman"/>
          <w:sz w:val="22"/>
          <w:szCs w:val="22"/>
        </w:rPr>
        <w:t xml:space="preserve">En ese sentido, cualquiera sea el tipo de ganancia, en el caso de personas jurídicas, la misma quedará sometida a la alícuota del 30% respecto a ejercicios iniciados a partir del 1 de enero de 2018 y hasta el 31 de diciembre de </w:t>
      </w:r>
      <w:r w:rsidR="006B4159" w:rsidRPr="00506990">
        <w:rPr>
          <w:rFonts w:ascii="Times New Roman" w:eastAsia="Times New Roman" w:hAnsi="Times New Roman" w:cs="Times New Roman"/>
          <w:sz w:val="22"/>
          <w:szCs w:val="22"/>
        </w:rPr>
        <w:t>20</w:t>
      </w:r>
      <w:r w:rsidR="006B4159">
        <w:rPr>
          <w:rFonts w:ascii="Times New Roman" w:eastAsia="Times New Roman" w:hAnsi="Times New Roman" w:cs="Times New Roman"/>
          <w:sz w:val="22"/>
          <w:szCs w:val="22"/>
        </w:rPr>
        <w:t>20</w:t>
      </w:r>
      <w:r w:rsidRPr="00506990">
        <w:rPr>
          <w:rFonts w:ascii="Times New Roman" w:eastAsia="Times New Roman" w:hAnsi="Times New Roman" w:cs="Times New Roman"/>
          <w:sz w:val="22"/>
          <w:szCs w:val="22"/>
        </w:rPr>
        <w:t xml:space="preserve">, inclusive y, para ejercicios que se inicien a partir del 1 de enero de </w:t>
      </w:r>
      <w:r w:rsidR="006B4159" w:rsidRPr="00506990">
        <w:rPr>
          <w:rFonts w:ascii="Times New Roman" w:eastAsia="Times New Roman" w:hAnsi="Times New Roman" w:cs="Times New Roman"/>
          <w:sz w:val="22"/>
          <w:szCs w:val="22"/>
        </w:rPr>
        <w:t>202</w:t>
      </w:r>
      <w:r w:rsidR="006B4159">
        <w:rPr>
          <w:rFonts w:ascii="Times New Roman" w:eastAsia="Times New Roman" w:hAnsi="Times New Roman" w:cs="Times New Roman"/>
          <w:sz w:val="22"/>
          <w:szCs w:val="22"/>
        </w:rPr>
        <w:t>1</w:t>
      </w:r>
      <w:r w:rsidR="006B4159" w:rsidRPr="00506990">
        <w:rPr>
          <w:rFonts w:ascii="Times New Roman" w:eastAsia="Times New Roman" w:hAnsi="Times New Roman" w:cs="Times New Roman"/>
          <w:sz w:val="22"/>
          <w:szCs w:val="22"/>
        </w:rPr>
        <w:t xml:space="preserve"> </w:t>
      </w:r>
      <w:r w:rsidRPr="00506990">
        <w:rPr>
          <w:rFonts w:ascii="Times New Roman" w:eastAsia="Times New Roman" w:hAnsi="Times New Roman" w:cs="Times New Roman"/>
          <w:sz w:val="22"/>
          <w:szCs w:val="22"/>
        </w:rPr>
        <w:t>a la alícuota del 25%</w:t>
      </w:r>
      <w:r w:rsidR="006B4159">
        <w:rPr>
          <w:rFonts w:ascii="Times New Roman" w:eastAsia="Times New Roman" w:hAnsi="Times New Roman" w:cs="Times New Roman"/>
          <w:sz w:val="22"/>
          <w:szCs w:val="22"/>
        </w:rPr>
        <w:t xml:space="preserve">, </w:t>
      </w:r>
      <w:r w:rsidR="006B4159" w:rsidRPr="008E789E">
        <w:rPr>
          <w:rFonts w:ascii="Times New Roman" w:eastAsia="Times New Roman" w:hAnsi="Times New Roman" w:cs="Times New Roman"/>
          <w:sz w:val="22"/>
          <w:szCs w:val="22"/>
          <w:lang w:val="es-AR"/>
        </w:rPr>
        <w:t>conforme la modificación introducida por la Ley 27.541.-</w:t>
      </w:r>
    </w:p>
    <w:p w14:paraId="5C53D0F0" w14:textId="078AF681" w:rsidR="00015892" w:rsidRPr="006E1DEB" w:rsidRDefault="00015892" w:rsidP="00015892">
      <w:pPr>
        <w:rPr>
          <w:rFonts w:ascii="Times New Roman" w:eastAsia="Times New Roman" w:hAnsi="Times New Roman" w:cs="Times New Roman"/>
          <w:sz w:val="22"/>
          <w:szCs w:val="22"/>
          <w:lang w:val="es-AR"/>
        </w:rPr>
      </w:pPr>
    </w:p>
    <w:p w14:paraId="16836B7B" w14:textId="77777777" w:rsidR="00015892" w:rsidRPr="00506990" w:rsidRDefault="00015892" w:rsidP="00015892">
      <w:pPr>
        <w:rPr>
          <w:rFonts w:ascii="Times New Roman" w:eastAsia="Times New Roman" w:hAnsi="Times New Roman" w:cs="Times New Roman"/>
          <w:sz w:val="22"/>
          <w:szCs w:val="22"/>
        </w:rPr>
      </w:pPr>
    </w:p>
    <w:p w14:paraId="512E156F" w14:textId="62B7F01E" w:rsidR="006B4159" w:rsidRPr="00506990" w:rsidRDefault="00015892" w:rsidP="006B4159">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Respecto a personas humanas, tal como se mencionó con anterioridad, l</w:t>
      </w:r>
      <w:r w:rsidRPr="00506990">
        <w:rPr>
          <w:rFonts w:ascii="Times New Roman" w:eastAsia="Times New Roman" w:hAnsi="Times New Roman" w:cs="Times New Roman"/>
          <w:color w:val="0D0D0D"/>
          <w:spacing w:val="-5"/>
          <w:sz w:val="22"/>
          <w:szCs w:val="22"/>
        </w:rPr>
        <w:t xml:space="preserve">a Ley Nº 27.430, publicada en el Boletín Oficial el 29/12/2017 introdujo modificaciones a la Ley del Impuesto a las Ganancias (“LIG”). A través de su artículo 63 se incorporó 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Por lo tanto, cuando corresponda, aquellas deberán someter las ganancias al impuesto cedular y/o al impuesto progresivo (tabla de escala de alícuotas) previsto en el Capítulo I del </w:t>
      </w:r>
      <w:r w:rsidRPr="00506990">
        <w:rPr>
          <w:rFonts w:ascii="Times New Roman" w:eastAsia="Times New Roman" w:hAnsi="Times New Roman" w:cs="Times New Roman"/>
          <w:color w:val="0D0D0D"/>
          <w:spacing w:val="-5"/>
          <w:sz w:val="22"/>
          <w:szCs w:val="22"/>
          <w:lang w:val="es-AR"/>
        </w:rPr>
        <w:t>Título</w:t>
      </w:r>
      <w:r w:rsidRPr="00506990">
        <w:rPr>
          <w:rFonts w:ascii="Times New Roman" w:eastAsia="Times New Roman" w:hAnsi="Times New Roman" w:cs="Times New Roman"/>
          <w:color w:val="0D0D0D"/>
          <w:spacing w:val="-5"/>
          <w:sz w:val="22"/>
          <w:szCs w:val="22"/>
        </w:rPr>
        <w:t xml:space="preserve"> IV de la Ley del Impuesto a las Ganancias</w:t>
      </w:r>
      <w:r w:rsidR="006B4159" w:rsidRPr="008E789E">
        <w:rPr>
          <w:rFonts w:ascii="Times New Roman" w:eastAsia="Times New Roman" w:hAnsi="Times New Roman" w:cs="Times New Roman"/>
          <w:color w:val="0D0D0D"/>
          <w:spacing w:val="-5"/>
          <w:sz w:val="22"/>
          <w:szCs w:val="22"/>
        </w:rPr>
        <w:t xml:space="preserve">, </w:t>
      </w:r>
      <w:r w:rsidR="006B4159" w:rsidRPr="008E789E">
        <w:rPr>
          <w:rFonts w:ascii="Times New Roman" w:hAnsi="Times New Roman" w:cs="Times New Roman"/>
          <w:sz w:val="22"/>
          <w:szCs w:val="22"/>
        </w:rPr>
        <w:t>conforme corresponda, y considerando al efecto las modificaciones introducidas por la Ley N° 27.541 que aquí se comentan.</w:t>
      </w:r>
    </w:p>
    <w:p w14:paraId="4ABF1936"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color w:val="0D0D0D"/>
          <w:spacing w:val="-5"/>
          <w:sz w:val="22"/>
          <w:szCs w:val="22"/>
        </w:rPr>
        <w:t xml:space="preserve">.   </w:t>
      </w:r>
    </w:p>
    <w:p w14:paraId="20370A0E" w14:textId="77777777" w:rsidR="00015892" w:rsidRPr="00506990" w:rsidRDefault="00015892" w:rsidP="00015892">
      <w:pPr>
        <w:rPr>
          <w:rFonts w:ascii="Times New Roman" w:eastAsia="Times New Roman" w:hAnsi="Times New Roman" w:cs="Times New Roman"/>
          <w:sz w:val="22"/>
          <w:szCs w:val="22"/>
        </w:rPr>
      </w:pPr>
    </w:p>
    <w:p w14:paraId="7A8981F7" w14:textId="77777777" w:rsidR="00015892" w:rsidRPr="00506990" w:rsidRDefault="00015892" w:rsidP="00015892">
      <w:pPr>
        <w:rPr>
          <w:rFonts w:ascii="Times New Roman" w:eastAsia="Times New Roman" w:hAnsi="Times New Roman" w:cs="Times New Roman"/>
          <w:sz w:val="22"/>
          <w:szCs w:val="22"/>
        </w:rPr>
      </w:pPr>
    </w:p>
    <w:p w14:paraId="084BDA7E" w14:textId="77777777" w:rsidR="00015892" w:rsidRPr="00506990" w:rsidRDefault="00015892" w:rsidP="00015892">
      <w:pPr>
        <w:rPr>
          <w:rFonts w:ascii="Times New Roman" w:eastAsia="Times New Roman" w:hAnsi="Times New Roman" w:cs="Times New Roman"/>
          <w:i/>
          <w:sz w:val="22"/>
          <w:szCs w:val="22"/>
        </w:rPr>
      </w:pPr>
      <w:r w:rsidRPr="00506990">
        <w:rPr>
          <w:rFonts w:ascii="Times New Roman" w:eastAsia="Times New Roman" w:hAnsi="Times New Roman" w:cs="Times New Roman"/>
          <w:i/>
          <w:sz w:val="22"/>
          <w:szCs w:val="22"/>
        </w:rPr>
        <w:t>Beneficiarios del exterior (personas humanas o jurídicas no residentes)</w:t>
      </w:r>
    </w:p>
    <w:p w14:paraId="6109CDB1" w14:textId="77777777" w:rsidR="00015892" w:rsidRPr="00506990" w:rsidRDefault="00015892" w:rsidP="00015892">
      <w:pPr>
        <w:rPr>
          <w:rFonts w:ascii="Times New Roman" w:eastAsia="Times New Roman" w:hAnsi="Times New Roman" w:cs="Times New Roman"/>
          <w:sz w:val="22"/>
          <w:szCs w:val="22"/>
        </w:rPr>
      </w:pPr>
    </w:p>
    <w:p w14:paraId="5024E8CD" w14:textId="77777777" w:rsidR="00015892" w:rsidRPr="00506990" w:rsidRDefault="00015892" w:rsidP="00015892">
      <w:pPr>
        <w:rPr>
          <w:rFonts w:ascii="Times New Roman" w:eastAsia="Times New Roman" w:hAnsi="Times New Roman" w:cs="Times New Roman"/>
          <w:sz w:val="22"/>
          <w:szCs w:val="22"/>
        </w:rPr>
      </w:pPr>
      <w:r w:rsidRPr="00506990">
        <w:rPr>
          <w:rFonts w:ascii="Times New Roman" w:eastAsia="Times New Roman" w:hAnsi="Times New Roman" w:cs="Times New Roman"/>
          <w:sz w:val="22"/>
          <w:szCs w:val="22"/>
        </w:rPr>
        <w:t xml:space="preserve">Cuando el perceptor de las ganancias distribuidas sea un beneficiario del exterior, el Fiduciario actuará como agente de retención del impuesto a las Ganancias, atendiendo al tipo de ganancia de que se trate, es decir, incluida en el </w:t>
      </w:r>
      <w:r w:rsidRPr="00506990">
        <w:rPr>
          <w:rFonts w:ascii="Times New Roman" w:eastAsia="Times New Roman" w:hAnsi="Times New Roman" w:cs="Times New Roman"/>
          <w:sz w:val="22"/>
          <w:szCs w:val="22"/>
          <w:lang w:val="es-ES"/>
        </w:rPr>
        <w:t>Capítulo</w:t>
      </w:r>
      <w:r w:rsidRPr="00506990">
        <w:rPr>
          <w:rFonts w:ascii="Times New Roman" w:eastAsia="Times New Roman" w:hAnsi="Times New Roman" w:cs="Times New Roman"/>
          <w:sz w:val="22"/>
          <w:szCs w:val="22"/>
        </w:rPr>
        <w:t xml:space="preserve"> II del Título IV de la LIG (“impuesto cedular”) o el </w:t>
      </w:r>
      <w:r w:rsidRPr="00506990">
        <w:rPr>
          <w:rFonts w:ascii="Times New Roman" w:eastAsia="Times New Roman" w:hAnsi="Times New Roman" w:cs="Times New Roman"/>
          <w:sz w:val="22"/>
          <w:szCs w:val="22"/>
          <w:lang w:val="es-ES"/>
        </w:rPr>
        <w:t>Título</w:t>
      </w:r>
      <w:r w:rsidRPr="00506990">
        <w:rPr>
          <w:rFonts w:ascii="Times New Roman" w:eastAsia="Times New Roman" w:hAnsi="Times New Roman" w:cs="Times New Roman"/>
          <w:sz w:val="22"/>
          <w:szCs w:val="22"/>
        </w:rPr>
        <w:t xml:space="preserve"> V de la LIG (resto de ganancias obtenidas por beneficiarios del exterior). Tratándose de ganancias imputables al “impuesto cedular”, se aplicarán las disposiciones de la RG Nº 4227 dictada por la Administración Federal de Ingresos Públicos, la cual contiene las formas, plazos y demás condiciones para el ingreso de la sumas retenidas</w:t>
      </w:r>
    </w:p>
    <w:p w14:paraId="3303D0B9" w14:textId="77777777" w:rsidR="00015892" w:rsidRPr="00506990" w:rsidRDefault="00015892" w:rsidP="00015892">
      <w:pPr>
        <w:rPr>
          <w:rFonts w:ascii="Times New Roman" w:eastAsia="Times New Roman" w:hAnsi="Times New Roman" w:cs="Times New Roman"/>
          <w:sz w:val="22"/>
          <w:szCs w:val="22"/>
          <w:lang w:val="es-AR"/>
        </w:rPr>
      </w:pPr>
    </w:p>
    <w:p w14:paraId="346B114A" w14:textId="77777777" w:rsidR="00015892" w:rsidRPr="00506990" w:rsidRDefault="00015892" w:rsidP="00015892">
      <w:pPr>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Regímenes de retención del impuesto a las ganancias</w:t>
      </w:r>
    </w:p>
    <w:p w14:paraId="0A8313AF" w14:textId="77777777" w:rsidR="00015892" w:rsidRPr="00506990" w:rsidRDefault="00015892" w:rsidP="00015892">
      <w:pPr>
        <w:rPr>
          <w:rFonts w:ascii="Times New Roman" w:eastAsia="Times New Roman" w:hAnsi="Times New Roman" w:cs="Times New Roman"/>
          <w:sz w:val="22"/>
          <w:szCs w:val="22"/>
          <w:lang w:val="es-AR"/>
        </w:rPr>
      </w:pPr>
    </w:p>
    <w:p w14:paraId="6196E53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Las rentas, rendimientos, resultados de enajenación y distribución de resultados de </w:t>
      </w:r>
      <w:r w:rsidRPr="00506990">
        <w:rPr>
          <w:rFonts w:ascii="Times New Roman" w:eastAsia="Times New Roman" w:hAnsi="Times New Roman" w:cs="Times New Roman"/>
          <w:bCs/>
          <w:sz w:val="22"/>
          <w:szCs w:val="22"/>
          <w:lang w:val="es-AR"/>
        </w:rPr>
        <w:t>Valores</w:t>
      </w:r>
      <w:r w:rsidRPr="00506990">
        <w:rPr>
          <w:rFonts w:ascii="Times New Roman" w:eastAsia="Times New Roman" w:hAnsi="Times New Roman" w:cs="Times New Roman"/>
          <w:sz w:val="22"/>
          <w:szCs w:val="22"/>
          <w:lang w:val="es-AR"/>
        </w:rPr>
        <w:t xml:space="preserve"> Fiduciarios detallados precedentemente, cualquiera sea el sujeto que las obtenga pueden quedar sujetos a retenciones impositivas.</w:t>
      </w:r>
    </w:p>
    <w:p w14:paraId="74E40AC7"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6B7E5D0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A la fecha del presente prospecto, la AFIP ha dictado la RG Nº 4227 a través de la cual ha dispuesto un régimen de retención y/o ingreso directo del Impuesto a las Ganancias con relación a las rentas obtenidas por Beneficiarios del Exterior., cuyos efectos han sido incorporados en los ítems precedentes, según correspondía.</w:t>
      </w:r>
    </w:p>
    <w:p w14:paraId="69C4466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29CF0FA1"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Resta que la AFIP reglamente y establezca regímenes de retención y/o adecue los existentes respecto a los beneficiarios que sean personas humanas residentes.</w:t>
      </w:r>
    </w:p>
    <w:p w14:paraId="07975E4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AR"/>
        </w:rPr>
        <w:t xml:space="preserve"> </w:t>
      </w:r>
    </w:p>
    <w:p w14:paraId="55083B2E"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37D343CE"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II.2. Impuesto al Valor Agregado</w:t>
      </w:r>
    </w:p>
    <w:p w14:paraId="3EDD057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4028431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w:t>
      </w:r>
    </w:p>
    <w:p w14:paraId="63A3539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De acuerdo con lo establecido por el inciso a) del artículo 83 de la ley 24.441, los rendimientos que obtenga el inversor (sujeto local o beneficiario del exterior) están exentos del Impuesto al Valor Agregado toda vez que los títulos valores cumplan con el requisito de la oferta pública.</w:t>
      </w:r>
    </w:p>
    <w:p w14:paraId="0BCA166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62CA4BC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Resultados derivados de la compraventa de los títulos</w:t>
      </w:r>
    </w:p>
    <w:p w14:paraId="05C8F8E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Todo resultado obtenido como consecuencia de la transferencia de títulos de valores, de acuerdo con lo establecido por el inciso a) del artículo 83 de la ley 24.441, resultará exento del presente gravamen, en la medida que los Certificados de Participación cumplan con el requisito de la oferta pública antes detallado.</w:t>
      </w:r>
    </w:p>
    <w:p w14:paraId="0A010B2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6514FC0E"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II.3. Impuesto sobre los Ingresos Brutos</w:t>
      </w:r>
    </w:p>
    <w:p w14:paraId="711683B8"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07C8137F"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u w:val="single"/>
          <w:lang w:val="es-AR"/>
        </w:rPr>
      </w:pPr>
      <w:r w:rsidRPr="00506990">
        <w:rPr>
          <w:rFonts w:ascii="Times New Roman" w:eastAsia="Times New Roman" w:hAnsi="Times New Roman" w:cs="Times New Roman"/>
          <w:sz w:val="22"/>
          <w:szCs w:val="22"/>
          <w:u w:val="single"/>
          <w:lang w:val="es-AR"/>
        </w:rPr>
        <w:t>Rendimientos (intereses) y resultados derivados de la compraventa de los Valores Fiduciarios</w:t>
      </w:r>
    </w:p>
    <w:p w14:paraId="21A0A71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Salvo exención provincial expresa, los rendimientos devengados por los Valores Fiduciarios se encuentran alcanzados por este gravamen. Igual conclusión aplica para el caso de personas  humanas, en tanto éstas revistan la calidad de habitualistas o les resulte de aplicación una presunción de habitualidad específica. </w:t>
      </w:r>
    </w:p>
    <w:p w14:paraId="2B37AAF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Tratándose de inversores del exterior, NO procede la imposición, dada la inexistencia del sujeto pasivo del gravamen.</w:t>
      </w:r>
    </w:p>
    <w:p w14:paraId="11A5F496"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AR"/>
        </w:rPr>
      </w:pPr>
    </w:p>
    <w:p w14:paraId="26A4DCD6"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II.4. Impuesto sobre los Bienes Personales</w:t>
      </w:r>
    </w:p>
    <w:p w14:paraId="522B7ABD"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691082D8" w14:textId="6540A861"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De conformidad con lo dispuesto por el título VI de la ley Nº 23.966</w:t>
      </w:r>
      <w:r w:rsidR="006B4159">
        <w:rPr>
          <w:rFonts w:ascii="Times New Roman" w:eastAsia="Times New Roman" w:hAnsi="Times New Roman" w:cs="Times New Roman"/>
          <w:sz w:val="22"/>
          <w:szCs w:val="22"/>
          <w:lang w:val="es-ES"/>
        </w:rPr>
        <w:t>, texto conforme a las modificaciones recientemente introducidas por la Ley N° 27.541</w:t>
      </w:r>
      <w:r w:rsidRPr="00506990">
        <w:rPr>
          <w:rFonts w:ascii="Times New Roman" w:eastAsia="Times New Roman" w:hAnsi="Times New Roman" w:cs="Times New Roman"/>
          <w:sz w:val="22"/>
          <w:szCs w:val="22"/>
          <w:lang w:val="es-ES"/>
        </w:rPr>
        <w:t xml:space="preserve">) ("Ley de Bienes Personales”), las personas humanas y las sucesiones indivisas </w:t>
      </w:r>
      <w:r w:rsidR="006B4159">
        <w:rPr>
          <w:rFonts w:ascii="Times New Roman" w:eastAsia="Times New Roman" w:hAnsi="Times New Roman" w:cs="Times New Roman"/>
          <w:sz w:val="22"/>
          <w:szCs w:val="22"/>
          <w:lang w:val="es-ES"/>
        </w:rPr>
        <w:t xml:space="preserve">residentes en la </w:t>
      </w:r>
      <w:r w:rsidRPr="00506990">
        <w:rPr>
          <w:rFonts w:ascii="Times New Roman" w:eastAsia="Times New Roman" w:hAnsi="Times New Roman" w:cs="Times New Roman"/>
          <w:sz w:val="22"/>
          <w:szCs w:val="22"/>
          <w:lang w:val="es-ES"/>
        </w:rPr>
        <w:t xml:space="preserve">República Argentina o en el extranjero (en este último caso sólo con respecto a bienes situados en la Argentina, lo cual incluye los Valores Fiduciarios) están sujetas al Impuesto sobre los Bienes Personales que grava los bienes existentes al 31 de diciembre de cada año. </w:t>
      </w:r>
    </w:p>
    <w:p w14:paraId="39787EA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5EA05D08" w14:textId="520B20F0"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Por medio de la</w:t>
      </w:r>
      <w:r w:rsidR="006B4159">
        <w:rPr>
          <w:rFonts w:ascii="Times New Roman" w:eastAsia="Times New Roman" w:hAnsi="Times New Roman" w:cs="Times New Roman"/>
          <w:sz w:val="22"/>
          <w:szCs w:val="22"/>
          <w:lang w:val="es-ES"/>
        </w:rPr>
        <w:t xml:space="preserve"> referida</w:t>
      </w:r>
      <w:r w:rsidRPr="00506990">
        <w:rPr>
          <w:rFonts w:ascii="Times New Roman" w:eastAsia="Times New Roman" w:hAnsi="Times New Roman" w:cs="Times New Roman"/>
          <w:sz w:val="22"/>
          <w:szCs w:val="22"/>
          <w:lang w:val="es-ES"/>
        </w:rPr>
        <w:t xml:space="preserve"> </w:t>
      </w:r>
      <w:r w:rsidR="006B4159">
        <w:rPr>
          <w:rFonts w:ascii="Times New Roman" w:eastAsia="Times New Roman" w:hAnsi="Times New Roman" w:cs="Times New Roman"/>
          <w:sz w:val="22"/>
          <w:szCs w:val="22"/>
          <w:lang w:val="es-ES"/>
        </w:rPr>
        <w:t>L</w:t>
      </w:r>
      <w:r w:rsidRPr="00506990">
        <w:rPr>
          <w:rFonts w:ascii="Times New Roman" w:eastAsia="Times New Roman" w:hAnsi="Times New Roman" w:cs="Times New Roman"/>
          <w:sz w:val="22"/>
          <w:szCs w:val="22"/>
          <w:lang w:val="es-ES"/>
        </w:rPr>
        <w:t>ey Nº 27.</w:t>
      </w:r>
      <w:r w:rsidR="006B4159">
        <w:rPr>
          <w:rFonts w:ascii="Times New Roman" w:eastAsia="Times New Roman" w:hAnsi="Times New Roman" w:cs="Times New Roman"/>
          <w:sz w:val="22"/>
          <w:szCs w:val="22"/>
          <w:lang w:val="es-ES"/>
        </w:rPr>
        <w:t xml:space="preserve">541 </w:t>
      </w:r>
      <w:r w:rsidRPr="00506990">
        <w:rPr>
          <w:rFonts w:ascii="Times New Roman" w:eastAsia="Times New Roman" w:hAnsi="Times New Roman" w:cs="Times New Roman"/>
          <w:sz w:val="22"/>
          <w:szCs w:val="22"/>
          <w:lang w:val="es-ES"/>
        </w:rPr>
        <w:t xml:space="preserve">se introdujeron ciertas modificaciones a la </w:t>
      </w:r>
      <w:r w:rsidR="006B4159">
        <w:rPr>
          <w:rFonts w:ascii="Times New Roman" w:eastAsia="Times New Roman" w:hAnsi="Times New Roman" w:cs="Times New Roman"/>
          <w:sz w:val="22"/>
          <w:szCs w:val="22"/>
          <w:lang w:val="es-ES"/>
        </w:rPr>
        <w:t>L</w:t>
      </w:r>
      <w:r w:rsidRPr="00506990">
        <w:rPr>
          <w:rFonts w:ascii="Times New Roman" w:eastAsia="Times New Roman" w:hAnsi="Times New Roman" w:cs="Times New Roman"/>
          <w:sz w:val="22"/>
          <w:szCs w:val="22"/>
          <w:lang w:val="es-ES"/>
        </w:rPr>
        <w:t>ey de Bienes Personales</w:t>
      </w:r>
      <w:r w:rsidR="006B4159">
        <w:rPr>
          <w:rFonts w:ascii="Times New Roman" w:eastAsia="Times New Roman" w:hAnsi="Times New Roman" w:cs="Times New Roman"/>
          <w:sz w:val="22"/>
          <w:szCs w:val="22"/>
          <w:lang w:val="es-ES"/>
        </w:rPr>
        <w:t xml:space="preserve"> </w:t>
      </w:r>
      <w:r w:rsidR="006B4159" w:rsidRPr="008E789E">
        <w:rPr>
          <w:rFonts w:ascii="Times New Roman" w:hAnsi="Times New Roman" w:cs="Times New Roman"/>
          <w:sz w:val="22"/>
          <w:szCs w:val="22"/>
        </w:rPr>
        <w:t>que surtirán efecto desde</w:t>
      </w:r>
      <w:r w:rsidRPr="00506990">
        <w:rPr>
          <w:rFonts w:ascii="Times New Roman" w:eastAsia="Times New Roman" w:hAnsi="Times New Roman" w:cs="Times New Roman"/>
          <w:sz w:val="22"/>
          <w:szCs w:val="22"/>
          <w:lang w:val="es-ES"/>
        </w:rPr>
        <w:t xml:space="preserve"> </w:t>
      </w:r>
      <w:r w:rsidR="006B4159">
        <w:rPr>
          <w:rFonts w:ascii="Times New Roman" w:eastAsia="Times New Roman" w:hAnsi="Times New Roman" w:cs="Times New Roman"/>
          <w:sz w:val="22"/>
          <w:szCs w:val="22"/>
          <w:lang w:val="es-ES"/>
        </w:rPr>
        <w:t xml:space="preserve">el </w:t>
      </w:r>
      <w:r w:rsidRPr="00506990">
        <w:rPr>
          <w:rFonts w:ascii="Times New Roman" w:eastAsia="Times New Roman" w:hAnsi="Times New Roman" w:cs="Times New Roman"/>
          <w:sz w:val="22"/>
          <w:szCs w:val="22"/>
          <w:lang w:val="es-ES"/>
        </w:rPr>
        <w:t>período fiscal 2019</w:t>
      </w:r>
      <w:r w:rsidR="006B4159">
        <w:rPr>
          <w:rFonts w:ascii="Times New Roman" w:eastAsia="Times New Roman" w:hAnsi="Times New Roman" w:cs="Times New Roman"/>
          <w:sz w:val="22"/>
          <w:szCs w:val="22"/>
          <w:lang w:val="es-ES"/>
        </w:rPr>
        <w:t xml:space="preserve"> y conforme al cual:</w:t>
      </w:r>
      <w:r w:rsidRPr="00506990">
        <w:rPr>
          <w:rFonts w:ascii="Times New Roman" w:eastAsia="Times New Roman" w:hAnsi="Times New Roman" w:cs="Times New Roman"/>
          <w:sz w:val="22"/>
          <w:szCs w:val="22"/>
          <w:lang w:val="es-ES"/>
        </w:rPr>
        <w:t xml:space="preserve">. </w:t>
      </w:r>
    </w:p>
    <w:p w14:paraId="491DDFDC"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A21E09A" w14:textId="6DC86CBE"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Respecto de las personas humanas y las sucesiones indivisas domiciliadas o radicadas en la Argentina, el impuesto grava a todos los bienes situados en la Argentina y en el exterior en la medida que su valor en conjunto, exceda los $ 2.000.000, aplicándose las alícuotas  según la siguiente escala:</w:t>
      </w:r>
    </w:p>
    <w:p w14:paraId="20B23A15"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706AEBB4"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tbl>
      <w:tblPr>
        <w:tblW w:w="4000" w:type="pct"/>
        <w:tblCellSpacing w:w="15"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45"/>
        <w:gridCol w:w="2021"/>
        <w:gridCol w:w="30"/>
        <w:gridCol w:w="1085"/>
        <w:gridCol w:w="430"/>
        <w:gridCol w:w="430"/>
        <w:gridCol w:w="383"/>
        <w:gridCol w:w="663"/>
        <w:gridCol w:w="30"/>
        <w:gridCol w:w="1897"/>
        <w:gridCol w:w="45"/>
      </w:tblGrid>
      <w:tr w:rsidR="00015892" w:rsidRPr="00506990" w14:paraId="6629E866" w14:textId="77777777" w:rsidTr="006B4159">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50E13B72"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Valor total de los bienes que exceda el mínimo no imponible</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6BB26359"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Pagarán $</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359A2C7E"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Más el %</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76A9AB9F"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Sobre el excedente de $</w:t>
            </w:r>
          </w:p>
        </w:tc>
      </w:tr>
      <w:tr w:rsidR="00015892" w:rsidRPr="00506990" w14:paraId="16A4828D" w14:textId="77777777" w:rsidTr="006B4159">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70C571C9"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Más de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45" w:type="dxa"/>
              <w:left w:w="45" w:type="dxa"/>
              <w:bottom w:w="45" w:type="dxa"/>
              <w:right w:w="45" w:type="dxa"/>
            </w:tcMar>
            <w:vAlign w:val="center"/>
            <w:hideMark/>
          </w:tcPr>
          <w:p w14:paraId="61AB18F7" w14:textId="0FFB75D4" w:rsidR="00015892" w:rsidRPr="00506990" w:rsidRDefault="006B4159" w:rsidP="00546BED">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a</w:t>
            </w:r>
            <w:r w:rsidRPr="00506990">
              <w:rPr>
                <w:rFonts w:ascii="Times New Roman" w:hAnsi="Times New Roman" w:cs="Times New Roman"/>
                <w:sz w:val="22"/>
                <w:szCs w:val="22"/>
                <w:lang w:eastAsia="es-AR"/>
              </w:rPr>
              <w:t xml:space="preserve"> </w:t>
            </w:r>
            <w:r w:rsidR="00015892" w:rsidRPr="00506990">
              <w:rPr>
                <w:rFonts w:ascii="Times New Roman" w:hAnsi="Times New Roman" w:cs="Times New Roman"/>
                <w:sz w:val="22"/>
                <w:szCs w:val="22"/>
                <w:lang w:eastAsia="es-AR"/>
              </w:rPr>
              <w:t>$</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BE999C3" w14:textId="77777777" w:rsidR="00015892" w:rsidRPr="00506990" w:rsidRDefault="00015892" w:rsidP="00546BED">
            <w:pPr>
              <w:rPr>
                <w:rFonts w:ascii="Times New Roman" w:hAnsi="Times New Roman" w:cs="Times New Roman"/>
                <w:sz w:val="22"/>
                <w:szCs w:val="22"/>
                <w:lang w:eastAsia="es-AR"/>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BBCCC78" w14:textId="77777777" w:rsidR="00015892" w:rsidRPr="00506990" w:rsidRDefault="00015892" w:rsidP="00546BED">
            <w:pPr>
              <w:rPr>
                <w:rFonts w:ascii="Times New Roman" w:hAnsi="Times New Roman" w:cs="Times New Roman"/>
                <w:sz w:val="22"/>
                <w:szCs w:val="22"/>
                <w:lang w:eastAsia="es-AR"/>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4FCF089" w14:textId="77777777" w:rsidR="00015892" w:rsidRPr="00506990" w:rsidRDefault="00015892" w:rsidP="00546BED">
            <w:pPr>
              <w:rPr>
                <w:rFonts w:ascii="Times New Roman" w:hAnsi="Times New Roman" w:cs="Times New Roman"/>
                <w:sz w:val="22"/>
                <w:szCs w:val="22"/>
                <w:lang w:eastAsia="es-AR"/>
              </w:rPr>
            </w:pPr>
          </w:p>
        </w:tc>
      </w:tr>
      <w:tr w:rsidR="00015892" w:rsidRPr="00506990" w14:paraId="6AF5216F" w14:textId="77777777" w:rsidTr="006B4159">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311957"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A5E856"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3.000.000, inclusive</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CEFAE5"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7BD9E4" w14:textId="3CE3F093" w:rsidR="00015892" w:rsidRPr="00506990" w:rsidRDefault="00015892" w:rsidP="006B4159">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r w:rsidR="006B4159">
              <w:rPr>
                <w:rFonts w:ascii="Times New Roman" w:hAnsi="Times New Roman" w:cs="Times New Roman"/>
                <w:sz w:val="22"/>
                <w:szCs w:val="22"/>
                <w:lang w:eastAsia="es-AR"/>
              </w:rPr>
              <w:t>50</w:t>
            </w:r>
            <w:r w:rsidRPr="00506990">
              <w:rPr>
                <w:rFonts w:ascii="Times New Roman" w:hAnsi="Times New Roman" w:cs="Times New Roman"/>
                <w:sz w:val="22"/>
                <w:szCs w:val="22"/>
                <w:lang w:eastAsia="es-AR"/>
              </w:rPr>
              <w:t>%</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62CA3B"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p>
        </w:tc>
      </w:tr>
      <w:tr w:rsidR="00015892" w:rsidRPr="00506990" w14:paraId="6DBE5E96" w14:textId="77777777" w:rsidTr="006B4159">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107DA8"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3.000.000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B18A3E" w14:textId="4C4C3DD0" w:rsidR="00015892" w:rsidRPr="00506990" w:rsidRDefault="006B4159" w:rsidP="006B4159">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6</w:t>
            </w:r>
            <w:r w:rsidR="00015892" w:rsidRPr="00506990">
              <w:rPr>
                <w:rFonts w:ascii="Times New Roman" w:hAnsi="Times New Roman" w:cs="Times New Roman"/>
                <w:sz w:val="22"/>
                <w:szCs w:val="22"/>
                <w:lang w:eastAsia="es-AR"/>
              </w:rPr>
              <w:t>.</w:t>
            </w:r>
            <w:r>
              <w:rPr>
                <w:rFonts w:ascii="Times New Roman" w:hAnsi="Times New Roman" w:cs="Times New Roman"/>
                <w:sz w:val="22"/>
                <w:szCs w:val="22"/>
                <w:lang w:eastAsia="es-AR"/>
              </w:rPr>
              <w:t>5</w:t>
            </w:r>
            <w:r w:rsidR="00015892" w:rsidRPr="00506990">
              <w:rPr>
                <w:rFonts w:ascii="Times New Roman" w:hAnsi="Times New Roman" w:cs="Times New Roman"/>
                <w:sz w:val="22"/>
                <w:szCs w:val="22"/>
                <w:lang w:eastAsia="es-AR"/>
              </w:rPr>
              <w:t>00.000, inclusive</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116228" w14:textId="23EC42EF" w:rsidR="00015892" w:rsidRPr="00506990" w:rsidRDefault="006B4159" w:rsidP="00546BED">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15.000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EF9F79" w14:textId="39D093A8" w:rsidR="00015892" w:rsidRPr="00506990" w:rsidRDefault="00015892" w:rsidP="006B4159">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0,</w:t>
            </w:r>
            <w:r w:rsidR="006B4159">
              <w:rPr>
                <w:rFonts w:ascii="Times New Roman" w:hAnsi="Times New Roman" w:cs="Times New Roman"/>
                <w:sz w:val="22"/>
                <w:szCs w:val="22"/>
                <w:lang w:eastAsia="es-AR"/>
              </w:rPr>
              <w:t>75</w:t>
            </w:r>
            <w:r w:rsidRPr="00506990">
              <w:rPr>
                <w:rFonts w:ascii="Times New Roman" w:hAnsi="Times New Roman" w:cs="Times New Roman"/>
                <w:sz w:val="22"/>
                <w:szCs w:val="22"/>
                <w:lang w:eastAsia="es-AR"/>
              </w:rPr>
              <w:t>%</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C5EA68"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3.000.000</w:t>
            </w:r>
          </w:p>
        </w:tc>
      </w:tr>
      <w:tr w:rsidR="006B4159" w:rsidRPr="008E789E" w14:paraId="0CD93CCC" w14:textId="77777777" w:rsidTr="006E1DEB">
        <w:tblPrEx>
          <w:tblCellMar>
            <w:left w:w="70" w:type="dxa"/>
            <w:right w:w="70" w:type="dxa"/>
          </w:tblCellMar>
        </w:tblPrEx>
        <w:trPr>
          <w:gridBefore w:val="1"/>
          <w:gridAfter w:val="1"/>
          <w:trHeight w:val="405"/>
          <w:tblCellSpacing w:w="15" w:type="dxa"/>
        </w:trPr>
        <w:tc>
          <w:tcPr>
            <w:tcW w:w="1441" w:type="dxa"/>
            <w:tcBorders>
              <w:top w:val="nil"/>
              <w:left w:val="single" w:sz="8" w:space="0" w:color="000000"/>
              <w:bottom w:val="single" w:sz="8" w:space="0" w:color="000000"/>
              <w:right w:val="single" w:sz="8" w:space="0" w:color="000000"/>
            </w:tcBorders>
            <w:shd w:val="clear" w:color="auto" w:fill="auto"/>
            <w:vAlign w:val="center"/>
            <w:hideMark/>
          </w:tcPr>
          <w:p w14:paraId="618DF474" w14:textId="77777777" w:rsidR="006B4159" w:rsidRPr="008E789E" w:rsidRDefault="006B4159" w:rsidP="006B4159">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6.500.000</w:t>
            </w:r>
          </w:p>
        </w:tc>
        <w:tc>
          <w:tcPr>
            <w:tcW w:w="2040" w:type="dxa"/>
            <w:gridSpan w:val="3"/>
            <w:tcBorders>
              <w:top w:val="nil"/>
              <w:left w:val="nil"/>
              <w:bottom w:val="single" w:sz="8" w:space="0" w:color="000000"/>
              <w:right w:val="single" w:sz="8" w:space="0" w:color="000000"/>
            </w:tcBorders>
            <w:shd w:val="clear" w:color="auto" w:fill="auto"/>
            <w:vAlign w:val="center"/>
            <w:hideMark/>
          </w:tcPr>
          <w:p w14:paraId="1DE7F077" w14:textId="77777777" w:rsidR="006B4159" w:rsidRPr="008E789E" w:rsidRDefault="006B4159" w:rsidP="006B4159">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18.000.000, inclusive</w:t>
            </w:r>
          </w:p>
        </w:tc>
        <w:tc>
          <w:tcPr>
            <w:tcW w:w="1086" w:type="dxa"/>
            <w:gridSpan w:val="2"/>
            <w:tcBorders>
              <w:top w:val="nil"/>
              <w:left w:val="nil"/>
              <w:bottom w:val="single" w:sz="8" w:space="0" w:color="000000"/>
              <w:right w:val="single" w:sz="8" w:space="0" w:color="000000"/>
            </w:tcBorders>
            <w:shd w:val="clear" w:color="auto" w:fill="auto"/>
            <w:vAlign w:val="center"/>
            <w:hideMark/>
          </w:tcPr>
          <w:p w14:paraId="6600D567" w14:textId="77777777" w:rsidR="006B4159" w:rsidRPr="008E789E" w:rsidRDefault="006B4159" w:rsidP="006B4159">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41.250</w:t>
            </w:r>
          </w:p>
        </w:tc>
        <w:tc>
          <w:tcPr>
            <w:tcW w:w="643" w:type="dxa"/>
            <w:gridSpan w:val="2"/>
            <w:tcBorders>
              <w:top w:val="nil"/>
              <w:left w:val="nil"/>
              <w:bottom w:val="single" w:sz="8" w:space="0" w:color="000000"/>
              <w:right w:val="single" w:sz="8" w:space="0" w:color="000000"/>
            </w:tcBorders>
            <w:shd w:val="clear" w:color="auto" w:fill="auto"/>
            <w:vAlign w:val="center"/>
            <w:hideMark/>
          </w:tcPr>
          <w:p w14:paraId="4907B7E5" w14:textId="77777777" w:rsidR="006B4159" w:rsidRPr="008E789E" w:rsidRDefault="006B4159" w:rsidP="006B4159">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1,00%</w:t>
            </w:r>
          </w:p>
        </w:tc>
        <w:tc>
          <w:tcPr>
            <w:tcW w:w="1766" w:type="dxa"/>
            <w:tcBorders>
              <w:top w:val="nil"/>
              <w:left w:val="nil"/>
              <w:bottom w:val="single" w:sz="8" w:space="0" w:color="000000"/>
              <w:right w:val="single" w:sz="8" w:space="0" w:color="000000"/>
            </w:tcBorders>
            <w:shd w:val="clear" w:color="auto" w:fill="auto"/>
            <w:vAlign w:val="center"/>
            <w:hideMark/>
          </w:tcPr>
          <w:p w14:paraId="4826A01C" w14:textId="77777777" w:rsidR="006B4159" w:rsidRPr="008E789E" w:rsidRDefault="006B4159" w:rsidP="006B4159">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6.500.000</w:t>
            </w:r>
          </w:p>
        </w:tc>
      </w:tr>
      <w:tr w:rsidR="00015892" w:rsidRPr="00506990" w14:paraId="3CC1A98B" w14:textId="77777777" w:rsidTr="006B4159">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3F9348"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18.000.000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02157D"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en adelante</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FF1835" w14:textId="11BD5CCA" w:rsidR="00015892" w:rsidRPr="00506990" w:rsidRDefault="00FE24AF" w:rsidP="00FE24AF">
            <w:pPr>
              <w:spacing w:before="100" w:beforeAutospacing="1" w:after="100" w:afterAutospacing="1"/>
              <w:rPr>
                <w:rFonts w:ascii="Times New Roman" w:hAnsi="Times New Roman" w:cs="Times New Roman"/>
                <w:sz w:val="22"/>
                <w:szCs w:val="22"/>
                <w:lang w:eastAsia="es-AR"/>
              </w:rPr>
            </w:pPr>
            <w:r w:rsidRPr="008E789E">
              <w:rPr>
                <w:rFonts w:ascii="Verdana" w:eastAsia="Times New Roman" w:hAnsi="Verdana" w:cs="Calibri"/>
                <w:color w:val="000000"/>
                <w:sz w:val="15"/>
                <w:szCs w:val="15"/>
                <w:lang w:val="es-AR" w:eastAsia="es-AR"/>
              </w:rPr>
              <w:t>156.250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505AC8" w14:textId="289D732C" w:rsidR="00015892" w:rsidRPr="00506990" w:rsidRDefault="00FE24AF" w:rsidP="00FE24AF">
            <w:pPr>
              <w:spacing w:before="100" w:beforeAutospacing="1" w:after="100" w:afterAutospacing="1"/>
              <w:rPr>
                <w:rFonts w:ascii="Times New Roman" w:hAnsi="Times New Roman" w:cs="Times New Roman"/>
                <w:sz w:val="22"/>
                <w:szCs w:val="22"/>
                <w:lang w:eastAsia="es-AR"/>
              </w:rPr>
            </w:pPr>
            <w:r>
              <w:rPr>
                <w:rFonts w:ascii="Times New Roman" w:hAnsi="Times New Roman" w:cs="Times New Roman"/>
                <w:sz w:val="22"/>
                <w:szCs w:val="22"/>
                <w:lang w:eastAsia="es-AR"/>
              </w:rPr>
              <w:t>1,25</w:t>
            </w:r>
            <w:r w:rsidR="00015892" w:rsidRPr="00506990">
              <w:rPr>
                <w:rFonts w:ascii="Times New Roman" w:hAnsi="Times New Roman" w:cs="Times New Roman"/>
                <w:sz w:val="22"/>
                <w:szCs w:val="22"/>
                <w:lang w:eastAsia="es-AR"/>
              </w:rPr>
              <w:t>%</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B786F9" w14:textId="77777777" w:rsidR="00015892" w:rsidRPr="00506990" w:rsidRDefault="00015892" w:rsidP="00546BED">
            <w:pPr>
              <w:spacing w:before="100" w:beforeAutospacing="1" w:after="100" w:afterAutospacing="1"/>
              <w:rPr>
                <w:rFonts w:ascii="Times New Roman" w:hAnsi="Times New Roman" w:cs="Times New Roman"/>
                <w:sz w:val="22"/>
                <w:szCs w:val="22"/>
                <w:lang w:eastAsia="es-AR"/>
              </w:rPr>
            </w:pPr>
            <w:r w:rsidRPr="00506990">
              <w:rPr>
                <w:rFonts w:ascii="Times New Roman" w:hAnsi="Times New Roman" w:cs="Times New Roman"/>
                <w:sz w:val="22"/>
                <w:szCs w:val="22"/>
                <w:lang w:eastAsia="es-AR"/>
              </w:rPr>
              <w:t>18.000.000</w:t>
            </w:r>
          </w:p>
        </w:tc>
      </w:tr>
    </w:tbl>
    <w:p w14:paraId="6C91FDFA"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0CE6E268"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Asimismo, se ha habilitado al Poder Ejecutivo a fijar alícuotas diferenciales superiores de hasta el 2,50% para gravar los bienes situados en el exterior, así como de disminuirla para el caso de verificarse la repatriación del producto de la realización de los activos financieros allí situados. Para tales supuestos se establece (i) una definición de los bienes que se consideran como activos financieros situados en el exterior, y (ii) que el mínimo no imponible se restará en primer término de los bienes situados en el país.</w:t>
      </w:r>
    </w:p>
    <w:p w14:paraId="1088650F" w14:textId="77777777" w:rsidR="00FE24AF" w:rsidRPr="008E789E" w:rsidRDefault="00FE24AF" w:rsidP="00FE24AF">
      <w:pPr>
        <w:tabs>
          <w:tab w:val="center" w:pos="4252"/>
          <w:tab w:val="right" w:pos="8504"/>
        </w:tabs>
        <w:rPr>
          <w:rFonts w:ascii="Times New Roman" w:hAnsi="Times New Roman" w:cs="Times New Roman"/>
          <w:sz w:val="22"/>
          <w:szCs w:val="22"/>
        </w:rPr>
      </w:pPr>
    </w:p>
    <w:p w14:paraId="5B99A98B"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En virtud de ello, a través del artículo 9° del Decreto Reglamentario 99/2019 se establecieron las siguientes alícuotas:</w:t>
      </w:r>
    </w:p>
    <w:p w14:paraId="310A2312" w14:textId="77777777" w:rsidR="00FE24AF" w:rsidRPr="008E789E" w:rsidRDefault="00FE24AF" w:rsidP="00FE24AF">
      <w:pPr>
        <w:tabs>
          <w:tab w:val="center" w:pos="4252"/>
          <w:tab w:val="right" w:pos="8504"/>
        </w:tabs>
      </w:pPr>
    </w:p>
    <w:tbl>
      <w:tblPr>
        <w:tblW w:w="8680" w:type="dxa"/>
        <w:tblInd w:w="85" w:type="dxa"/>
        <w:tblCellMar>
          <w:left w:w="70" w:type="dxa"/>
          <w:right w:w="70" w:type="dxa"/>
        </w:tblCellMar>
        <w:tblLook w:val="04A0" w:firstRow="1" w:lastRow="0" w:firstColumn="1" w:lastColumn="0" w:noHBand="0" w:noVBand="1"/>
      </w:tblPr>
      <w:tblGrid>
        <w:gridCol w:w="1420"/>
        <w:gridCol w:w="1560"/>
        <w:gridCol w:w="5700"/>
      </w:tblGrid>
      <w:tr w:rsidR="00FE24AF" w:rsidRPr="008E789E" w14:paraId="56F696EF" w14:textId="77777777" w:rsidTr="00C330B0">
        <w:trPr>
          <w:trHeight w:val="900"/>
        </w:trPr>
        <w:tc>
          <w:tcPr>
            <w:tcW w:w="2980" w:type="dxa"/>
            <w:gridSpan w:val="2"/>
            <w:tcBorders>
              <w:top w:val="single" w:sz="12" w:space="0" w:color="000000"/>
              <w:left w:val="single" w:sz="12" w:space="0" w:color="000000"/>
              <w:bottom w:val="single" w:sz="8" w:space="0" w:color="000000"/>
              <w:right w:val="single" w:sz="8" w:space="0" w:color="000000"/>
            </w:tcBorders>
            <w:shd w:val="clear" w:color="000000" w:fill="A6A6A6"/>
            <w:vAlign w:val="center"/>
            <w:hideMark/>
          </w:tcPr>
          <w:p w14:paraId="6CF040C1"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Valor total de los bienes del país y del exterior</w:t>
            </w:r>
          </w:p>
        </w:tc>
        <w:tc>
          <w:tcPr>
            <w:tcW w:w="5700" w:type="dxa"/>
            <w:vMerge w:val="restart"/>
            <w:tcBorders>
              <w:top w:val="single" w:sz="12" w:space="0" w:color="000000"/>
              <w:left w:val="single" w:sz="8" w:space="0" w:color="000000"/>
              <w:bottom w:val="single" w:sz="8" w:space="0" w:color="000000"/>
              <w:right w:val="single" w:sz="12" w:space="0" w:color="000000"/>
            </w:tcBorders>
            <w:shd w:val="clear" w:color="000000" w:fill="A6A6A6"/>
            <w:vAlign w:val="center"/>
            <w:hideMark/>
          </w:tcPr>
          <w:p w14:paraId="57F1166F"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El valor total de los bienes situados en el exterior que exceda el mínimo no imponible no computado contra los bienes del país pagarán el %</w:t>
            </w:r>
          </w:p>
        </w:tc>
      </w:tr>
      <w:tr w:rsidR="00FE24AF" w:rsidRPr="008E789E" w14:paraId="0637FEAF" w14:textId="77777777" w:rsidTr="00C330B0">
        <w:trPr>
          <w:trHeight w:val="315"/>
        </w:trPr>
        <w:tc>
          <w:tcPr>
            <w:tcW w:w="1420" w:type="dxa"/>
            <w:tcBorders>
              <w:top w:val="nil"/>
              <w:left w:val="single" w:sz="12" w:space="0" w:color="000000"/>
              <w:bottom w:val="single" w:sz="8" w:space="0" w:color="000000"/>
              <w:right w:val="single" w:sz="8" w:space="0" w:color="000000"/>
            </w:tcBorders>
            <w:shd w:val="clear" w:color="000000" w:fill="A6A6A6"/>
            <w:vAlign w:val="center"/>
            <w:hideMark/>
          </w:tcPr>
          <w:p w14:paraId="4D093D45"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Más de $</w:t>
            </w:r>
          </w:p>
        </w:tc>
        <w:tc>
          <w:tcPr>
            <w:tcW w:w="1560" w:type="dxa"/>
            <w:tcBorders>
              <w:top w:val="nil"/>
              <w:left w:val="nil"/>
              <w:bottom w:val="single" w:sz="8" w:space="0" w:color="000000"/>
              <w:right w:val="single" w:sz="8" w:space="0" w:color="000000"/>
            </w:tcBorders>
            <w:shd w:val="clear" w:color="000000" w:fill="A6A6A6"/>
            <w:vAlign w:val="center"/>
            <w:hideMark/>
          </w:tcPr>
          <w:p w14:paraId="76804FDD" w14:textId="77777777" w:rsidR="00FE24AF" w:rsidRPr="008E789E" w:rsidRDefault="00FE24AF" w:rsidP="00C330B0">
            <w:pPr>
              <w:jc w:val="center"/>
              <w:rPr>
                <w:rFonts w:ascii="Verdana" w:eastAsia="Times New Roman" w:hAnsi="Verdana" w:cs="Calibri"/>
                <w:b/>
                <w:bCs/>
                <w:color w:val="000000"/>
                <w:sz w:val="15"/>
                <w:szCs w:val="15"/>
                <w:lang w:val="es-AR" w:eastAsia="es-AR"/>
              </w:rPr>
            </w:pPr>
            <w:r w:rsidRPr="008E789E">
              <w:rPr>
                <w:rFonts w:ascii="Verdana" w:eastAsia="Times New Roman" w:hAnsi="Verdana" w:cs="Calibri"/>
                <w:b/>
                <w:bCs/>
                <w:color w:val="000000"/>
                <w:sz w:val="15"/>
                <w:szCs w:val="15"/>
                <w:lang w:val="es-AR" w:eastAsia="es-AR"/>
              </w:rPr>
              <w:t>a $</w:t>
            </w:r>
          </w:p>
        </w:tc>
        <w:tc>
          <w:tcPr>
            <w:tcW w:w="5700" w:type="dxa"/>
            <w:vMerge/>
            <w:tcBorders>
              <w:top w:val="single" w:sz="12" w:space="0" w:color="000000"/>
              <w:left w:val="single" w:sz="8" w:space="0" w:color="000000"/>
              <w:bottom w:val="single" w:sz="8" w:space="0" w:color="000000"/>
              <w:right w:val="single" w:sz="12" w:space="0" w:color="000000"/>
            </w:tcBorders>
            <w:vAlign w:val="center"/>
            <w:hideMark/>
          </w:tcPr>
          <w:p w14:paraId="3384BC49" w14:textId="77777777" w:rsidR="00FE24AF" w:rsidRPr="008E789E" w:rsidRDefault="00FE24AF" w:rsidP="00C330B0">
            <w:pPr>
              <w:jc w:val="left"/>
              <w:rPr>
                <w:rFonts w:ascii="Verdana" w:eastAsia="Times New Roman" w:hAnsi="Verdana" w:cs="Calibri"/>
                <w:b/>
                <w:bCs/>
                <w:color w:val="000000"/>
                <w:sz w:val="15"/>
                <w:szCs w:val="15"/>
                <w:lang w:val="es-AR" w:eastAsia="es-AR"/>
              </w:rPr>
            </w:pPr>
          </w:p>
        </w:tc>
      </w:tr>
      <w:tr w:rsidR="00FE24AF" w:rsidRPr="008E789E" w14:paraId="3013BB35" w14:textId="77777777" w:rsidTr="00C330B0">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2D3241F6"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0</w:t>
            </w:r>
          </w:p>
        </w:tc>
        <w:tc>
          <w:tcPr>
            <w:tcW w:w="1560" w:type="dxa"/>
            <w:tcBorders>
              <w:top w:val="nil"/>
              <w:left w:val="nil"/>
              <w:bottom w:val="single" w:sz="8" w:space="0" w:color="000000"/>
              <w:right w:val="single" w:sz="8" w:space="0" w:color="000000"/>
            </w:tcBorders>
            <w:shd w:val="clear" w:color="auto" w:fill="auto"/>
            <w:vAlign w:val="center"/>
            <w:hideMark/>
          </w:tcPr>
          <w:p w14:paraId="7C1951A8"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3.000.000,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725E8B52"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0,7</w:t>
            </w:r>
          </w:p>
        </w:tc>
      </w:tr>
      <w:tr w:rsidR="00FE24AF" w:rsidRPr="008E789E" w14:paraId="04CB2A3D" w14:textId="77777777" w:rsidTr="00C330B0">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0001A1D2"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3.000.000</w:t>
            </w:r>
          </w:p>
        </w:tc>
        <w:tc>
          <w:tcPr>
            <w:tcW w:w="1560" w:type="dxa"/>
            <w:tcBorders>
              <w:top w:val="nil"/>
              <w:left w:val="nil"/>
              <w:bottom w:val="single" w:sz="8" w:space="0" w:color="000000"/>
              <w:right w:val="single" w:sz="8" w:space="0" w:color="000000"/>
            </w:tcBorders>
            <w:shd w:val="clear" w:color="auto" w:fill="auto"/>
            <w:vAlign w:val="center"/>
            <w:hideMark/>
          </w:tcPr>
          <w:p w14:paraId="59A9A64A"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6.500.000,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5C5D5D25"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1,2</w:t>
            </w:r>
          </w:p>
        </w:tc>
      </w:tr>
      <w:tr w:rsidR="00FE24AF" w:rsidRPr="008E789E" w14:paraId="10E6AD05" w14:textId="77777777" w:rsidTr="00C330B0">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012018D1"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6.500.000</w:t>
            </w:r>
          </w:p>
        </w:tc>
        <w:tc>
          <w:tcPr>
            <w:tcW w:w="1560" w:type="dxa"/>
            <w:tcBorders>
              <w:top w:val="nil"/>
              <w:left w:val="nil"/>
              <w:bottom w:val="single" w:sz="8" w:space="0" w:color="000000"/>
              <w:right w:val="single" w:sz="8" w:space="0" w:color="000000"/>
            </w:tcBorders>
            <w:shd w:val="clear" w:color="auto" w:fill="auto"/>
            <w:vAlign w:val="center"/>
            <w:hideMark/>
          </w:tcPr>
          <w:p w14:paraId="4764B54F"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7D8C780E"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w:t>
            </w:r>
          </w:p>
        </w:tc>
      </w:tr>
      <w:tr w:rsidR="00FE24AF" w:rsidRPr="008E789E" w14:paraId="090E3E3B" w14:textId="77777777" w:rsidTr="00C330B0">
        <w:trPr>
          <w:trHeight w:val="315"/>
        </w:trPr>
        <w:tc>
          <w:tcPr>
            <w:tcW w:w="1420" w:type="dxa"/>
            <w:tcBorders>
              <w:top w:val="nil"/>
              <w:left w:val="single" w:sz="12" w:space="0" w:color="000000"/>
              <w:bottom w:val="single" w:sz="12" w:space="0" w:color="000000"/>
              <w:right w:val="single" w:sz="8" w:space="0" w:color="000000"/>
            </w:tcBorders>
            <w:shd w:val="clear" w:color="auto" w:fill="auto"/>
            <w:vAlign w:val="center"/>
            <w:hideMark/>
          </w:tcPr>
          <w:p w14:paraId="7C885D13"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18.000.000</w:t>
            </w:r>
          </w:p>
        </w:tc>
        <w:tc>
          <w:tcPr>
            <w:tcW w:w="1560" w:type="dxa"/>
            <w:tcBorders>
              <w:top w:val="nil"/>
              <w:left w:val="nil"/>
              <w:bottom w:val="single" w:sz="12" w:space="0" w:color="000000"/>
              <w:right w:val="single" w:sz="8" w:space="0" w:color="000000"/>
            </w:tcBorders>
            <w:shd w:val="clear" w:color="auto" w:fill="auto"/>
            <w:vAlign w:val="center"/>
            <w:hideMark/>
          </w:tcPr>
          <w:p w14:paraId="16678DF4"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En adelante</w:t>
            </w:r>
          </w:p>
        </w:tc>
        <w:tc>
          <w:tcPr>
            <w:tcW w:w="5700" w:type="dxa"/>
            <w:tcBorders>
              <w:top w:val="nil"/>
              <w:left w:val="nil"/>
              <w:bottom w:val="single" w:sz="12" w:space="0" w:color="000000"/>
              <w:right w:val="single" w:sz="12" w:space="0" w:color="000000"/>
            </w:tcBorders>
            <w:shd w:val="clear" w:color="auto" w:fill="auto"/>
            <w:vAlign w:val="center"/>
            <w:hideMark/>
          </w:tcPr>
          <w:p w14:paraId="1DBD7A6C" w14:textId="77777777" w:rsidR="00FE24AF" w:rsidRPr="008E789E" w:rsidRDefault="00FE24AF" w:rsidP="00C330B0">
            <w:pPr>
              <w:jc w:val="center"/>
              <w:rPr>
                <w:rFonts w:ascii="Verdana" w:eastAsia="Times New Roman" w:hAnsi="Verdana" w:cs="Calibri"/>
                <w:color w:val="000000"/>
                <w:sz w:val="15"/>
                <w:szCs w:val="15"/>
                <w:lang w:val="es-AR" w:eastAsia="es-AR"/>
              </w:rPr>
            </w:pPr>
            <w:r w:rsidRPr="008E789E">
              <w:rPr>
                <w:rFonts w:ascii="Verdana" w:eastAsia="Times New Roman" w:hAnsi="Verdana" w:cs="Calibri"/>
                <w:color w:val="000000"/>
                <w:sz w:val="15"/>
                <w:szCs w:val="15"/>
                <w:lang w:val="es-AR" w:eastAsia="es-AR"/>
              </w:rPr>
              <w:t>2,25</w:t>
            </w:r>
          </w:p>
        </w:tc>
      </w:tr>
    </w:tbl>
    <w:p w14:paraId="02760B5E" w14:textId="77777777" w:rsidR="00FE24AF" w:rsidRPr="008E789E" w:rsidRDefault="00FE24AF" w:rsidP="00FE24AF">
      <w:pPr>
        <w:tabs>
          <w:tab w:val="center" w:pos="4252"/>
          <w:tab w:val="right" w:pos="8504"/>
        </w:tabs>
        <w:rPr>
          <w:rFonts w:ascii="Times New Roman" w:eastAsia="Times New Roman" w:hAnsi="Times New Roman" w:cs="Times New Roman"/>
          <w:sz w:val="22"/>
          <w:szCs w:val="22"/>
          <w:lang w:val="es-ES"/>
        </w:rPr>
      </w:pPr>
    </w:p>
    <w:p w14:paraId="059ED5E4"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 xml:space="preserve">Quedan exceptuados del pago del gravamen conforme a el cuadro anterior (y por lo tanto deberán aplicar la “primera escala” transcripta para los bienes del país y del exterior) los sujetos que hubieren repatriado activos financieros al 31 de marzo del año siguiente al del período fiscal por -al menos- un 5% del total del valor de los bienes situados en el exterior. </w:t>
      </w:r>
    </w:p>
    <w:p w14:paraId="39803CE9" w14:textId="77777777" w:rsidR="00FE24AF" w:rsidRPr="008E789E" w:rsidRDefault="00FE24AF" w:rsidP="00FE24AF">
      <w:pPr>
        <w:tabs>
          <w:tab w:val="center" w:pos="4252"/>
          <w:tab w:val="right" w:pos="8504"/>
        </w:tabs>
        <w:rPr>
          <w:rFonts w:ascii="Times New Roman" w:hAnsi="Times New Roman" w:cs="Times New Roman"/>
          <w:sz w:val="22"/>
          <w:szCs w:val="22"/>
        </w:rPr>
      </w:pPr>
    </w:p>
    <w:p w14:paraId="07AD8025" w14:textId="77777777" w:rsidR="00FE24AF" w:rsidRPr="008E789E"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El beneficio se mantendrá en la medida que esos fondos permanezcan depositados hasta el 31 de diciembre, inclusive, del año calendario en que se hubiera verificado la repatriación (en el primer año, hasta el 31 de diciembre de 2020) en entidades financieras comprendidas en el régimen de la Ley N° 21.526 y sus modificatorias, a nombre de su titular</w:t>
      </w:r>
    </w:p>
    <w:p w14:paraId="2619B6E7" w14:textId="77777777" w:rsidR="00FE24AF" w:rsidRPr="008E789E" w:rsidRDefault="00FE24AF" w:rsidP="00FE24AF">
      <w:pPr>
        <w:tabs>
          <w:tab w:val="center" w:pos="4252"/>
          <w:tab w:val="right" w:pos="8504"/>
        </w:tabs>
        <w:rPr>
          <w:rFonts w:ascii="Times New Roman" w:eastAsia="Times New Roman" w:hAnsi="Times New Roman" w:cs="Times New Roman"/>
          <w:sz w:val="22"/>
          <w:szCs w:val="22"/>
          <w:lang w:val="es-ES"/>
        </w:rPr>
      </w:pPr>
    </w:p>
    <w:p w14:paraId="37C960C6" w14:textId="3F8C2ABA"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A su vez, respecto de las personas  humanas y las sucesiones indivisas domiciliadas o radicadas en el extranjero el referido impuesto debe ser pagado por la persona domiciliada en la Argentina que tenga el dominio, posesión, uso, goce, disposición, depósito, tenencia, custodia, administración o guarda de los valores (el “Responsable Sustituto”), que deberá aplicar la alícuota del 0,5%</w:t>
      </w:r>
      <w:r w:rsidR="00FE24AF">
        <w:rPr>
          <w:rFonts w:ascii="Times New Roman" w:eastAsia="Times New Roman" w:hAnsi="Times New Roman" w:cs="Times New Roman"/>
          <w:sz w:val="22"/>
          <w:szCs w:val="22"/>
          <w:lang w:val="es-ES"/>
        </w:rPr>
        <w:t xml:space="preserve"> (antes 0,25%)</w:t>
      </w:r>
      <w:r w:rsidRPr="00506990">
        <w:rPr>
          <w:rFonts w:ascii="Times New Roman" w:eastAsia="Times New Roman" w:hAnsi="Times New Roman" w:cs="Times New Roman"/>
          <w:sz w:val="22"/>
          <w:szCs w:val="22"/>
          <w:lang w:val="es-ES"/>
        </w:rPr>
        <w:t>.</w:t>
      </w:r>
    </w:p>
    <w:p w14:paraId="439256A2"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6012625C" w14:textId="1245ABA8" w:rsidR="00015892"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El Responsable Sustituto podrá recuperar las sumas pagadas en concepto de Impuesto sobre los Bienes Personales, reteniendo o enajenando los Valores Fiduciarios respecto de los cuales el impuesto resultó aplicable. El impuesto no resultará aplicable a las personas humanas o sucesiones indivisas residentes en el exterior que sean tenedores respecto de quienes no exista un Responsable Sustituto en la Argentina. </w:t>
      </w:r>
    </w:p>
    <w:p w14:paraId="5FCF490E" w14:textId="77777777" w:rsidR="00FE24AF" w:rsidRPr="00012B5F" w:rsidRDefault="00FE24AF" w:rsidP="00FE24AF">
      <w:pPr>
        <w:tabs>
          <w:tab w:val="center" w:pos="4252"/>
          <w:tab w:val="right" w:pos="8504"/>
        </w:tabs>
        <w:rPr>
          <w:rFonts w:ascii="Times New Roman" w:hAnsi="Times New Roman" w:cs="Times New Roman"/>
          <w:sz w:val="22"/>
          <w:szCs w:val="22"/>
        </w:rPr>
      </w:pPr>
      <w:r w:rsidRPr="008E789E">
        <w:rPr>
          <w:rFonts w:ascii="Times New Roman" w:hAnsi="Times New Roman" w:cs="Times New Roman"/>
          <w:sz w:val="22"/>
          <w:szCs w:val="22"/>
        </w:rPr>
        <w:t>Cabe aclarar que la Ley N° 27.541 ha establecido que con efectos a partir del periodo fiscal 2019, respecto de la condición de los contribuyentes el sujeto del impuesto se regirá por el criterio de residencia en los términos de los artículos 119 y siguientes de la Ley del Impuesto a las Ganancias (t.o. 2019), quedando sin efecto el criterio del domicilio.</w:t>
      </w:r>
    </w:p>
    <w:p w14:paraId="5F3A6F5E" w14:textId="77777777" w:rsidR="00FE24AF" w:rsidRPr="006E1DEB" w:rsidRDefault="00FE24AF" w:rsidP="00015892">
      <w:pPr>
        <w:tabs>
          <w:tab w:val="center" w:pos="4252"/>
          <w:tab w:val="right" w:pos="8504"/>
        </w:tabs>
        <w:rPr>
          <w:rFonts w:ascii="Times New Roman" w:eastAsia="Times New Roman" w:hAnsi="Times New Roman" w:cs="Times New Roman"/>
          <w:sz w:val="22"/>
          <w:szCs w:val="22"/>
        </w:rPr>
      </w:pPr>
    </w:p>
    <w:p w14:paraId="3C5457A3"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0AB2D77E"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II.5. Impuesto a la Ganancia Mínima Presunta</w:t>
      </w:r>
    </w:p>
    <w:p w14:paraId="0A01B6FF"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4C17EF98" w14:textId="390C433B" w:rsidR="00015892" w:rsidRPr="00506990" w:rsidRDefault="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 xml:space="preserve"> </w:t>
      </w:r>
    </w:p>
    <w:p w14:paraId="4D4F86A4" w14:textId="4C27041A"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Por medio del artículo 76 de la ley Nº 27.260 (Boletín Oficial del 22/07/2016) se derogó este impuesto para los ejercicios que se inician a partir del 1º de enero de 2019</w:t>
      </w:r>
      <w:r w:rsidR="00771105" w:rsidRPr="00506990">
        <w:rPr>
          <w:rFonts w:ascii="Times New Roman" w:eastAsia="Times New Roman" w:hAnsi="Times New Roman" w:cs="Times New Roman"/>
          <w:sz w:val="22"/>
          <w:szCs w:val="22"/>
          <w:lang w:val="es-ES"/>
        </w:rPr>
        <w:t xml:space="preserve">. </w:t>
      </w:r>
    </w:p>
    <w:p w14:paraId="7EED150B"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684D5489"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 xml:space="preserve">II.6. Impuesto sobre los Débitos y Créditos en Cuentas Corrientes Bancarias </w:t>
      </w:r>
    </w:p>
    <w:p w14:paraId="79B0EA40"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p>
    <w:p w14:paraId="13179B54" w14:textId="77777777" w:rsidR="00015892" w:rsidRPr="00506990" w:rsidRDefault="00015892" w:rsidP="00015892">
      <w:pPr>
        <w:tabs>
          <w:tab w:val="center" w:pos="4252"/>
          <w:tab w:val="right" w:pos="8504"/>
        </w:tabs>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ES"/>
        </w:rPr>
        <w:t>La compra, transferencia, percepción de toda suma u otros movimientos vinculados con estos títulos valores, efectuados a través de cuentas corrientes bancarias, estará alcanzado por el impuesto a la alícuota general del 0,6%.</w:t>
      </w:r>
    </w:p>
    <w:p w14:paraId="0BAEA595"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De acuerdo a lo dispuesto por el Decreto Nº 409//2018 (Boletín Oficial 07/05/2018, el cual sustituyó el articulo 13 al Decreto Nº380/2001 (reglamentario de la Ley 25413 de Impuesto sobre los Débitos y Créditos en Cuentas Bancarias) los titulares de cuentas bancarias gravadas podrán computar como crédito de impuestos, indistintamente, contra el Impuesto a las Ganancias y/o el Impuesto a la Ganancia Mínima Presunta o la Contribución Especial sobre el Capital de las Cooperativas, el 33% de los importes liquidados y percibidos por el agente de percepción en concepto del presente gravamen, originados en las sumas debitadas y acreditadas en dichas cuentas, por los hechos imponibles que se perfeccionen desde el 01/01/2018.</w:t>
      </w:r>
    </w:p>
    <w:p w14:paraId="46130438"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 </w:t>
      </w:r>
    </w:p>
    <w:p w14:paraId="6295AFE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Por otra parte, según lo dispuesto por el artículo 6º de la Ley 27.264, las empresas que sean consideradas “micro” y “pequeñas”, pueden computar como pago a cuenta del Impuesto a las Ganancias el 100% del impuesto a los Débitos y Créditos pagado; en tanto las industrias manufactureras consideradas “medianas -tramo 1-” en los términos del artículo 1° de la ley 25.300 y sus normas complementarias, podrán computar hasta el 60% del impuesto pagado (porcentaje establecido por el Decreto 409/18)</w:t>
      </w:r>
    </w:p>
    <w:p w14:paraId="238B4AA1" w14:textId="77777777" w:rsidR="00015892" w:rsidRPr="00506990" w:rsidRDefault="00015892" w:rsidP="00015892">
      <w:pPr>
        <w:rPr>
          <w:rFonts w:ascii="Times New Roman" w:eastAsia="Times New Roman" w:hAnsi="Times New Roman" w:cs="Times New Roman"/>
          <w:iCs/>
          <w:sz w:val="22"/>
          <w:szCs w:val="22"/>
          <w:lang w:val="es-AR"/>
        </w:rPr>
      </w:pPr>
    </w:p>
    <w:p w14:paraId="31BABE0F" w14:textId="77777777" w:rsidR="00015892" w:rsidRPr="00506990" w:rsidRDefault="00015892" w:rsidP="00015892">
      <w:pPr>
        <w:rPr>
          <w:rFonts w:ascii="Times New Roman" w:eastAsia="Times New Roman" w:hAnsi="Times New Roman" w:cs="Times New Roman"/>
          <w:b/>
          <w:bCs/>
          <w:sz w:val="22"/>
          <w:szCs w:val="22"/>
          <w:u w:val="single"/>
          <w:lang w:val="es-AR"/>
        </w:rPr>
      </w:pPr>
      <w:r w:rsidRPr="00506990">
        <w:rPr>
          <w:rFonts w:ascii="Times New Roman" w:eastAsia="Times New Roman" w:hAnsi="Times New Roman" w:cs="Times New Roman"/>
          <w:b/>
          <w:bCs/>
          <w:sz w:val="22"/>
          <w:szCs w:val="22"/>
          <w:lang w:val="es-AR"/>
        </w:rPr>
        <w:t>II.7 Regímenes de información sobre fideicomisos. RG AFIP Nº3312</w:t>
      </w:r>
    </w:p>
    <w:p w14:paraId="641A086F" w14:textId="77777777" w:rsidR="00015892" w:rsidRPr="00506990" w:rsidRDefault="00015892" w:rsidP="00015892">
      <w:pPr>
        <w:rPr>
          <w:rFonts w:ascii="Times New Roman" w:eastAsia="Times New Roman" w:hAnsi="Times New Roman" w:cs="Times New Roman"/>
          <w:sz w:val="22"/>
          <w:szCs w:val="22"/>
          <w:lang w:val="es-AR"/>
        </w:rPr>
      </w:pPr>
    </w:p>
    <w:p w14:paraId="55C272FF"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Por medio de la Res. Gral. Nº3312 del 18/04/12 la Administración Federal de Ingresos Públicos implementó un régimen de información sobre fideicomisos constituidos en los términos de la ley 24.441 y el Código Civil y Comercial de la Nación, incluyendo a los financieros. Bajo dicha normativa. corresponde suministrar a la AFIP determinados datos al 31 de diciembre de cada año (“Régimen de información anual”), y además, deben informarse  (“Régimen de registración de operaciones”), en el plazo perentorio de 10 días hábiles contados a partir de la fecha de formalización de la operación (vgr. cancelación total o parcial, documento público o privado, actas o registraciones, entre otras, la que ocurra primero), determinados hechos como por ejemplo: constitución inicial de fideicomisos, ingresos y egresos de fiduciantes y/o beneficiarios, que se produzcan con posterioridad al inicio, transferencias o cesiones gratuitas u onerosas de participaciones o derechos en fideicomisos, entregas de bienes efectuadas a fideicomisos, con posterioridad a su constitución, modificaciones al contrato inicial, asignación de beneficios y extinción de contratos de fideicomisos.</w:t>
      </w:r>
    </w:p>
    <w:p w14:paraId="1FC29753" w14:textId="77777777" w:rsidR="00015892" w:rsidRPr="00506990" w:rsidRDefault="00015892" w:rsidP="00015892">
      <w:pPr>
        <w:rPr>
          <w:rFonts w:ascii="Times New Roman" w:eastAsia="Times New Roman" w:hAnsi="Times New Roman" w:cs="Times New Roman"/>
          <w:sz w:val="22"/>
          <w:szCs w:val="22"/>
          <w:lang w:val="es-AR"/>
        </w:rPr>
      </w:pPr>
    </w:p>
    <w:p w14:paraId="07341A35"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Si bien el principal agente de información es el fiduciario, también quedan obligados a actuar como tales los vendedores o cedentes y adquirentes o cesionarios de participaciones en fideicomisos constituidos en el país, respecto a las transferencias o cesiones gratuitas u onerosas de participaciones o derechos en fideicomisos.  </w:t>
      </w:r>
    </w:p>
    <w:p w14:paraId="74DE0891" w14:textId="77777777" w:rsidR="00015892" w:rsidRPr="00506990" w:rsidRDefault="00015892" w:rsidP="00015892">
      <w:pPr>
        <w:rPr>
          <w:rFonts w:ascii="Times New Roman" w:eastAsia="Times New Roman" w:hAnsi="Times New Roman" w:cs="Times New Roman"/>
          <w:sz w:val="22"/>
          <w:szCs w:val="22"/>
          <w:lang w:val="es-AR"/>
        </w:rPr>
      </w:pPr>
    </w:p>
    <w:p w14:paraId="04FB8E0D" w14:textId="77777777" w:rsidR="00015892" w:rsidRPr="00506990" w:rsidRDefault="00015892" w:rsidP="00015892">
      <w:pPr>
        <w:rPr>
          <w:rFonts w:ascii="Times New Roman" w:eastAsia="Times New Roman" w:hAnsi="Times New Roman" w:cs="Times New Roman"/>
          <w:sz w:val="22"/>
          <w:szCs w:val="22"/>
          <w:lang w:val="es-ES"/>
        </w:rPr>
      </w:pPr>
      <w:r w:rsidRPr="00506990">
        <w:rPr>
          <w:rFonts w:ascii="Times New Roman" w:eastAsia="Times New Roman" w:hAnsi="Times New Roman" w:cs="Times New Roman"/>
          <w:sz w:val="22"/>
          <w:szCs w:val="22"/>
          <w:lang w:val="es-AR"/>
        </w:rPr>
        <w:t>El contrato de fideicomiso quedará sujeto al régimen de información aludido en los párrafos precedentes.</w:t>
      </w:r>
    </w:p>
    <w:p w14:paraId="41854770" w14:textId="77777777" w:rsidR="00015892" w:rsidRPr="00506990" w:rsidRDefault="00015892" w:rsidP="00015892">
      <w:pPr>
        <w:rPr>
          <w:rFonts w:ascii="Times New Roman" w:eastAsia="Times New Roman" w:hAnsi="Times New Roman" w:cs="Times New Roman"/>
          <w:sz w:val="22"/>
          <w:szCs w:val="22"/>
          <w:lang w:val="es-AR"/>
        </w:rPr>
      </w:pPr>
    </w:p>
    <w:p w14:paraId="31126ECD"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La Res Gral Nº3538/2013 de la AFIP del 12/11/13 introdujo modificaciones en la Res Gral Nº3312 disponiendo la obligatoriedad de presentar electrónicamente la documentación respaldatoria de las operaciones registradas (“Régimen de Registración de Operaciones”) en formato “pdf”, en el mismo plazo previsto para la registración, es decir, de 10 días hábiles contados a partir de la fecha de formalización de la operación (vgr. cancelación total o parcial, documento público o privado, actas o registraciones, entre otras, la que ocurra primero).</w:t>
      </w:r>
    </w:p>
    <w:p w14:paraId="2B318385" w14:textId="77777777" w:rsidR="00015892" w:rsidRPr="00506990" w:rsidRDefault="00015892" w:rsidP="00015892">
      <w:pPr>
        <w:rPr>
          <w:rFonts w:ascii="Times New Roman" w:eastAsia="Times New Roman" w:hAnsi="Times New Roman" w:cs="Times New Roman"/>
          <w:sz w:val="22"/>
          <w:szCs w:val="22"/>
          <w:lang w:val="es-AR"/>
        </w:rPr>
      </w:pPr>
    </w:p>
    <w:p w14:paraId="258F3F03"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No obstante, los fideicomisos financieros que cuenten con la autorización de la Comisión Nacional de Valores para hacer Oferta Pública de sus valores fiduciarios, quedan exceptuados de suministrar electrónicamente la documentación respaldatoria de las registraciones.(art. 1°, pto 1, RG N°3538/13)</w:t>
      </w:r>
    </w:p>
    <w:p w14:paraId="03712AB0" w14:textId="77777777" w:rsidR="00015892" w:rsidRPr="00506990" w:rsidRDefault="00015892" w:rsidP="00015892">
      <w:pPr>
        <w:rPr>
          <w:rFonts w:ascii="Times New Roman" w:eastAsia="Times New Roman" w:hAnsi="Times New Roman" w:cs="Times New Roman"/>
          <w:sz w:val="22"/>
          <w:szCs w:val="22"/>
          <w:lang w:val="es-AR"/>
        </w:rPr>
      </w:pPr>
    </w:p>
    <w:p w14:paraId="277F5830" w14:textId="77777777" w:rsidR="00015892" w:rsidRPr="00506990" w:rsidRDefault="00015892" w:rsidP="00015892">
      <w:pPr>
        <w:rPr>
          <w:rFonts w:ascii="Times New Roman" w:eastAsia="Times New Roman" w:hAnsi="Times New Roman" w:cs="Times New Roman"/>
          <w:b/>
          <w:bCs/>
          <w:sz w:val="22"/>
          <w:szCs w:val="22"/>
          <w:lang w:val="es-AR"/>
        </w:rPr>
      </w:pPr>
      <w:r w:rsidRPr="00506990">
        <w:rPr>
          <w:rFonts w:ascii="Times New Roman" w:eastAsia="Times New Roman" w:hAnsi="Times New Roman" w:cs="Times New Roman"/>
          <w:b/>
          <w:bCs/>
          <w:sz w:val="22"/>
          <w:szCs w:val="22"/>
          <w:lang w:val="es-AR"/>
        </w:rPr>
        <w:t>II. 8. Ingreso de fondos de jurisdicciones de baja o nula tributación.</w:t>
      </w:r>
    </w:p>
    <w:p w14:paraId="5B66F065"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17212D0F"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De acuerdo con lo establecido en el artículo agregado sin número a continuación del artículo 18 de la ley de Procedimiento Fiscal Federal 11.683, todo residente local que reciba fondos de cualquier naturaleza (es decir, préstamos, aportes de capital, etc.) de jurisdicciones de nula o baja tributación, se encuentra sujeta al Impuesto a las Ganancias y al Impuesto al Valor Agregado sobre una base imponible del 110% de los montos recibidos de dichas entidades (con algunas excepciones limitadas). Ello, basado en la presunción de que tales montos constituyen incrementos patrimoniales no justificados para la parte local que los recibe. Si bien podría sostenerse que esta disposición no debería aplicarse para operaciones de emisión de títulos con oferta pública, no puede asegurarse que la autoridad impositiva comparta este criterio.</w:t>
      </w:r>
    </w:p>
    <w:p w14:paraId="6ECA4E2C"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6225D0E3"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 xml:space="preserve">Según lo precedente, no se espera que los Valores Fiduciarios sean originalmente adquiridos por sujetos -personas jurídicas o </w:t>
      </w:r>
      <w:r w:rsidRPr="00506990">
        <w:rPr>
          <w:rFonts w:ascii="Times New Roman" w:eastAsia="Times New Roman" w:hAnsi="Times New Roman" w:cs="Times New Roman"/>
          <w:sz w:val="22"/>
          <w:szCs w:val="22"/>
          <w:lang w:val="es-AR"/>
        </w:rPr>
        <w:t>humana</w:t>
      </w:r>
      <w:r w:rsidRPr="00506990">
        <w:rPr>
          <w:rFonts w:ascii="Times New Roman" w:eastAsia="Times New Roman" w:hAnsi="Times New Roman" w:cs="Times New Roman"/>
          <w:spacing w:val="-5"/>
          <w:sz w:val="22"/>
          <w:szCs w:val="22"/>
          <w:lang w:val="es-AR"/>
        </w:rPr>
        <w:t xml:space="preserve">s- o entidades domiciliadas o constituidas en jurisdicciones de baja tributación, o comprados por ninguna persona que opere con cuentas bancarias abiertas en entidades financieras ubicadas en jurisdicciones de nula o baja tributación. </w:t>
      </w:r>
    </w:p>
    <w:p w14:paraId="5FCB8BAD"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1EBA4550" w14:textId="77777777" w:rsidR="00015892" w:rsidRPr="00506990" w:rsidRDefault="00015892" w:rsidP="00015892">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Las jurisdicciones de baja tributación según la legislación argentina se encuentran definidas en el artículo 27.1 del decreto reglamentario de la ley del Impuesto a las Ganancias, según la versión de dicho artículo dispuesta por el Decreto 589/2013 del 27/05/2013. Al respecto, la norma considera a ‘países de baja o nula tributación’, a aquellos países no considerados ‘cooperadores a los fines de la transparencia fiscal’.</w:t>
      </w:r>
    </w:p>
    <w:p w14:paraId="6B01E341" w14:textId="77777777" w:rsidR="00015892" w:rsidRPr="00506990" w:rsidRDefault="00015892" w:rsidP="00015892">
      <w:pPr>
        <w:rPr>
          <w:rFonts w:ascii="Times New Roman" w:eastAsia="Times New Roman" w:hAnsi="Times New Roman" w:cs="Times New Roman"/>
          <w:spacing w:val="-5"/>
          <w:sz w:val="22"/>
          <w:szCs w:val="22"/>
          <w:lang w:val="es-AR"/>
        </w:rPr>
      </w:pPr>
    </w:p>
    <w:p w14:paraId="4278229C" w14:textId="77777777" w:rsidR="00015892" w:rsidRPr="00506990" w:rsidRDefault="00015892" w:rsidP="00015892">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Se consideran países, dominios, jurisdicciones, territorios, estados asociados o regímenes tributarios especiales cooperadores a los fines de la transparencia fiscal, aquellos que suscriban con el Gobierno de la República Argentina un acuerdo de intercambio de información en materia tributaria o un convenio para evitar la doble imposición internacional con cláusula de intercambio de información amplio, siempre que se cumplimente el efectivo intercambio de información. El decreto instruyó a la Administración Federal de Ingresos Públicos a elaborar el listado de los países, dominios, jurisdicciones, territorios, estados asociados y regímenes tributarios especiales considerados cooperadores a los fines de la transparencia fiscal, publicarlo en su sitio “web” (</w:t>
      </w:r>
      <w:hyperlink r:id="rId95" w:history="1">
        <w:r w:rsidRPr="00806657">
          <w:rPr>
            <w:rFonts w:ascii="Times New Roman" w:eastAsia="Times New Roman" w:hAnsi="Times New Roman" w:cs="Times New Roman"/>
            <w:color w:val="0000FF"/>
            <w:spacing w:val="-5"/>
            <w:sz w:val="22"/>
            <w:szCs w:val="22"/>
            <w:u w:val="single"/>
            <w:lang w:val="es-AR"/>
          </w:rPr>
          <w:t>http://www.afip.gob.ar</w:t>
        </w:r>
      </w:hyperlink>
      <w:r w:rsidRPr="00506990">
        <w:rPr>
          <w:rFonts w:ascii="Times New Roman" w:eastAsia="Times New Roman" w:hAnsi="Times New Roman" w:cs="Times New Roman"/>
          <w:spacing w:val="-5"/>
          <w:sz w:val="22"/>
          <w:szCs w:val="22"/>
          <w:lang w:val="es-AR"/>
        </w:rPr>
        <w:t>) y mantener actualizada dicha publicación. La vigencia de este listado se estableció a partir del 1/01/1014  (R.G. AFIP Nº3576/2013)</w:t>
      </w:r>
    </w:p>
    <w:p w14:paraId="15D48707" w14:textId="77777777" w:rsidR="00015892" w:rsidRPr="00506990" w:rsidRDefault="00015892" w:rsidP="00015892">
      <w:pPr>
        <w:rPr>
          <w:rFonts w:ascii="Times New Roman" w:eastAsia="Times New Roman" w:hAnsi="Times New Roman" w:cs="Times New Roman"/>
          <w:spacing w:val="-5"/>
          <w:sz w:val="22"/>
          <w:szCs w:val="22"/>
          <w:lang w:val="es-AR"/>
        </w:rPr>
      </w:pPr>
    </w:p>
    <w:p w14:paraId="154CCE8B" w14:textId="77777777" w:rsidR="00015892" w:rsidRPr="00506990" w:rsidRDefault="00015892" w:rsidP="00015892">
      <w:pPr>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 ley Nº 27430 (Boletín Oficial 29/12/2017) ha redefinido el concepto de jurisdicciones de baja o nula tributación, estableciendo que a todos los efectos previstos en la ley del impuesto a las ganancias, cualquier referencia efectuada a “jurisdicciones de baja o nula tributación”, deberá entenderse referida a aquellos países, dominios, jurisdicciones, territorios, estados asociados o regímenes tributarios especiales que establezcan una tributación máxima a la renta empresaria inferior al sesenta por ciento (60%) de la alícuota contemplada para las personas jurídicas argentinas. En consecuencia, puede interpretarse que las disposiciones del Decreto 589/2013 han derogadas de hecho y, por ende la alusión al listado de países cooperantes obrantes en la página web de la AFIP.</w:t>
      </w:r>
    </w:p>
    <w:p w14:paraId="3E9C6A69" w14:textId="77777777" w:rsidR="00015892" w:rsidRPr="00506990" w:rsidRDefault="00015892" w:rsidP="00015892">
      <w:pPr>
        <w:ind w:right="90"/>
        <w:rPr>
          <w:rFonts w:ascii="Times New Roman" w:eastAsia="Times New Roman" w:hAnsi="Times New Roman" w:cs="Times New Roman"/>
          <w:spacing w:val="-5"/>
          <w:sz w:val="22"/>
          <w:szCs w:val="22"/>
          <w:lang w:val="es-AR"/>
        </w:rPr>
      </w:pPr>
    </w:p>
    <w:p w14:paraId="11AB15AA"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 xml:space="preserve">La presunción analizada, podría resultar aplicable a los potenciales tenedores de Valores Fiduciarios que realicen la venta de los mismos a sujetos -personas jurídicas o </w:t>
      </w:r>
      <w:r w:rsidRPr="00506990">
        <w:rPr>
          <w:rFonts w:ascii="Times New Roman" w:eastAsia="Times New Roman" w:hAnsi="Times New Roman" w:cs="Times New Roman"/>
          <w:sz w:val="22"/>
          <w:szCs w:val="22"/>
          <w:lang w:val="es-AR"/>
        </w:rPr>
        <w:t>humana</w:t>
      </w:r>
      <w:r w:rsidRPr="00506990">
        <w:rPr>
          <w:rFonts w:ascii="Times New Roman" w:eastAsia="Times New Roman" w:hAnsi="Times New Roman" w:cs="Times New Roman"/>
          <w:spacing w:val="-5"/>
          <w:sz w:val="22"/>
          <w:szCs w:val="22"/>
          <w:lang w:val="es-AR"/>
        </w:rPr>
        <w:t>s- y entidades domiciliadas o constituidas en jurisdicciones de baja tributación, o cuando el precio de venta sea abonado desde cuentas bancarias abiertas en entidades financieras ubicadas en jurisdicciones de baja o nula tributación.</w:t>
      </w:r>
    </w:p>
    <w:p w14:paraId="6B6AD43A" w14:textId="77777777" w:rsidR="00015892" w:rsidRPr="00506990" w:rsidRDefault="00015892" w:rsidP="00015892">
      <w:pPr>
        <w:ind w:right="90"/>
        <w:rPr>
          <w:rFonts w:ascii="Times New Roman" w:eastAsia="Times New Roman" w:hAnsi="Times New Roman" w:cs="Times New Roman"/>
          <w:spacing w:val="-5"/>
          <w:sz w:val="22"/>
          <w:szCs w:val="22"/>
          <w:lang w:val="es-AR"/>
        </w:rPr>
      </w:pPr>
      <w:r w:rsidRPr="00506990">
        <w:rPr>
          <w:rFonts w:ascii="Times New Roman" w:eastAsia="Times New Roman" w:hAnsi="Times New Roman" w:cs="Times New Roman"/>
          <w:spacing w:val="-5"/>
          <w:sz w:val="22"/>
          <w:szCs w:val="22"/>
          <w:lang w:val="es-AR"/>
        </w:rPr>
        <w:t>La presunción quedará desvirtuada cuando el receptor de los fondos acredite – en forma fehaciente – que los mismos se originaron en actividades efectivamente realizadas por el mismo contribuyente o por terceros en dichos países o bien que provienen de colocaciones de fondos oportunamente declarados.</w:t>
      </w:r>
    </w:p>
    <w:p w14:paraId="7C5C9B1F" w14:textId="77777777" w:rsidR="00015892" w:rsidRPr="00506990" w:rsidRDefault="00015892" w:rsidP="00015892">
      <w:pPr>
        <w:rPr>
          <w:rFonts w:ascii="Times New Roman" w:eastAsia="Times New Roman" w:hAnsi="Times New Roman" w:cs="Times New Roman"/>
          <w:sz w:val="22"/>
          <w:szCs w:val="22"/>
          <w:lang w:val="es-AR"/>
        </w:rPr>
      </w:pPr>
    </w:p>
    <w:p w14:paraId="07B7DD64"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r w:rsidRPr="00506990">
        <w:rPr>
          <w:rFonts w:ascii="Times New Roman" w:eastAsia="Times New Roman" w:hAnsi="Times New Roman" w:cs="Times New Roman"/>
          <w:b/>
          <w:bCs/>
          <w:sz w:val="22"/>
          <w:szCs w:val="22"/>
          <w:lang w:val="es-ES"/>
        </w:rPr>
        <w:t>II.</w:t>
      </w:r>
      <w:r w:rsidRPr="00506990">
        <w:rPr>
          <w:rFonts w:ascii="Times New Roman" w:eastAsia="Times New Roman" w:hAnsi="Times New Roman" w:cs="Times New Roman"/>
          <w:b/>
          <w:bCs/>
          <w:sz w:val="22"/>
          <w:szCs w:val="22"/>
          <w:lang w:val="es-AR"/>
        </w:rPr>
        <w:t xml:space="preserve"> 9 </w:t>
      </w:r>
      <w:r w:rsidRPr="00506990">
        <w:rPr>
          <w:rFonts w:ascii="Times New Roman" w:eastAsia="Times New Roman" w:hAnsi="Times New Roman" w:cs="Times New Roman"/>
          <w:b/>
          <w:bCs/>
          <w:sz w:val="22"/>
          <w:szCs w:val="22"/>
          <w:lang w:val="es-ES"/>
        </w:rPr>
        <w:t>Otros</w:t>
      </w:r>
    </w:p>
    <w:p w14:paraId="33B4F2D0" w14:textId="77777777" w:rsidR="00015892" w:rsidRPr="00506990" w:rsidRDefault="00015892" w:rsidP="00015892">
      <w:pPr>
        <w:tabs>
          <w:tab w:val="center" w:pos="4252"/>
          <w:tab w:val="right" w:pos="8504"/>
        </w:tabs>
        <w:rPr>
          <w:rFonts w:ascii="Times New Roman" w:eastAsia="Times New Roman" w:hAnsi="Times New Roman" w:cs="Times New Roman"/>
          <w:b/>
          <w:bCs/>
          <w:sz w:val="22"/>
          <w:szCs w:val="22"/>
          <w:lang w:val="es-ES"/>
        </w:rPr>
      </w:pPr>
    </w:p>
    <w:p w14:paraId="3FD3D2DB" w14:textId="7777777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i/>
          <w:iCs/>
          <w:sz w:val="22"/>
          <w:szCs w:val="22"/>
          <w:lang w:val="es-AR"/>
        </w:rPr>
        <w:t>La transmisión gratuita de bienes a herederos, legatarios o donatarios no se encuentra gravada en la República Argentina a nivel nacional. En el orden provincial, las jurisdicciones que han implementado impuestos a la transmisión Gratuita de Bienes son la provincia de Buenos Aires -ley 14044 - a partir del 1/01/2011 y la provincia de Entre Ríos -ley 10.197- a partir del 8/02/2013.</w:t>
      </w:r>
      <w:r w:rsidRPr="00506990">
        <w:rPr>
          <w:rFonts w:ascii="Times New Roman" w:eastAsia="Times New Roman" w:hAnsi="Times New Roman" w:cs="Times New Roman"/>
          <w:b/>
          <w:bCs/>
          <w:i/>
          <w:iCs/>
          <w:sz w:val="22"/>
          <w:szCs w:val="22"/>
          <w:lang w:val="es-AR"/>
        </w:rPr>
        <w:t xml:space="preserve"> </w:t>
      </w:r>
      <w:r w:rsidRPr="00506990">
        <w:rPr>
          <w:rFonts w:ascii="Times New Roman" w:eastAsia="Times New Roman" w:hAnsi="Times New Roman" w:cs="Times New Roman"/>
          <w:i/>
          <w:iCs/>
          <w:sz w:val="22"/>
          <w:szCs w:val="22"/>
          <w:lang w:val="es-AR"/>
        </w:rPr>
        <w:t>Esta última jurisdicción procedió a la derogación del impuesto –Ley 10.553- a partir del 17/01/2018  Son contribuyentes las personas humanas y jurídicas beneficiarias de una transmisión gratuita de bienes en tanto se domicilien o residan en la respectiva provincia, independientemente del lugar donde estén situados los bienes. Las alícuotas aplicables varían entre el 1,60% y 8,78%, de conformidad con lo dispuesto por el Art. 57 Ley 14.983 (Ley Impositiva 2018- Pcia. de Bs. As.), atendiendo al grado de parentesco y el monto de la base imponible. Los Valores Fiduciarios, en tanto queden involucrados en una transmisión gratuita de bienes podrían quedar afectados por estos gravámenes en las jurisdicciones señaladas.</w:t>
      </w:r>
    </w:p>
    <w:p w14:paraId="3C4CE55D" w14:textId="77777777" w:rsidR="00015892" w:rsidRPr="00506990" w:rsidRDefault="00015892" w:rsidP="00015892">
      <w:pPr>
        <w:rPr>
          <w:rFonts w:ascii="Times New Roman" w:eastAsia="Times New Roman" w:hAnsi="Times New Roman" w:cs="Times New Roman"/>
          <w:sz w:val="22"/>
          <w:szCs w:val="22"/>
          <w:lang w:val="es-AR"/>
        </w:rPr>
      </w:pPr>
    </w:p>
    <w:p w14:paraId="6D07F766" w14:textId="77777777" w:rsidR="00015892" w:rsidRPr="00506990" w:rsidRDefault="00015892" w:rsidP="00015892">
      <w:pPr>
        <w:shd w:val="clear" w:color="auto" w:fill="FFFFFF"/>
        <w:spacing w:before="100" w:beforeAutospacing="1" w:after="100" w:afterAutospacing="1"/>
        <w:rPr>
          <w:rFonts w:ascii="Times New Roman" w:eastAsia="Times New Roman" w:hAnsi="Times New Roman" w:cs="Times New Roman"/>
          <w:b/>
          <w:bCs/>
          <w:color w:val="000000"/>
          <w:sz w:val="22"/>
          <w:szCs w:val="22"/>
          <w:lang w:val="es-AR"/>
        </w:rPr>
      </w:pPr>
      <w:r w:rsidRPr="00506990">
        <w:rPr>
          <w:rFonts w:ascii="Times New Roman" w:eastAsia="Times New Roman" w:hAnsi="Times New Roman" w:cs="Times New Roman"/>
          <w:b/>
          <w:bCs/>
          <w:color w:val="000000"/>
          <w:spacing w:val="-5"/>
          <w:sz w:val="22"/>
          <w:szCs w:val="22"/>
          <w:lang w:val="es-AR"/>
        </w:rPr>
        <w:t>II.10. Cooperación en Materia Tributaria entre la República Argentina y otros Países. Resolución General 631/2014 de la CNV. Resolución General 3826/2015 de la AFIP. Régimen de información</w:t>
      </w:r>
    </w:p>
    <w:p w14:paraId="65AB035B" w14:textId="77777777" w:rsidR="00015892" w:rsidRPr="00506990" w:rsidRDefault="00015892" w:rsidP="00015892">
      <w:pPr>
        <w:shd w:val="clear" w:color="auto" w:fill="FFFFFF"/>
        <w:spacing w:before="100" w:beforeAutospacing="1" w:after="100" w:afterAutospacing="1"/>
        <w:rPr>
          <w:rFonts w:ascii="Times New Roman" w:eastAsia="Times New Roman" w:hAnsi="Times New Roman" w:cs="Times New Roman"/>
          <w:color w:val="000000"/>
          <w:sz w:val="22"/>
          <w:szCs w:val="22"/>
          <w:lang w:val="es-AR"/>
        </w:rPr>
      </w:pPr>
      <w:r w:rsidRPr="00506990">
        <w:rPr>
          <w:rFonts w:ascii="Times New Roman" w:eastAsia="Times New Roman" w:hAnsi="Times New Roman" w:cs="Times New Roman"/>
          <w:color w:val="000000"/>
          <w:spacing w:val="-5"/>
          <w:sz w:val="22"/>
          <w:szCs w:val="22"/>
          <w:lang w:val="es-AR"/>
        </w:rPr>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eastAsia="Times New Roman" w:hAnsi="Times New Roman" w:cs="Times New Roman"/>
          <w:color w:val="000000"/>
          <w:sz w:val="22"/>
          <w:szCs w:val="22"/>
          <w:lang w:val="es-AR"/>
        </w:rPr>
        <w:t>humanas</w:t>
      </w:r>
      <w:r w:rsidRPr="00506990">
        <w:rPr>
          <w:rFonts w:ascii="Times New Roman" w:eastAsia="Times New Roman" w:hAnsi="Times New Roman" w:cs="Times New Roman"/>
          <w:color w:val="000000"/>
          <w:spacing w:val="-5"/>
          <w:sz w:val="22"/>
          <w:szCs w:val="22"/>
          <w:lang w:val="es-AR"/>
        </w:rPr>
        <w:t>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6CACAB46" w14:textId="77777777" w:rsidR="00015892" w:rsidRPr="00506990" w:rsidRDefault="00015892" w:rsidP="00015892">
      <w:pPr>
        <w:shd w:val="clear" w:color="auto" w:fill="FFFFFF"/>
        <w:spacing w:before="100" w:beforeAutospacing="1" w:after="100" w:afterAutospacing="1"/>
        <w:rPr>
          <w:rFonts w:ascii="Times New Roman" w:eastAsia="Times New Roman" w:hAnsi="Times New Roman" w:cs="Times New Roman"/>
          <w:color w:val="000000"/>
          <w:spacing w:val="-5"/>
          <w:sz w:val="22"/>
          <w:szCs w:val="22"/>
          <w:lang w:val="es-AR"/>
        </w:rPr>
      </w:pPr>
      <w:r w:rsidRPr="00506990">
        <w:rPr>
          <w:rFonts w:ascii="Times New Roman" w:eastAsia="Times New Roman" w:hAnsi="Times New Roman" w:cs="Times New Roman"/>
          <w:color w:val="000000"/>
          <w:spacing w:val="-5"/>
          <w:sz w:val="22"/>
          <w:szCs w:val="22"/>
          <w:lang w:val="es-AR"/>
        </w:rPr>
        <w:t>La norma citada dispuso asimismo que los sujetos comprendidos en sus previsiones debieran presentar a la ADMINISTRACION FEDERAL DE INGRESOS PUBLICOS (AFIP) la información recolectada, en las formas y plazos que ella dispusiese.</w:t>
      </w:r>
    </w:p>
    <w:p w14:paraId="373387E1" w14:textId="15D6FBD7" w:rsidR="00015892" w:rsidRPr="00506990" w:rsidRDefault="00015892" w:rsidP="00015892">
      <w:pPr>
        <w:rPr>
          <w:rFonts w:ascii="Times New Roman" w:eastAsia="Times New Roman" w:hAnsi="Times New Roman" w:cs="Times New Roman"/>
          <w:sz w:val="22"/>
          <w:szCs w:val="22"/>
          <w:lang w:val="es-AR"/>
        </w:rPr>
      </w:pPr>
      <w:r w:rsidRPr="00506990">
        <w:rPr>
          <w:rFonts w:ascii="Times New Roman" w:eastAsia="Times New Roman" w:hAnsi="Times New Roman" w:cs="Times New Roman"/>
          <w:sz w:val="22"/>
          <w:szCs w:val="22"/>
          <w:lang w:val="es-AR"/>
        </w:rPr>
        <w:t xml:space="preserve">En ese contexto, la ADMINISTRACION FEDERAL DE INGRESOS PUBLICOS (AFIP), a través de la Resolución General 3826/2015 del 29/12/2015 ha implementado el régimen de información pertinente. Las instituciones financieras obligadas a reportar (definidas como tales) </w:t>
      </w:r>
      <w:r w:rsidRPr="00506990">
        <w:rPr>
          <w:rFonts w:ascii="Times New Roman" w:eastAsia="Times New Roman" w:hAnsi="Times New Roman" w:cs="Times New Roman"/>
          <w:color w:val="000000"/>
          <w:spacing w:val="-5"/>
          <w:sz w:val="22"/>
          <w:szCs w:val="22"/>
          <w:lang w:val="es-AR"/>
        </w:rPr>
        <w:t>deberán observar las normas de debida diligencia establecidas en el “Common Reporting Standard” (“NORMAS COMUNES DE PRESENTACIÓN DE INFORMACIÓN” o “CRS”, por sus siglas en inglés)  elaborado por la Organización para la Cooperación y el Desarrollo Económicos (OCDE), incluidas en la misma resolución. La información deberá ser suministrada por año calendario a partir de 2016, incluyendo, bajo ciertas condiciones, información de cuentas preexistentes al 31/12/2015 y cuentas nuevas a partir del 1/01/2016. Además de los datos identificatorios de las cuentas declarables y de sus titulares, se incluirán en el reporte los saldos existentes al 31 de diciembre de cada año y los movimientos anuales (importe bruto total pagado en concepto de intereses, utilidades, amortizaciones de activos financieros, etc.) acaecidos en las mismas.</w:t>
      </w:r>
      <w:r w:rsidRPr="00506990">
        <w:rPr>
          <w:rFonts w:ascii="Times New Roman" w:eastAsia="Times New Roman" w:hAnsi="Times New Roman" w:cs="Times New Roman"/>
          <w:sz w:val="22"/>
          <w:szCs w:val="22"/>
          <w:lang w:val="es-AR"/>
        </w:rPr>
        <w:t xml:space="preserve"> </w:t>
      </w:r>
    </w:p>
    <w:p w14:paraId="4EF0887F" w14:textId="77777777" w:rsidR="00015892" w:rsidRPr="00506990" w:rsidRDefault="00015892" w:rsidP="00015892">
      <w:pPr>
        <w:rPr>
          <w:rFonts w:ascii="Times New Roman" w:eastAsia="Times New Roman" w:hAnsi="Times New Roman" w:cs="Times New Roman"/>
          <w:b/>
          <w:bCs/>
          <w:caps/>
          <w:sz w:val="22"/>
          <w:szCs w:val="22"/>
          <w:lang w:val="es-AR"/>
        </w:rPr>
      </w:pPr>
    </w:p>
    <w:p w14:paraId="7CB14E18" w14:textId="77777777" w:rsidR="00015892" w:rsidRPr="00506990" w:rsidRDefault="00015892" w:rsidP="00015892">
      <w:pPr>
        <w:rPr>
          <w:rFonts w:ascii="Times New Roman" w:eastAsia="Times New Roman" w:hAnsi="Times New Roman" w:cs="Times New Roman"/>
          <w:b/>
          <w:sz w:val="22"/>
          <w:szCs w:val="22"/>
          <w:lang w:val="es-AR"/>
        </w:rPr>
      </w:pPr>
      <w:r w:rsidRPr="00506990">
        <w:rPr>
          <w:rFonts w:ascii="Times New Roman" w:eastAsia="Times New Roman" w:hAnsi="Times New Roman" w:cs="Times New Roman"/>
          <w:b/>
          <w:bCs/>
          <w:sz w:val="22"/>
          <w:szCs w:val="22"/>
          <w:lang w:val="es-AR"/>
        </w:rPr>
        <w:t xml:space="preserve">ATENTO A QUE LA REGLAMENTACIÓN DE LOS FIDEICOMISOS FINANCIEROS NO HA SIDO INTERPRETADA AÚN POR LOS TRIBUNALES Y QUE </w:t>
      </w:r>
      <w:r w:rsidRPr="00506990">
        <w:rPr>
          <w:rFonts w:ascii="Times New Roman" w:eastAsia="Times New Roman" w:hAnsi="Times New Roman" w:cs="Times New Roman"/>
          <w:b/>
          <w:sz w:val="22"/>
          <w:szCs w:val="22"/>
          <w:lang w:val="es-AR"/>
        </w:rPr>
        <w:t xml:space="preserve">LAS INTERPRETACIONES </w:t>
      </w:r>
      <w:r w:rsidRPr="00506990">
        <w:rPr>
          <w:rFonts w:ascii="Times New Roman" w:eastAsia="Times New Roman" w:hAnsi="Times New Roman" w:cs="Times New Roman"/>
          <w:b/>
          <w:bCs/>
          <w:sz w:val="22"/>
          <w:szCs w:val="22"/>
          <w:lang w:val="es-AR"/>
        </w:rPr>
        <w:t>DE LAS AUTORIDADES FISCALES RESPONSABLES DE SU APLICACIÓN NO RESULTAN SUFICIENTES PARA ESCLARECER TODOS AQUELLOS ASPECTOS QUE GENERAN DUDA</w:t>
      </w:r>
      <w:r w:rsidRPr="00506990">
        <w:rPr>
          <w:rFonts w:ascii="Times New Roman" w:eastAsia="Times New Roman" w:hAnsi="Times New Roman" w:cs="Times New Roman"/>
          <w:b/>
          <w:sz w:val="22"/>
          <w:szCs w:val="22"/>
          <w:lang w:val="es-AR"/>
        </w:rPr>
        <w:t>. POR LO EXPUESTO</w:t>
      </w:r>
      <w:r w:rsidRPr="00506990">
        <w:rPr>
          <w:rFonts w:ascii="Times New Roman" w:eastAsia="Times New Roman" w:hAnsi="Times New Roman" w:cs="Times New Roman"/>
          <w:b/>
          <w:bCs/>
          <w:sz w:val="22"/>
          <w:szCs w:val="22"/>
          <w:lang w:val="es-AR"/>
        </w:rPr>
        <w:t>, NO PUEDE ASEGURARSE LA APLICACIÓN O INTERPRETACIÓN QUE DE DICHAS NORMATIVAS EFECTÚEN LOS MISMOS Y EN PARTICULAR EL BANCO CENTRAL DE LA REPÚBLICA ARGENTINA, LA ADMINISTRACION FEDERAL DE INGRESOS PÚBLICOS Y LAS DIRECCIONES DE RENTAS LOCALES.</w:t>
      </w:r>
    </w:p>
    <w:p w14:paraId="5F8FAC96" w14:textId="77777777" w:rsidR="005F40E4" w:rsidRPr="00506990" w:rsidRDefault="005F40E4" w:rsidP="005F40E4">
      <w:pPr>
        <w:widowControl w:val="0"/>
        <w:rPr>
          <w:rFonts w:ascii="Times New Roman" w:eastAsia="Times New Roman" w:hAnsi="Times New Roman" w:cs="Times New Roman"/>
          <w:b/>
          <w:color w:val="0D0D0D"/>
          <w:sz w:val="20"/>
          <w:szCs w:val="20"/>
          <w:lang w:val="es-AR"/>
        </w:rPr>
      </w:pPr>
    </w:p>
    <w:p w14:paraId="1A2453E6" w14:textId="153FA6D5" w:rsidR="000D2637" w:rsidRPr="00506990" w:rsidRDefault="00577C2C" w:rsidP="00B228F5">
      <w:pPr>
        <w:pStyle w:val="Ttulo1"/>
        <w:jc w:val="center"/>
        <w:rPr>
          <w:rFonts w:ascii="Times New Roman" w:hAnsi="Times New Roman"/>
          <w:sz w:val="22"/>
          <w:szCs w:val="22"/>
        </w:rPr>
      </w:pPr>
      <w:bookmarkStart w:id="119" w:name="_Toc521424879"/>
      <w:bookmarkStart w:id="120" w:name="_Toc20409097"/>
      <w:r w:rsidRPr="00506990">
        <w:rPr>
          <w:rFonts w:ascii="Times New Roman" w:hAnsi="Times New Roman"/>
          <w:sz w:val="22"/>
          <w:szCs w:val="22"/>
        </w:rPr>
        <w:t>X</w:t>
      </w:r>
      <w:r w:rsidR="00366277" w:rsidRPr="00506990">
        <w:rPr>
          <w:rFonts w:ascii="Times New Roman" w:hAnsi="Times New Roman"/>
          <w:sz w:val="22"/>
          <w:szCs w:val="22"/>
        </w:rPr>
        <w:t>V</w:t>
      </w:r>
      <w:r w:rsidR="0050339C" w:rsidRPr="00506990">
        <w:rPr>
          <w:rFonts w:ascii="Times New Roman" w:hAnsi="Times New Roman"/>
          <w:sz w:val="22"/>
          <w:szCs w:val="22"/>
        </w:rPr>
        <w:t>II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21" w:name="_Toc521424880"/>
      <w:bookmarkEnd w:id="119"/>
      <w:r w:rsidR="0001552E" w:rsidRPr="00506990">
        <w:rPr>
          <w:rFonts w:ascii="Times New Roman" w:hAnsi="Times New Roman"/>
          <w:sz w:val="22"/>
          <w:szCs w:val="22"/>
        </w:rPr>
        <w:t xml:space="preserve"> </w:t>
      </w:r>
      <w:r w:rsidR="007E05DA" w:rsidRPr="00506990">
        <w:rPr>
          <w:rFonts w:ascii="Times New Roman" w:hAnsi="Times New Roman"/>
          <w:sz w:val="22"/>
          <w:szCs w:val="22"/>
        </w:rPr>
        <w:t xml:space="preserve">CONFIBONO </w:t>
      </w:r>
      <w:r w:rsidR="003F20DA" w:rsidRPr="00506990">
        <w:rPr>
          <w:rFonts w:ascii="Times New Roman" w:hAnsi="Times New Roman"/>
          <w:sz w:val="22"/>
          <w:szCs w:val="22"/>
        </w:rPr>
        <w:t>L</w:t>
      </w:r>
      <w:bookmarkEnd w:id="121"/>
      <w:r w:rsidR="002C7386" w:rsidRPr="00506990">
        <w:rPr>
          <w:rFonts w:ascii="Times New Roman" w:hAnsi="Times New Roman"/>
          <w:sz w:val="22"/>
          <w:szCs w:val="22"/>
        </w:rPr>
        <w:t>I</w:t>
      </w:r>
      <w:r w:rsidR="00041034" w:rsidRPr="00506990">
        <w:rPr>
          <w:rFonts w:ascii="Times New Roman" w:hAnsi="Times New Roman"/>
          <w:sz w:val="22"/>
          <w:szCs w:val="22"/>
        </w:rPr>
        <w:t>I</w:t>
      </w:r>
      <w:bookmarkEnd w:id="120"/>
      <w:r w:rsidR="008467DE" w:rsidRPr="00506990">
        <w:rPr>
          <w:rFonts w:ascii="Times New Roman" w:hAnsi="Times New Roman"/>
          <w:sz w:val="22"/>
          <w:szCs w:val="22"/>
        </w:rPr>
        <w:t>I</w:t>
      </w:r>
    </w:p>
    <w:p w14:paraId="7EB367D5" w14:textId="77777777"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14:paraId="47BA33CF" w14:textId="37E8D9C9"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ROSARIO ADMINISTRADORA SOCIEDAD FIDUCIARIA S.A. una sociedad inscripta en el Registro Público de Comercio de la Provincia de Santa Fe, de la ciudad de Rosario, bajo el número 532 de registro de Estatutos el 30 de diciembre de 1997, Folio 11220, Tomo 78, inscripción en la Inspección General de Personas Jurídicas de la Provincia de Santa Fe conforme Resolución Nº 923/97, e inscripta como fiduciario financiero bajo el Nº 41 en la Comisión Nacional de Valores, con CUIT nro.: 33-69371055-9; representada por los que firman al pie del presente, en su carácter de Apoderados, con domicilio social inscripto en Paraguay 777, Piso 9º, ciudad de Rosario, Pcia. De Santa Fe, (en adelante el “Fiduciario”)</w:t>
      </w:r>
      <w:r w:rsidRPr="00506990">
        <w:rPr>
          <w:rFonts w:ascii="Times New Roman" w:hAnsi="Times New Roman" w:cs="Times New Roman"/>
          <w:iCs/>
          <w:color w:val="0D0D0D" w:themeColor="text1" w:themeTint="F2"/>
          <w:sz w:val="22"/>
          <w:szCs w:val="22"/>
        </w:rPr>
        <w:t>, y BAZAR AVENIDA S.A. una sociedad a</w:t>
      </w:r>
      <w:r w:rsidRPr="00506990">
        <w:rPr>
          <w:rFonts w:ascii="Times New Roman" w:hAnsi="Times New Roman" w:cs="Times New Roman"/>
          <w:bCs/>
          <w:color w:val="0D0D0D" w:themeColor="text1" w:themeTint="F2"/>
          <w:sz w:val="22"/>
          <w:szCs w:val="22"/>
          <w:lang w:val="es-AR"/>
        </w:rPr>
        <w:t xml:space="preserve">nónima inscripta en el Registro Público de Comercio de la Ciudad de Santa Fe bajo el Nro. 742 Folio 270/1, Libro 1; cuya sede </w:t>
      </w:r>
      <w:r w:rsidR="00E677A6" w:rsidRPr="00506990">
        <w:rPr>
          <w:rFonts w:ascii="Times New Roman" w:hAnsi="Times New Roman" w:cs="Times New Roman"/>
          <w:bCs/>
          <w:color w:val="0D0D0D" w:themeColor="text1" w:themeTint="F2"/>
          <w:sz w:val="22"/>
          <w:szCs w:val="22"/>
          <w:lang w:val="es-AR"/>
        </w:rPr>
        <w:t>en curso de inscripción</w:t>
      </w:r>
      <w:r w:rsidRPr="00506990">
        <w:rPr>
          <w:rFonts w:ascii="Times New Roman" w:hAnsi="Times New Roman" w:cs="Times New Roman"/>
          <w:bCs/>
          <w:color w:val="0D0D0D" w:themeColor="text1" w:themeTint="F2"/>
          <w:sz w:val="22"/>
          <w:szCs w:val="22"/>
          <w:lang w:val="es-AR"/>
        </w:rPr>
        <w:t xml:space="preserve"> </w:t>
      </w:r>
      <w:r w:rsidR="00BA3CC4" w:rsidRPr="00506990">
        <w:rPr>
          <w:rFonts w:ascii="Times New Roman" w:hAnsi="Times New Roman" w:cs="Times New Roman"/>
          <w:bCs/>
          <w:color w:val="0D0D0D" w:themeColor="text1" w:themeTint="F2"/>
          <w:sz w:val="22"/>
          <w:szCs w:val="22"/>
          <w:lang w:val="es-AR"/>
        </w:rPr>
        <w:t xml:space="preserve">por cambio de sede social </w:t>
      </w:r>
      <w:r w:rsidRPr="00506990">
        <w:rPr>
          <w:rFonts w:ascii="Times New Roman" w:hAnsi="Times New Roman" w:cs="Times New Roman"/>
          <w:bCs/>
          <w:color w:val="0D0D0D" w:themeColor="text1" w:themeTint="F2"/>
          <w:sz w:val="22"/>
          <w:szCs w:val="22"/>
          <w:lang w:val="es-AR"/>
        </w:rPr>
        <w:t xml:space="preserve">se </w:t>
      </w:r>
      <w:r w:rsidRPr="000579E7">
        <w:rPr>
          <w:rFonts w:ascii="Times New Roman" w:hAnsi="Times New Roman" w:cs="Times New Roman"/>
          <w:color w:val="0D0D0D" w:themeColor="text1" w:themeTint="F2"/>
          <w:sz w:val="22"/>
          <w:szCs w:val="22"/>
        </w:rPr>
        <w:t xml:space="preserve">encuentra en </w:t>
      </w:r>
      <w:r w:rsidR="00C55026">
        <w:rPr>
          <w:rFonts w:ascii="Times New Roman" w:hAnsi="Times New Roman" w:cs="Times New Roman"/>
          <w:color w:val="0D0D0D" w:themeColor="text1" w:themeTint="F2"/>
          <w:sz w:val="22"/>
          <w:szCs w:val="22"/>
        </w:rPr>
        <w:t xml:space="preserve">Calle 3 N°1045 </w:t>
      </w:r>
      <w:r w:rsidRPr="000579E7">
        <w:rPr>
          <w:rFonts w:ascii="Times New Roman" w:hAnsi="Times New Roman" w:cs="Times New Roman"/>
          <w:bCs/>
          <w:color w:val="0D0D0D" w:themeColor="text1" w:themeTint="F2"/>
          <w:sz w:val="22"/>
          <w:szCs w:val="22"/>
          <w:lang w:val="es-AR"/>
        </w:rPr>
        <w:t>de</w:t>
      </w:r>
      <w:r w:rsidRPr="00806657">
        <w:rPr>
          <w:rFonts w:ascii="Times New Roman" w:hAnsi="Times New Roman" w:cs="Times New Roman"/>
          <w:bCs/>
          <w:color w:val="0D0D0D" w:themeColor="text1" w:themeTint="F2"/>
          <w:sz w:val="22"/>
          <w:szCs w:val="22"/>
          <w:lang w:val="es-AR"/>
        </w:rPr>
        <w:t xml:space="preserve"> la ciudad de Rafaela, Provincia de Santa Fe, representada por quienes firman al pie del presente, en carácter de apoderados,</w:t>
      </w:r>
      <w:r w:rsidR="00B43F7C">
        <w:rPr>
          <w:rFonts w:ascii="Times New Roman" w:hAnsi="Times New Roman" w:cs="Times New Roman"/>
          <w:b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rPr>
        <w:t xml:space="preserve">( en adelante </w:t>
      </w:r>
      <w:r w:rsidRPr="00506990">
        <w:rPr>
          <w:rFonts w:ascii="Times New Roman" w:hAnsi="Times New Roman" w:cs="Times New Roman"/>
          <w:iCs/>
          <w:color w:val="0D0D0D" w:themeColor="text1" w:themeTint="F2"/>
          <w:sz w:val="22"/>
          <w:szCs w:val="22"/>
          <w:lang w:val="es-MX"/>
        </w:rPr>
        <w:t>“</w:t>
      </w:r>
      <w:r w:rsidR="00CC479E" w:rsidRPr="00506990">
        <w:rPr>
          <w:rFonts w:ascii="Times New Roman" w:hAnsi="Times New Roman" w:cs="Times New Roman"/>
          <w:iCs/>
          <w:color w:val="0D0D0D" w:themeColor="text1" w:themeTint="F2"/>
          <w:sz w:val="22"/>
          <w:szCs w:val="22"/>
          <w:lang w:val="es-MX"/>
        </w:rPr>
        <w:t>Bazar</w:t>
      </w:r>
      <w:r w:rsidRPr="00506990">
        <w:rPr>
          <w:rFonts w:ascii="Times New Roman" w:hAnsi="Times New Roman" w:cs="Times New Roman"/>
          <w:iCs/>
          <w:color w:val="0D0D0D" w:themeColor="text1" w:themeTint="F2"/>
          <w:sz w:val="22"/>
          <w:szCs w:val="22"/>
          <w:lang w:val="es-MX"/>
        </w:rPr>
        <w:t>”)</w:t>
      </w:r>
      <w:r w:rsidRPr="00506990">
        <w:rPr>
          <w:rFonts w:ascii="Times New Roman" w:hAnsi="Times New Roman" w:cs="Times New Roman"/>
          <w:iCs/>
          <w:color w:val="0D0D0D" w:themeColor="text1" w:themeTint="F2"/>
          <w:sz w:val="22"/>
          <w:szCs w:val="22"/>
        </w:rPr>
        <w:t>,</w:t>
      </w:r>
      <w:r w:rsidR="00CC479E"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y </w:t>
      </w:r>
      <w:r w:rsidR="00CC479E" w:rsidRPr="00506990">
        <w:rPr>
          <w:rFonts w:ascii="Times New Roman" w:hAnsi="Times New Roman" w:cs="Times New Roman"/>
          <w:color w:val="0D0D0D" w:themeColor="text1" w:themeTint="F2"/>
          <w:sz w:val="22"/>
          <w:szCs w:val="22"/>
        </w:rPr>
        <w:t>CONSUMO</w:t>
      </w:r>
      <w:r w:rsidR="00CC479E" w:rsidRPr="00506990">
        <w:rPr>
          <w:rFonts w:ascii="Times New Roman" w:hAnsi="Times New Roman" w:cs="Times New Roman"/>
          <w:iCs/>
          <w:color w:val="0D0D0D" w:themeColor="text1" w:themeTint="F2"/>
          <w:sz w:val="22"/>
          <w:szCs w:val="22"/>
        </w:rPr>
        <w:t xml:space="preserve"> S.A. una sociedad a</w:t>
      </w:r>
      <w:r w:rsidR="00CC479E" w:rsidRPr="00506990">
        <w:rPr>
          <w:rFonts w:ascii="Times New Roman" w:hAnsi="Times New Roman" w:cs="Times New Roman"/>
          <w:bCs/>
          <w:color w:val="0D0D0D" w:themeColor="text1" w:themeTint="F2"/>
          <w:sz w:val="22"/>
          <w:szCs w:val="22"/>
          <w:lang w:val="es-AR"/>
        </w:rPr>
        <w:t xml:space="preserve">nónima inscripta en el Registro Público de Comercio de la Ciudad de Santa Fe bajo el Nro. 1220, Folio 151/151, Libro III; cuya sede social inscripta se encuentra en la calle </w:t>
      </w:r>
      <w:r w:rsidR="00C55026">
        <w:rPr>
          <w:rFonts w:ascii="Times New Roman" w:hAnsi="Times New Roman" w:cs="Times New Roman"/>
          <w:bCs/>
          <w:color w:val="0D0D0D" w:themeColor="text1" w:themeTint="F2"/>
          <w:sz w:val="22"/>
          <w:szCs w:val="22"/>
          <w:lang w:val="es-AR"/>
        </w:rPr>
        <w:t>3 N° 1045</w:t>
      </w:r>
      <w:r w:rsidR="00CC479E" w:rsidRPr="00506990">
        <w:rPr>
          <w:rFonts w:ascii="Times New Roman" w:hAnsi="Times New Roman" w:cs="Times New Roman"/>
          <w:bCs/>
          <w:color w:val="0D0D0D" w:themeColor="text1" w:themeTint="F2"/>
          <w:sz w:val="22"/>
          <w:szCs w:val="22"/>
          <w:lang w:val="es-AR"/>
        </w:rPr>
        <w:t xml:space="preserve"> de la ciudad de Rafaela, Provincia de Santa Fe, representada por quienes firman al pie del presente, en carácter de apoderados,</w:t>
      </w:r>
      <w:r w:rsidR="00B43F7C">
        <w:rPr>
          <w:rFonts w:ascii="Times New Roman" w:hAnsi="Times New Roman" w:cs="Times New Roman"/>
          <w:bCs/>
          <w:color w:val="0D0D0D" w:themeColor="text1" w:themeTint="F2"/>
          <w:sz w:val="22"/>
          <w:szCs w:val="22"/>
          <w:lang w:val="es-AR"/>
        </w:rPr>
        <w:t xml:space="preserve"> </w:t>
      </w:r>
      <w:r w:rsidR="00CC479E" w:rsidRPr="00506990">
        <w:rPr>
          <w:rFonts w:ascii="Times New Roman" w:hAnsi="Times New Roman" w:cs="Times New Roman"/>
          <w:iCs/>
          <w:color w:val="0D0D0D" w:themeColor="text1" w:themeTint="F2"/>
          <w:sz w:val="22"/>
          <w:szCs w:val="22"/>
        </w:rPr>
        <w:t xml:space="preserve">(en adelante </w:t>
      </w:r>
      <w:r w:rsidR="00CC479E" w:rsidRPr="00506990">
        <w:rPr>
          <w:rFonts w:ascii="Times New Roman" w:hAnsi="Times New Roman" w:cs="Times New Roman"/>
          <w:iCs/>
          <w:color w:val="0D0D0D" w:themeColor="text1" w:themeTint="F2"/>
          <w:sz w:val="22"/>
          <w:szCs w:val="22"/>
          <w:lang w:val="es-MX"/>
        </w:rPr>
        <w:t>“Consumo” y junto a Bazar</w:t>
      </w:r>
      <w:r w:rsidR="00B43F7C">
        <w:rPr>
          <w:rFonts w:ascii="Times New Roman" w:hAnsi="Times New Roman" w:cs="Times New Roman"/>
          <w:iCs/>
          <w:color w:val="0D0D0D" w:themeColor="text1" w:themeTint="F2"/>
          <w:sz w:val="22"/>
          <w:szCs w:val="22"/>
          <w:lang w:val="es-MX"/>
        </w:rPr>
        <w:t>,</w:t>
      </w:r>
      <w:r w:rsidR="00CC479E" w:rsidRPr="00506990">
        <w:rPr>
          <w:rFonts w:ascii="Times New Roman" w:hAnsi="Times New Roman" w:cs="Times New Roman"/>
          <w:iCs/>
          <w:color w:val="0D0D0D" w:themeColor="text1" w:themeTint="F2"/>
          <w:sz w:val="22"/>
          <w:szCs w:val="22"/>
          <w:lang w:val="es-MX"/>
        </w:rPr>
        <w:t xml:space="preserve"> los “Fiduciantes”) </w:t>
      </w:r>
      <w:r w:rsidRPr="00506990">
        <w:rPr>
          <w:rFonts w:ascii="Times New Roman" w:hAnsi="Times New Roman" w:cs="Times New Roman"/>
          <w:color w:val="0D0D0D" w:themeColor="text1" w:themeTint="F2"/>
          <w:sz w:val="22"/>
          <w:szCs w:val="22"/>
        </w:rPr>
        <w:t xml:space="preserve">todos en conjunto las (“Partes”), celebran el presente contrato suplementario de fideicomiso (el “Contrato Suplementario”) para la emisión de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 xml:space="preserve">a </w:t>
      </w:r>
      <w:r w:rsidRPr="00506990">
        <w:rPr>
          <w:rFonts w:ascii="Times New Roman" w:hAnsi="Times New Roman" w:cs="Times New Roman"/>
          <w:color w:val="0D0D0D" w:themeColor="text1" w:themeTint="F2"/>
          <w:sz w:val="22"/>
          <w:szCs w:val="22"/>
        </w:rPr>
        <w:t>en el presente Fideicomiso Financiero, a constituir bajo el Programa Global denominado “CONFIBONO” (el “Programa”); con arreglo a lo establecido en el contrato de fideicomiso marco del Programa (el “Contrato Marco”), contenido en el Prospecto Global del Programa, y de conformidad con lo dispuesto a continuación:</w:t>
      </w:r>
    </w:p>
    <w:p w14:paraId="4D62631E"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p>
    <w:p w14:paraId="52814FD0"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SECCIÓN PRELIMINAR</w:t>
      </w:r>
    </w:p>
    <w:p w14:paraId="45DFB734"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DEFINICIONES</w:t>
      </w:r>
    </w:p>
    <w:p w14:paraId="32841B29"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ES"/>
        </w:rPr>
      </w:pPr>
    </w:p>
    <w:p w14:paraId="1112C27F" w14:textId="77777777" w:rsidR="0050339C" w:rsidRPr="00506990" w:rsidRDefault="0050339C" w:rsidP="0050339C">
      <w:pPr>
        <w:rPr>
          <w:rFonts w:ascii="Times New Roman" w:hAnsi="Times New Roman" w:cs="Times New Roman"/>
          <w:iCs/>
          <w:color w:val="0D0D0D" w:themeColor="text1" w:themeTint="F2"/>
          <w:spacing w:val="-3"/>
          <w:sz w:val="22"/>
          <w:szCs w:val="22"/>
        </w:rPr>
      </w:pPr>
      <w:r w:rsidRPr="00506990">
        <w:rPr>
          <w:rFonts w:ascii="Times New Roman" w:hAnsi="Times New Roman" w:cs="Times New Roman"/>
          <w:iCs/>
          <w:color w:val="0D0D0D" w:themeColor="text1" w:themeTint="F2"/>
          <w:spacing w:val="-3"/>
          <w:sz w:val="22"/>
          <w:szCs w:val="22"/>
        </w:rPr>
        <w:t>A efectos del presente, los términos empleados en mayúsculas tendrán la definición que se les asigna en el Contrato Marco del Programa, si no estuvieran definidos de otro modo en el presente Suplemento de Prospecto.</w:t>
      </w:r>
    </w:p>
    <w:p w14:paraId="17BC4A5F"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2D7DD5E3" w14:textId="71B0D4E1"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“Administrador</w:t>
      </w:r>
      <w:r w:rsidR="00CC479E"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Bazar Avenida S.A.</w:t>
      </w:r>
      <w:r w:rsidR="00CC479E" w:rsidRPr="00506990">
        <w:rPr>
          <w:rFonts w:ascii="Times New Roman" w:hAnsi="Times New Roman" w:cs="Times New Roman"/>
          <w:iCs/>
          <w:color w:val="0D0D0D" w:themeColor="text1" w:themeTint="F2"/>
          <w:sz w:val="22"/>
          <w:szCs w:val="22"/>
        </w:rPr>
        <w:t xml:space="preserve"> y Consumo S.A.</w:t>
      </w:r>
      <w:r w:rsidRPr="00506990">
        <w:rPr>
          <w:rFonts w:ascii="Times New Roman" w:hAnsi="Times New Roman" w:cs="Times New Roman"/>
          <w:iCs/>
          <w:color w:val="0D0D0D" w:themeColor="text1" w:themeTint="F2"/>
          <w:sz w:val="22"/>
          <w:szCs w:val="22"/>
        </w:rPr>
        <w:t>, quien</w:t>
      </w:r>
      <w:r w:rsidR="00CC479E"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tendrá</w:t>
      </w:r>
      <w:r w:rsidR="00CC479E"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 su cargo la Administración de los Créditos.</w:t>
      </w:r>
    </w:p>
    <w:p w14:paraId="4F8321DB"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74B6B7D4" w14:textId="68F12724" w:rsidR="0050339C" w:rsidRPr="00506990" w:rsidRDefault="0050339C" w:rsidP="0050339C">
      <w:pPr>
        <w:rPr>
          <w:rFonts w:ascii="Times New Roman" w:hAnsi="Times New Roman" w:cs="Times New Roman"/>
          <w:b/>
          <w:bCs/>
          <w:iCs/>
          <w:color w:val="0D0D0D" w:themeColor="text1" w:themeTint="F2"/>
          <w:sz w:val="22"/>
          <w:szCs w:val="22"/>
        </w:rPr>
      </w:pPr>
      <w:r w:rsidRPr="00506990" w:rsidDel="00920199">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“Agente</w:t>
      </w:r>
      <w:r w:rsidR="00CC479E"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w:t>
      </w:r>
      <w:r w:rsidRPr="00506990">
        <w:rPr>
          <w:rFonts w:ascii="Times New Roman" w:hAnsi="Times New Roman" w:cs="Times New Roman"/>
          <w:iCs/>
          <w:color w:val="0D0D0D" w:themeColor="text1" w:themeTint="F2"/>
          <w:spacing w:val="-3"/>
          <w:sz w:val="22"/>
          <w:szCs w:val="22"/>
        </w:rPr>
        <w:t>l</w:t>
      </w:r>
      <w:r w:rsidR="00CC479E" w:rsidRPr="00506990">
        <w:rPr>
          <w:rFonts w:ascii="Times New Roman" w:hAnsi="Times New Roman" w:cs="Times New Roman"/>
          <w:iCs/>
          <w:color w:val="0D0D0D" w:themeColor="text1" w:themeTint="F2"/>
          <w:spacing w:val="-3"/>
          <w:sz w:val="22"/>
          <w:szCs w:val="22"/>
        </w:rPr>
        <w:t>os</w:t>
      </w:r>
      <w:r w:rsidRPr="00506990">
        <w:rPr>
          <w:rFonts w:ascii="Times New Roman" w:hAnsi="Times New Roman" w:cs="Times New Roman"/>
          <w:iCs/>
          <w:color w:val="0D0D0D" w:themeColor="text1" w:themeTint="F2"/>
          <w:spacing w:val="-3"/>
          <w:sz w:val="22"/>
          <w:szCs w:val="22"/>
        </w:rPr>
        <w:t xml:space="preserve"> Fiduciante</w:t>
      </w:r>
      <w:r w:rsidR="00CC479E" w:rsidRPr="00506990">
        <w:rPr>
          <w:rFonts w:ascii="Times New Roman" w:hAnsi="Times New Roman" w:cs="Times New Roman"/>
          <w:iCs/>
          <w:color w:val="0D0D0D" w:themeColor="text1" w:themeTint="F2"/>
          <w:spacing w:val="-3"/>
          <w:sz w:val="22"/>
          <w:szCs w:val="22"/>
        </w:rPr>
        <w:t>s</w:t>
      </w:r>
      <w:r w:rsidRPr="00506990">
        <w:rPr>
          <w:rFonts w:ascii="Times New Roman" w:hAnsi="Times New Roman" w:cs="Times New Roman"/>
          <w:iCs/>
          <w:color w:val="0D0D0D" w:themeColor="text1" w:themeTint="F2"/>
          <w:spacing w:val="-3"/>
          <w:sz w:val="22"/>
          <w:szCs w:val="22"/>
        </w:rPr>
        <w:t xml:space="preserve"> en su carácter de responsable</w:t>
      </w:r>
      <w:r w:rsidR="00CC479E" w:rsidRPr="00506990">
        <w:rPr>
          <w:rFonts w:ascii="Times New Roman" w:hAnsi="Times New Roman" w:cs="Times New Roman"/>
          <w:iCs/>
          <w:color w:val="0D0D0D" w:themeColor="text1" w:themeTint="F2"/>
          <w:spacing w:val="-3"/>
          <w:sz w:val="22"/>
          <w:szCs w:val="22"/>
        </w:rPr>
        <w:t>s</w:t>
      </w:r>
      <w:r w:rsidRPr="00506990">
        <w:rPr>
          <w:rFonts w:ascii="Times New Roman" w:hAnsi="Times New Roman" w:cs="Times New Roman"/>
          <w:iCs/>
          <w:color w:val="0D0D0D" w:themeColor="text1" w:themeTint="F2"/>
          <w:spacing w:val="-3"/>
          <w:sz w:val="22"/>
          <w:szCs w:val="22"/>
        </w:rPr>
        <w:t xml:space="preserve"> de la cobranza de los Créditos que se cobren por la gestión extrajudicial y judicial de los créditos y sujeto pasivo del Impuesto al Valor Agregado que recae sobre los intereses de financiación que incluyen los Créditos.</w:t>
      </w:r>
    </w:p>
    <w:p w14:paraId="20B74816"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p>
    <w:p w14:paraId="32554870" w14:textId="3A30298A"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“Agente de Control y Revisión”: </w:t>
      </w:r>
      <w:r w:rsidRPr="00506990">
        <w:rPr>
          <w:rFonts w:ascii="Times New Roman" w:hAnsi="Times New Roman" w:cs="Times New Roman"/>
          <w:color w:val="0D0D0D" w:themeColor="text1" w:themeTint="F2"/>
          <w:sz w:val="22"/>
          <w:szCs w:val="22"/>
        </w:rPr>
        <w:t xml:space="preserve">Daniel H. Zubillaga, en carácter de Agente de Control y Revisión titular y </w:t>
      </w:r>
      <w:r w:rsidR="004241F8" w:rsidRPr="00506990">
        <w:rPr>
          <w:rFonts w:ascii="Times New Roman" w:hAnsi="Times New Roman" w:cs="Times New Roman"/>
          <w:color w:val="0D0D0D" w:themeColor="text1" w:themeTint="F2"/>
          <w:sz w:val="22"/>
          <w:szCs w:val="22"/>
        </w:rPr>
        <w:t>Víctor Lamberti</w:t>
      </w:r>
      <w:r w:rsidRPr="00506990">
        <w:rPr>
          <w:rFonts w:ascii="Times New Roman" w:hAnsi="Times New Roman" w:cs="Times New Roman"/>
          <w:color w:val="0D0D0D" w:themeColor="text1" w:themeTint="F2"/>
          <w:sz w:val="22"/>
          <w:szCs w:val="22"/>
        </w:rPr>
        <w:t>, en carácter de suplente, ambos miembros de Zubillaga &amp; Asociados S.A (en adelante el “Agente de Control y Revisión”), o la persona o personas que el Fiduciario designe conforme a lo establecido en el artículo 3.14.</w:t>
      </w:r>
    </w:p>
    <w:p w14:paraId="0CC8BF5E"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0C6221FD" w14:textId="77777777" w:rsidR="0050339C" w:rsidRPr="00506990" w:rsidRDefault="0050339C" w:rsidP="0050339C">
      <w:pPr>
        <w:spacing w:line="240" w:lineRule="atLeast"/>
        <w:rPr>
          <w:rFonts w:ascii="Times New Roman" w:hAnsi="Times New Roman" w:cs="Times New Roman"/>
          <w:bCs/>
          <w:color w:val="0D0D0D" w:themeColor="text1" w:themeTint="F2"/>
          <w:sz w:val="22"/>
          <w:szCs w:val="22"/>
          <w:lang w:val="pt-BR"/>
        </w:rPr>
      </w:pPr>
      <w:r w:rsidRPr="00506990">
        <w:rPr>
          <w:rFonts w:ascii="Times New Roman" w:hAnsi="Times New Roman" w:cs="Times New Roman"/>
          <w:b/>
          <w:bCs/>
          <w:color w:val="0D0D0D" w:themeColor="text1" w:themeTint="F2"/>
          <w:sz w:val="22"/>
          <w:szCs w:val="22"/>
          <w:lang w:val="pt-BR"/>
        </w:rPr>
        <w:t>“Agente de Custodia”:</w:t>
      </w:r>
      <w:r w:rsidRPr="00506990">
        <w:rPr>
          <w:rFonts w:ascii="Times New Roman" w:hAnsi="Times New Roman" w:cs="Times New Roman"/>
          <w:bCs/>
          <w:color w:val="0D0D0D" w:themeColor="text1" w:themeTint="F2"/>
          <w:sz w:val="22"/>
          <w:szCs w:val="22"/>
          <w:lang w:val="pt-BR"/>
        </w:rPr>
        <w:t xml:space="preserve"> Centibox S.A..</w:t>
      </w:r>
    </w:p>
    <w:p w14:paraId="2BBE9A2A"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pt-BR"/>
        </w:rPr>
      </w:pPr>
    </w:p>
    <w:p w14:paraId="4A2CFA06" w14:textId="77777777" w:rsidR="0050339C" w:rsidRPr="00506990" w:rsidRDefault="0050339C" w:rsidP="0050339C">
      <w:pPr>
        <w:rPr>
          <w:rFonts w:ascii="Times New Roman" w:hAnsi="Times New Roman" w:cs="Times New Roman"/>
          <w:iCs/>
          <w:color w:val="0D0D0D" w:themeColor="text1" w:themeTint="F2"/>
          <w:sz w:val="22"/>
          <w:szCs w:val="22"/>
          <w:lang w:val="pt-BR"/>
        </w:rPr>
      </w:pPr>
      <w:r w:rsidRPr="00506990">
        <w:rPr>
          <w:rFonts w:ascii="Times New Roman" w:hAnsi="Times New Roman" w:cs="Times New Roman"/>
          <w:b/>
          <w:bCs/>
          <w:color w:val="0D0D0D" w:themeColor="text1" w:themeTint="F2"/>
          <w:sz w:val="22"/>
          <w:szCs w:val="22"/>
          <w:lang w:val="pt-BR"/>
        </w:rPr>
        <w:t>“</w:t>
      </w:r>
      <w:r w:rsidRPr="00506990">
        <w:rPr>
          <w:rFonts w:ascii="Times New Roman" w:hAnsi="Times New Roman" w:cs="Times New Roman"/>
          <w:b/>
          <w:bCs/>
          <w:iCs/>
          <w:color w:val="0D0D0D" w:themeColor="text1" w:themeTint="F2"/>
          <w:sz w:val="22"/>
          <w:szCs w:val="22"/>
          <w:lang w:val="pt-BR"/>
        </w:rPr>
        <w:t xml:space="preserve">Agente Recaudador”: </w:t>
      </w:r>
      <w:r w:rsidRPr="00506990">
        <w:rPr>
          <w:rFonts w:ascii="Times New Roman" w:hAnsi="Times New Roman" w:cs="Times New Roman"/>
          <w:bCs/>
          <w:iCs/>
          <w:color w:val="0D0D0D" w:themeColor="text1" w:themeTint="F2"/>
          <w:sz w:val="22"/>
          <w:szCs w:val="22"/>
          <w:lang w:val="pt-BR"/>
        </w:rPr>
        <w:t xml:space="preserve">Tinsa S.A </w:t>
      </w:r>
      <w:r w:rsidRPr="00506990">
        <w:rPr>
          <w:rFonts w:ascii="Times New Roman" w:hAnsi="Times New Roman" w:cs="Times New Roman"/>
          <w:iCs/>
          <w:color w:val="0D0D0D" w:themeColor="text1" w:themeTint="F2"/>
          <w:sz w:val="22"/>
          <w:szCs w:val="22"/>
          <w:lang w:val="pt-BR"/>
        </w:rPr>
        <w:t>(Cobro Express).</w:t>
      </w:r>
    </w:p>
    <w:p w14:paraId="3A809DEF" w14:textId="77777777" w:rsidR="0050339C" w:rsidRPr="00506990" w:rsidRDefault="0050339C" w:rsidP="0050339C">
      <w:pPr>
        <w:rPr>
          <w:rFonts w:ascii="Times New Roman" w:hAnsi="Times New Roman" w:cs="Times New Roman"/>
          <w:b/>
          <w:bCs/>
          <w:iCs/>
          <w:color w:val="0D0D0D" w:themeColor="text1" w:themeTint="F2"/>
          <w:sz w:val="22"/>
          <w:szCs w:val="22"/>
          <w:lang w:val="pt-BR"/>
        </w:rPr>
      </w:pPr>
    </w:p>
    <w:p w14:paraId="7337A6EC"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“Agentes Externos de Recaudación”: </w:t>
      </w:r>
      <w:r w:rsidRPr="00506990">
        <w:rPr>
          <w:rFonts w:ascii="Times New Roman" w:hAnsi="Times New Roman" w:cs="Times New Roman"/>
          <w:bCs/>
          <w:iCs/>
          <w:color w:val="0D0D0D" w:themeColor="text1" w:themeTint="F2"/>
          <w:sz w:val="22"/>
          <w:szCs w:val="22"/>
        </w:rPr>
        <w:t>son las entidades que TINSA S.A., en su carácter de Agente Recaudador subcontrata a los efectos de llevar a cabo la recaudación de los Créditos.</w:t>
      </w:r>
    </w:p>
    <w:p w14:paraId="390BA86A" w14:textId="77777777" w:rsidR="0050339C" w:rsidRPr="00506990" w:rsidRDefault="0050339C" w:rsidP="0050339C">
      <w:pPr>
        <w:rPr>
          <w:rFonts w:ascii="Times New Roman" w:hAnsi="Times New Roman" w:cs="Times New Roman"/>
          <w:b/>
          <w:bCs/>
          <w:iCs/>
          <w:color w:val="0D0D0D" w:themeColor="text1" w:themeTint="F2"/>
          <w:sz w:val="22"/>
          <w:szCs w:val="22"/>
        </w:rPr>
      </w:pPr>
    </w:p>
    <w:p w14:paraId="0F48CDF1"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“AIF”</w:t>
      </w:r>
      <w:r w:rsidRPr="00506990">
        <w:rPr>
          <w:rFonts w:ascii="Times New Roman" w:hAnsi="Times New Roman" w:cs="Times New Roman"/>
          <w:b/>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Autopista de Información Financiera de la CNV.</w:t>
      </w:r>
    </w:p>
    <w:p w14:paraId="530A613F" w14:textId="77777777" w:rsidR="009B026C" w:rsidRPr="00506990" w:rsidRDefault="009B026C" w:rsidP="0050339C">
      <w:pPr>
        <w:rPr>
          <w:rFonts w:ascii="Times New Roman" w:hAnsi="Times New Roman" w:cs="Times New Roman"/>
          <w:iCs/>
          <w:color w:val="0D0D0D" w:themeColor="text1" w:themeTint="F2"/>
          <w:sz w:val="22"/>
          <w:szCs w:val="22"/>
        </w:rPr>
      </w:pPr>
    </w:p>
    <w:p w14:paraId="32310304" w14:textId="7F34FD6F" w:rsidR="009B026C" w:rsidRPr="00506990" w:rsidRDefault="009B026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“Asamblea de Beneficiarios”</w:t>
      </w:r>
      <w:r w:rsidRPr="00506990">
        <w:rPr>
          <w:rFonts w:ascii="Times New Roman" w:hAnsi="Times New Roman" w:cs="Times New Roman"/>
          <w:iCs/>
          <w:color w:val="0D0D0D" w:themeColor="text1" w:themeTint="F2"/>
          <w:sz w:val="22"/>
          <w:szCs w:val="22"/>
        </w:rPr>
        <w:t>: es una asamblea de Beneficiarios convocada para adoptar una resolución de conformidad con lo previsto en el presente Contrato Suplementario.</w:t>
      </w:r>
    </w:p>
    <w:p w14:paraId="77114B72"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6D885DC1" w14:textId="4E4598F3"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“Aviso de </w:t>
      </w:r>
      <w:r w:rsidRPr="00506990">
        <w:rPr>
          <w:rFonts w:ascii="Times New Roman" w:hAnsi="Times New Roman" w:cs="Times New Roman"/>
          <w:b/>
          <w:iCs/>
          <w:color w:val="0D0D0D" w:themeColor="text1" w:themeTint="F2"/>
          <w:sz w:val="22"/>
          <w:szCs w:val="22"/>
        </w:rPr>
        <w:t>Suscripción</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significa el aviso a ser publicado por el Fiduciario –al menos - en la AIF y en los sistemas de información de los mercados autorizados donde listen</w:t>
      </w:r>
      <w:r w:rsidRPr="00506990">
        <w:rPr>
          <w:rFonts w:ascii="Times New Roman" w:hAnsi="Times New Roman" w:cs="Times New Roman"/>
          <w:iCs/>
          <w:color w:val="0D0D0D" w:themeColor="text1" w:themeTint="F2"/>
          <w:sz w:val="22"/>
          <w:szCs w:val="22"/>
          <w:lang w:val="es-AR"/>
        </w:rPr>
        <w:t xml:space="preserve"> y/o negocien</w:t>
      </w:r>
      <w:r w:rsidRPr="00506990">
        <w:rPr>
          <w:rFonts w:ascii="Times New Roman" w:hAnsi="Times New Roman" w:cs="Times New Roman"/>
          <w:iCs/>
          <w:color w:val="0D0D0D" w:themeColor="text1" w:themeTint="F2"/>
          <w:sz w:val="22"/>
          <w:szCs w:val="22"/>
        </w:rPr>
        <w:t xml:space="preserve">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en el que se indicará -como mínimo – los datos requeridos por las NORMAS de la CNV. </w:t>
      </w:r>
    </w:p>
    <w:p w14:paraId="2381B35F" w14:textId="77777777" w:rsidR="0050339C" w:rsidRPr="00506990" w:rsidRDefault="0050339C" w:rsidP="0050339C">
      <w:pPr>
        <w:rPr>
          <w:rFonts w:ascii="Times New Roman" w:hAnsi="Times New Roman" w:cs="Times New Roman"/>
          <w:iCs/>
          <w:color w:val="0D0D0D" w:themeColor="text1" w:themeTint="F2"/>
          <w:sz w:val="22"/>
          <w:szCs w:val="22"/>
        </w:rPr>
      </w:pPr>
    </w:p>
    <w:p w14:paraId="41CAF989" w14:textId="0677821F" w:rsidR="0050339C" w:rsidRPr="00506990" w:rsidRDefault="0050339C" w:rsidP="0050339C">
      <w:pPr>
        <w:pStyle w:val="Textonotapie"/>
        <w:suppressAutoHyphens/>
        <w:rPr>
          <w:rFonts w:ascii="Times New Roman" w:hAnsi="Times New Roman"/>
          <w:iCs/>
          <w:color w:val="0D0D0D" w:themeColor="text1" w:themeTint="F2"/>
          <w:sz w:val="22"/>
          <w:szCs w:val="22"/>
        </w:rPr>
      </w:pPr>
      <w:r w:rsidRPr="00506990">
        <w:rPr>
          <w:rFonts w:ascii="Times New Roman" w:hAnsi="Times New Roman"/>
          <w:bCs/>
          <w:iCs/>
          <w:color w:val="0D0D0D" w:themeColor="text1" w:themeTint="F2"/>
          <w:sz w:val="22"/>
          <w:szCs w:val="22"/>
        </w:rPr>
        <w:t>“</w:t>
      </w:r>
      <w:r w:rsidRPr="00506990">
        <w:rPr>
          <w:rFonts w:ascii="Times New Roman" w:hAnsi="Times New Roman"/>
          <w:b/>
          <w:bCs/>
          <w:iCs/>
          <w:color w:val="0D0D0D" w:themeColor="text1" w:themeTint="F2"/>
          <w:sz w:val="22"/>
          <w:szCs w:val="22"/>
        </w:rPr>
        <w:t>Bienes Fideicomitidos”:</w:t>
      </w:r>
      <w:r w:rsidRPr="00506990">
        <w:rPr>
          <w:rFonts w:ascii="Times New Roman" w:hAnsi="Times New Roman"/>
          <w:iCs/>
          <w:color w:val="0D0D0D" w:themeColor="text1" w:themeTint="F2"/>
          <w:sz w:val="22"/>
          <w:szCs w:val="22"/>
        </w:rPr>
        <w:t xml:space="preserve"> </w:t>
      </w:r>
      <w:r w:rsidRPr="00506990">
        <w:rPr>
          <w:rFonts w:ascii="Times New Roman" w:hAnsi="Times New Roman"/>
          <w:color w:val="0D0D0D" w:themeColor="text1" w:themeTint="F2"/>
          <w:sz w:val="22"/>
          <w:szCs w:val="22"/>
        </w:rPr>
        <w:t>Créditos de consumo y personales originados por l</w:t>
      </w:r>
      <w:r w:rsidR="006E36BA"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6E36BA"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facturas, y en pagarés que fueron endosados a favor de Rosario Administradora Sociedad Fiduciaria como fiduciario del Fideicomiso. </w:t>
      </w:r>
      <w:r w:rsidRPr="00506990">
        <w:rPr>
          <w:rFonts w:ascii="Times New Roman" w:hAnsi="Times New Roman"/>
          <w:iCs/>
          <w:color w:val="0D0D0D" w:themeColor="text1" w:themeTint="F2"/>
          <w:sz w:val="22"/>
          <w:szCs w:val="22"/>
        </w:rPr>
        <w:t>También constituyen Bienes Fideicomitidos,</w:t>
      </w:r>
      <w:r w:rsidRPr="00506990">
        <w:rPr>
          <w:rFonts w:ascii="Times New Roman" w:hAnsi="Times New Roman"/>
          <w:color w:val="0D0D0D" w:themeColor="text1" w:themeTint="F2"/>
          <w:sz w:val="22"/>
          <w:szCs w:val="22"/>
        </w:rPr>
        <w:t xml:space="preserve"> todo producido, renta, amortización, indemnización, fruto, accesión </w:t>
      </w:r>
      <w:r w:rsidRPr="00506990">
        <w:rPr>
          <w:rFonts w:ascii="Times New Roman" w:hAnsi="Times New Roman"/>
          <w:iCs/>
          <w:color w:val="0D0D0D" w:themeColor="text1" w:themeTint="F2"/>
          <w:sz w:val="22"/>
          <w:szCs w:val="22"/>
        </w:rPr>
        <w:t>de los Créditos y el resultado</w:t>
      </w:r>
      <w:r w:rsidRPr="00506990">
        <w:rPr>
          <w:rFonts w:ascii="Times New Roman" w:hAnsi="Times New Roman"/>
          <w:color w:val="0D0D0D" w:themeColor="text1" w:themeTint="F2"/>
          <w:sz w:val="22"/>
          <w:szCs w:val="22"/>
        </w:rPr>
        <w:t xml:space="preserve"> de la inversión de los Fondos Líquidos Disponibles. </w:t>
      </w:r>
      <w:r w:rsidRPr="00506990">
        <w:rPr>
          <w:rFonts w:ascii="Times New Roman" w:hAnsi="Times New Roman"/>
          <w:iCs/>
          <w:color w:val="0D0D0D" w:themeColor="text1" w:themeTint="F2"/>
          <w:sz w:val="22"/>
          <w:szCs w:val="22"/>
        </w:rPr>
        <w:t xml:space="preserve"> </w:t>
      </w:r>
    </w:p>
    <w:p w14:paraId="22D3D530" w14:textId="77777777" w:rsidR="0050339C" w:rsidRPr="00506990" w:rsidRDefault="0050339C" w:rsidP="0050339C">
      <w:pPr>
        <w:rPr>
          <w:rFonts w:ascii="Times New Roman" w:hAnsi="Times New Roman" w:cs="Times New Roman"/>
          <w:color w:val="0D0D0D" w:themeColor="text1" w:themeTint="F2"/>
          <w:sz w:val="22"/>
          <w:szCs w:val="22"/>
        </w:rPr>
      </w:pPr>
    </w:p>
    <w:p w14:paraId="33A652CD" w14:textId="77777777" w:rsidR="0050339C" w:rsidRPr="00506990" w:rsidRDefault="0050339C" w:rsidP="0050339C">
      <w:pPr>
        <w:suppressLineNumber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“Cobranza”:</w:t>
      </w:r>
      <w:r w:rsidRPr="00506990">
        <w:rPr>
          <w:rFonts w:ascii="Times New Roman" w:hAnsi="Times New Roman" w:cs="Times New Roman"/>
          <w:color w:val="0D0D0D" w:themeColor="text1" w:themeTint="F2"/>
          <w:sz w:val="22"/>
          <w:szCs w:val="22"/>
        </w:rPr>
        <w:t xml:space="preserve"> las sumas ingresadas al Fideicomiso en concepto de pagos realizados por los Deudores con imputación a los Créditos fideicomitidos.</w:t>
      </w:r>
    </w:p>
    <w:p w14:paraId="0EC35D70" w14:textId="77777777" w:rsidR="0050339C" w:rsidRPr="00506990" w:rsidRDefault="0050339C" w:rsidP="0050339C">
      <w:pPr>
        <w:rPr>
          <w:rFonts w:ascii="Times New Roman" w:hAnsi="Times New Roman" w:cs="Times New Roman"/>
          <w:iCs/>
          <w:color w:val="0D0D0D" w:themeColor="text1" w:themeTint="F2"/>
          <w:sz w:val="22"/>
          <w:szCs w:val="22"/>
        </w:rPr>
      </w:pPr>
    </w:p>
    <w:p w14:paraId="58E643AC" w14:textId="01FF8400" w:rsidR="000B1EFD" w:rsidRPr="00506990" w:rsidRDefault="000B1EFD" w:rsidP="000B1EFD">
      <w:pPr>
        <w:pStyle w:val="Textonotapie"/>
        <w:suppressAutoHyphens/>
        <w:rPr>
          <w:rFonts w:ascii="Times New Roman" w:hAnsi="Times New Roman"/>
          <w:iCs/>
          <w:color w:val="0D0D0D" w:themeColor="text1" w:themeTint="F2"/>
          <w:sz w:val="22"/>
          <w:szCs w:val="22"/>
          <w:lang w:val="es-ES"/>
        </w:rPr>
      </w:pPr>
      <w:r w:rsidRPr="00506990">
        <w:rPr>
          <w:rFonts w:ascii="Times New Roman" w:hAnsi="Times New Roman"/>
          <w:b/>
          <w:color w:val="0D0D0D" w:themeColor="text1" w:themeTint="F2"/>
          <w:sz w:val="22"/>
          <w:szCs w:val="22"/>
        </w:rPr>
        <w:t xml:space="preserve">“Colocadores”: </w:t>
      </w:r>
      <w:r w:rsidR="00005F07">
        <w:rPr>
          <w:rFonts w:ascii="Times New Roman" w:hAnsi="Times New Roman"/>
          <w:color w:val="0D0D0D" w:themeColor="text1" w:themeTint="F2"/>
          <w:sz w:val="22"/>
          <w:szCs w:val="22"/>
        </w:rPr>
        <w:t>Option Securities</w:t>
      </w:r>
      <w:r w:rsidR="00E23F41" w:rsidRPr="0098446E">
        <w:rPr>
          <w:rFonts w:ascii="Times New Roman" w:hAnsi="Times New Roman"/>
          <w:color w:val="0D0D0D" w:themeColor="text1" w:themeTint="F2"/>
          <w:sz w:val="22"/>
          <w:szCs w:val="22"/>
        </w:rPr>
        <w:t xml:space="preserve"> S.A.</w:t>
      </w:r>
      <w:r w:rsidRPr="00806657">
        <w:rPr>
          <w:rFonts w:ascii="Times New Roman" w:hAnsi="Times New Roman"/>
          <w:color w:val="0D0D0D" w:themeColor="text1" w:themeTint="F2"/>
          <w:sz w:val="22"/>
          <w:szCs w:val="22"/>
        </w:rPr>
        <w:t>, INTL CIBSA S.A.</w:t>
      </w:r>
      <w:r w:rsidRPr="00506990">
        <w:rPr>
          <w:rFonts w:ascii="Times New Roman" w:hAnsi="Times New Roman"/>
          <w:color w:val="0D0D0D" w:themeColor="text1" w:themeTint="F2"/>
          <w:sz w:val="22"/>
          <w:szCs w:val="22"/>
          <w:lang w:val="es-ES"/>
        </w:rPr>
        <w:t xml:space="preserve"> y los Agentes miembros del Mercado Argentino de Valores </w:t>
      </w:r>
      <w:r w:rsidRPr="00506990">
        <w:rPr>
          <w:rFonts w:ascii="Times New Roman" w:hAnsi="Times New Roman"/>
          <w:iCs/>
          <w:color w:val="0D0D0D" w:themeColor="text1" w:themeTint="F2"/>
          <w:sz w:val="22"/>
          <w:szCs w:val="22"/>
          <w:lang w:val="es-ES"/>
        </w:rPr>
        <w:t>S.A.</w:t>
      </w:r>
    </w:p>
    <w:p w14:paraId="0E2F4C0D" w14:textId="77777777" w:rsidR="0050339C" w:rsidRPr="00506990" w:rsidRDefault="0050339C" w:rsidP="0050339C">
      <w:pPr>
        <w:rPr>
          <w:rFonts w:ascii="Times New Roman" w:hAnsi="Times New Roman" w:cs="Times New Roman"/>
          <w:iCs/>
          <w:color w:val="0D0D0D" w:themeColor="text1" w:themeTint="F2"/>
          <w:sz w:val="22"/>
          <w:szCs w:val="22"/>
          <w:lang w:val="es-ES"/>
        </w:rPr>
      </w:pPr>
    </w:p>
    <w:p w14:paraId="47853C34" w14:textId="7A577AEE" w:rsidR="0050339C" w:rsidRPr="00506990" w:rsidRDefault="0050339C" w:rsidP="0050339C">
      <w:pPr>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“Contrato Marco”:</w:t>
      </w:r>
      <w:r w:rsidRPr="00506990">
        <w:rPr>
          <w:rFonts w:ascii="Times New Roman" w:hAnsi="Times New Roman" w:cs="Times New Roman"/>
          <w:iCs/>
          <w:color w:val="0D0D0D" w:themeColor="text1" w:themeTint="F2"/>
          <w:sz w:val="22"/>
          <w:szCs w:val="22"/>
        </w:rPr>
        <w:t xml:space="preserve"> es el contrato marco para fideicomisos financieros otorgado por el Fiduciario</w:t>
      </w:r>
      <w:r w:rsidR="00B43F7C">
        <w:rPr>
          <w:rFonts w:ascii="Times New Roman" w:hAnsi="Times New Roman" w:cs="Times New Roman"/>
          <w:iCs/>
          <w:color w:val="0D0D0D" w:themeColor="text1" w:themeTint="F2"/>
          <w:sz w:val="22"/>
          <w:szCs w:val="22"/>
        </w:rPr>
        <w:t>, Consumo S.A.</w:t>
      </w:r>
      <w:r w:rsidRPr="00506990">
        <w:rPr>
          <w:rFonts w:ascii="Times New Roman" w:hAnsi="Times New Roman" w:cs="Times New Roman"/>
          <w:iCs/>
          <w:color w:val="0D0D0D" w:themeColor="text1" w:themeTint="F2"/>
          <w:sz w:val="22"/>
          <w:szCs w:val="22"/>
        </w:rPr>
        <w:t xml:space="preserve"> y Bazar Avenida S.A, inserto en el Prospecto del Programa. </w:t>
      </w:r>
    </w:p>
    <w:p w14:paraId="5D637A8B"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4C6116AA"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“Contrato Suplementario”: </w:t>
      </w:r>
      <w:r w:rsidRPr="00506990">
        <w:rPr>
          <w:rFonts w:ascii="Times New Roman" w:hAnsi="Times New Roman" w:cs="Times New Roman"/>
          <w:iCs/>
          <w:color w:val="0D0D0D" w:themeColor="text1" w:themeTint="F2"/>
          <w:sz w:val="22"/>
          <w:szCs w:val="22"/>
        </w:rPr>
        <w:t>es el presente contrato suplementario de fideicomiso financiero.</w:t>
      </w:r>
    </w:p>
    <w:p w14:paraId="43AF4E60" w14:textId="77777777" w:rsidR="0050339C" w:rsidRPr="00506990" w:rsidRDefault="0050339C" w:rsidP="0050339C">
      <w:pPr>
        <w:pStyle w:val="Textocomentario"/>
        <w:rPr>
          <w:rFonts w:ascii="Times New Roman" w:hAnsi="Times New Roman"/>
          <w:b/>
          <w:bCs/>
          <w:iCs/>
          <w:color w:val="0D0D0D" w:themeColor="text1" w:themeTint="F2"/>
          <w:sz w:val="22"/>
          <w:szCs w:val="22"/>
          <w:lang w:val="es-AR"/>
        </w:rPr>
      </w:pPr>
    </w:p>
    <w:p w14:paraId="375E91D1" w14:textId="3B3C16AF" w:rsidR="0050339C" w:rsidRPr="00506990" w:rsidRDefault="0050339C" w:rsidP="0050339C">
      <w:pPr>
        <w:pStyle w:val="Textocomentario"/>
        <w:rPr>
          <w:rFonts w:ascii="Times New Roman" w:hAnsi="Times New Roman"/>
          <w:bCs/>
          <w:iCs/>
          <w:color w:val="0D0D0D" w:themeColor="text1" w:themeTint="F2"/>
          <w:sz w:val="22"/>
          <w:szCs w:val="22"/>
          <w:lang w:val="es-AR"/>
        </w:rPr>
      </w:pPr>
      <w:r w:rsidRPr="00506990">
        <w:rPr>
          <w:rFonts w:ascii="Times New Roman" w:hAnsi="Times New Roman"/>
          <w:b/>
          <w:bCs/>
          <w:iCs/>
          <w:color w:val="0D0D0D" w:themeColor="text1" w:themeTint="F2"/>
          <w:sz w:val="22"/>
          <w:szCs w:val="22"/>
          <w:lang w:val="es-AR"/>
        </w:rPr>
        <w:t>“Convenio de Recaudación”:</w:t>
      </w:r>
      <w:r w:rsidRPr="00506990">
        <w:rPr>
          <w:rFonts w:ascii="Times New Roman" w:hAnsi="Times New Roman"/>
          <w:bCs/>
          <w:iCs/>
          <w:color w:val="0D0D0D" w:themeColor="text1" w:themeTint="F2"/>
          <w:sz w:val="22"/>
          <w:szCs w:val="22"/>
          <w:lang w:val="es-AR"/>
        </w:rPr>
        <w:t xml:space="preserve"> es el Convenio suscripto entre l</w:t>
      </w:r>
      <w:r w:rsidR="006E36BA" w:rsidRPr="00506990">
        <w:rPr>
          <w:rFonts w:ascii="Times New Roman" w:hAnsi="Times New Roman"/>
          <w:bCs/>
          <w:iCs/>
          <w:color w:val="0D0D0D" w:themeColor="text1" w:themeTint="F2"/>
          <w:sz w:val="22"/>
          <w:szCs w:val="22"/>
          <w:lang w:val="es-AR"/>
        </w:rPr>
        <w:t>os</w:t>
      </w:r>
      <w:r w:rsidRPr="00506990">
        <w:rPr>
          <w:rFonts w:ascii="Times New Roman" w:hAnsi="Times New Roman"/>
          <w:bCs/>
          <w:iCs/>
          <w:color w:val="0D0D0D" w:themeColor="text1" w:themeTint="F2"/>
          <w:sz w:val="22"/>
          <w:szCs w:val="22"/>
          <w:lang w:val="es-AR"/>
        </w:rPr>
        <w:t xml:space="preserve"> Fiduciante</w:t>
      </w:r>
      <w:r w:rsidR="006E36BA" w:rsidRPr="00506990">
        <w:rPr>
          <w:rFonts w:ascii="Times New Roman" w:hAnsi="Times New Roman"/>
          <w:bCs/>
          <w:iCs/>
          <w:color w:val="0D0D0D" w:themeColor="text1" w:themeTint="F2"/>
          <w:sz w:val="22"/>
          <w:szCs w:val="22"/>
          <w:lang w:val="es-AR"/>
        </w:rPr>
        <w:t>s</w:t>
      </w:r>
      <w:r w:rsidRPr="00506990">
        <w:rPr>
          <w:rFonts w:ascii="Times New Roman" w:hAnsi="Times New Roman"/>
          <w:bCs/>
          <w:iCs/>
          <w:color w:val="0D0D0D" w:themeColor="text1" w:themeTint="F2"/>
          <w:sz w:val="22"/>
          <w:szCs w:val="22"/>
          <w:lang w:val="es-AR"/>
        </w:rPr>
        <w:t xml:space="preserve"> y TINSA S.A. por intermedio del cual esta última asume la percepción de la Cobranza de los Créditos.</w:t>
      </w:r>
    </w:p>
    <w:p w14:paraId="420CC9B4" w14:textId="77777777" w:rsidR="0050339C" w:rsidRPr="00506990" w:rsidRDefault="0050339C" w:rsidP="0050339C">
      <w:pPr>
        <w:pStyle w:val="Textocomentario"/>
        <w:rPr>
          <w:rFonts w:ascii="Times New Roman" w:hAnsi="Times New Roman"/>
          <w:b/>
          <w:bCs/>
          <w:iCs/>
          <w:color w:val="0D0D0D" w:themeColor="text1" w:themeTint="F2"/>
          <w:sz w:val="22"/>
          <w:szCs w:val="22"/>
          <w:lang w:val="es-AR"/>
        </w:rPr>
      </w:pPr>
    </w:p>
    <w:p w14:paraId="7FA2E2DE" w14:textId="77777777" w:rsidR="0050339C" w:rsidRPr="00506990" w:rsidRDefault="0050339C" w:rsidP="0050339C">
      <w:pPr>
        <w:pStyle w:val="Textocomentario"/>
        <w:rPr>
          <w:rFonts w:ascii="Times New Roman" w:hAnsi="Times New Roman"/>
          <w:bCs/>
          <w:iCs/>
          <w:color w:val="0D0D0D" w:themeColor="text1" w:themeTint="F2"/>
          <w:sz w:val="22"/>
          <w:szCs w:val="22"/>
          <w:lang w:val="es-AR"/>
        </w:rPr>
      </w:pPr>
      <w:r w:rsidRPr="00506990">
        <w:rPr>
          <w:rFonts w:ascii="Times New Roman" w:hAnsi="Times New Roman"/>
          <w:b/>
          <w:bCs/>
          <w:iCs/>
          <w:color w:val="0D0D0D" w:themeColor="text1" w:themeTint="F2"/>
          <w:sz w:val="22"/>
          <w:szCs w:val="22"/>
          <w:lang w:val="es-AR"/>
        </w:rPr>
        <w:t>“CCC”:</w:t>
      </w:r>
      <w:r w:rsidRPr="00506990">
        <w:rPr>
          <w:rFonts w:ascii="Times New Roman" w:hAnsi="Times New Roman"/>
          <w:bCs/>
          <w:iCs/>
          <w:color w:val="0D0D0D" w:themeColor="text1" w:themeTint="F2"/>
          <w:sz w:val="22"/>
          <w:szCs w:val="22"/>
          <w:lang w:val="es-AR"/>
        </w:rPr>
        <w:t xml:space="preserve"> Código Civil y Comercial de la Nación</w:t>
      </w:r>
    </w:p>
    <w:p w14:paraId="26E64EBE" w14:textId="77777777" w:rsidR="0050339C" w:rsidRPr="00506990" w:rsidRDefault="0050339C" w:rsidP="0050339C">
      <w:pPr>
        <w:pStyle w:val="Textocomentario"/>
        <w:rPr>
          <w:rFonts w:ascii="Times New Roman" w:hAnsi="Times New Roman"/>
          <w:bCs/>
          <w:iCs/>
          <w:color w:val="0D0D0D" w:themeColor="text1" w:themeTint="F2"/>
          <w:sz w:val="22"/>
          <w:szCs w:val="22"/>
          <w:lang w:val="es-AR"/>
        </w:rPr>
      </w:pPr>
    </w:p>
    <w:p w14:paraId="335E0A6A"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“CPCCN”: </w:t>
      </w:r>
      <w:r w:rsidRPr="00506990">
        <w:rPr>
          <w:rFonts w:ascii="Times New Roman" w:hAnsi="Times New Roman" w:cs="Times New Roman"/>
          <w:iCs/>
          <w:color w:val="0D0D0D" w:themeColor="text1" w:themeTint="F2"/>
          <w:sz w:val="22"/>
          <w:szCs w:val="22"/>
        </w:rPr>
        <w:t>es el Código Procesal Civil y Comercial de la Nación.</w:t>
      </w:r>
    </w:p>
    <w:p w14:paraId="39C25415"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6F207FB8" w14:textId="0B3F10BE"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Créditos”: </w:t>
      </w:r>
      <w:r w:rsidRPr="00506990">
        <w:rPr>
          <w:rFonts w:ascii="Times New Roman" w:hAnsi="Times New Roman" w:cs="Times New Roman"/>
          <w:iCs/>
          <w:color w:val="0D0D0D" w:themeColor="text1" w:themeTint="F2"/>
          <w:sz w:val="22"/>
          <w:szCs w:val="22"/>
        </w:rPr>
        <w:t>créditos de consumo y personales originados en pesos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instrumentados en pagarés.</w:t>
      </w:r>
    </w:p>
    <w:p w14:paraId="4CD0AABB"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7C32AF8E"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“Criterios de Elegibilidad”:</w:t>
      </w:r>
      <w:r w:rsidRPr="00506990">
        <w:rPr>
          <w:rFonts w:ascii="Times New Roman" w:hAnsi="Times New Roman" w:cs="Times New Roman"/>
          <w:iCs/>
          <w:color w:val="0D0D0D" w:themeColor="text1" w:themeTint="F2"/>
          <w:sz w:val="22"/>
          <w:szCs w:val="22"/>
        </w:rPr>
        <w:t xml:space="preserve"> Tiene el significado previsto en el artículo 1.3.</w:t>
      </w:r>
    </w:p>
    <w:p w14:paraId="3F85E2CE"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0E5ADB5F" w14:textId="2261F831"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“Cuenta Fiduciaria”: </w:t>
      </w:r>
      <w:r w:rsidRPr="00506990">
        <w:rPr>
          <w:rFonts w:ascii="Times New Roman" w:hAnsi="Times New Roman" w:cs="Times New Roman"/>
          <w:color w:val="0D0D0D" w:themeColor="text1" w:themeTint="F2"/>
          <w:sz w:val="22"/>
          <w:szCs w:val="22"/>
        </w:rPr>
        <w:t xml:space="preserve">es la cuenta bancaria </w:t>
      </w:r>
      <w:r w:rsidR="00AD389A">
        <w:rPr>
          <w:rFonts w:ascii="Times New Roman" w:hAnsi="Times New Roman" w:cs="Times New Roman"/>
          <w:color w:val="0D0D0D" w:themeColor="text1" w:themeTint="F2"/>
          <w:sz w:val="22"/>
          <w:szCs w:val="22"/>
        </w:rPr>
        <w:t>que abrirá</w:t>
      </w:r>
      <w:r w:rsidRPr="00506990">
        <w:rPr>
          <w:rFonts w:ascii="Times New Roman" w:hAnsi="Times New Roman" w:cs="Times New Roman"/>
          <w:color w:val="0D0D0D" w:themeColor="text1" w:themeTint="F2"/>
          <w:sz w:val="22"/>
          <w:szCs w:val="22"/>
        </w:rPr>
        <w:t xml:space="preserve"> el Fiduciario en Banco Macro S.A. </w:t>
      </w:r>
      <w:r w:rsidR="00AD389A">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en la que se depositarán los recursos líquidos del Fideicomiso.</w:t>
      </w:r>
    </w:p>
    <w:p w14:paraId="4E9E7984" w14:textId="77777777" w:rsidR="0050339C" w:rsidRPr="00506990" w:rsidRDefault="0050339C" w:rsidP="0050339C">
      <w:pPr>
        <w:rPr>
          <w:rFonts w:ascii="Times New Roman" w:hAnsi="Times New Roman" w:cs="Times New Roman"/>
          <w:color w:val="0D0D0D" w:themeColor="text1" w:themeTint="F2"/>
          <w:sz w:val="22"/>
          <w:szCs w:val="22"/>
        </w:rPr>
      </w:pPr>
    </w:p>
    <w:p w14:paraId="30A8AB06"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“Documentos”: </w:t>
      </w:r>
      <w:r w:rsidRPr="00506990">
        <w:rPr>
          <w:rFonts w:ascii="Times New Roman" w:hAnsi="Times New Roman" w:cs="Times New Roman"/>
          <w:color w:val="0D0D0D" w:themeColor="text1" w:themeTint="F2"/>
          <w:sz w:val="22"/>
          <w:szCs w:val="22"/>
        </w:rPr>
        <w:t>los Documentos Respaldatorios y los Documentos Adicionales.</w:t>
      </w:r>
    </w:p>
    <w:p w14:paraId="51B5D880"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483F7FBD" w14:textId="0913F6BF"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 xml:space="preserve">“Documentos Respaldatorios”: </w:t>
      </w:r>
      <w:r w:rsidRPr="00506990">
        <w:rPr>
          <w:rFonts w:ascii="Times New Roman" w:hAnsi="Times New Roman" w:cs="Times New Roman"/>
          <w:iCs/>
          <w:color w:val="0D0D0D" w:themeColor="text1" w:themeTint="F2"/>
          <w:sz w:val="22"/>
          <w:szCs w:val="22"/>
          <w:lang w:val="es-AR"/>
        </w:rPr>
        <w:t>los Pagarés -los que fueron endosados sin recurso a favor del Fiduciario-</w:t>
      </w:r>
      <w:r w:rsidR="00B43F7C">
        <w:rPr>
          <w:rFonts w:ascii="Times New Roman" w:hAnsi="Times New Roman" w:cs="Times New Roman"/>
          <w:iCs/>
          <w:color w:val="0D0D0D" w:themeColor="text1" w:themeTint="F2"/>
          <w:sz w:val="22"/>
          <w:szCs w:val="22"/>
          <w:lang w:val="es-AR"/>
        </w:rPr>
        <w:t>,</w:t>
      </w:r>
      <w:r w:rsidRPr="00506990">
        <w:rPr>
          <w:rFonts w:ascii="Times New Roman" w:hAnsi="Times New Roman" w:cs="Times New Roman"/>
          <w:iCs/>
          <w:color w:val="0D0D0D" w:themeColor="text1" w:themeTint="F2"/>
          <w:sz w:val="22"/>
          <w:szCs w:val="22"/>
          <w:lang w:val="es-AR"/>
        </w:rPr>
        <w:t xml:space="preserve"> documento </w:t>
      </w:r>
      <w:r w:rsidRPr="00506990">
        <w:rPr>
          <w:rFonts w:ascii="Times New Roman" w:hAnsi="Times New Roman" w:cs="Times New Roman"/>
          <w:iCs/>
          <w:color w:val="0D0D0D" w:themeColor="text1" w:themeTint="F2"/>
          <w:sz w:val="22"/>
          <w:szCs w:val="22"/>
        </w:rPr>
        <w:t>suficiente para permitir el ejercicio de los derechos relativos a la propiedad fiduciaria</w:t>
      </w:r>
      <w:r w:rsidRPr="00506990">
        <w:rPr>
          <w:rFonts w:ascii="Times New Roman" w:hAnsi="Times New Roman" w:cs="Times New Roman"/>
          <w:iCs/>
          <w:color w:val="0D0D0D" w:themeColor="text1" w:themeTint="F2"/>
          <w:sz w:val="22"/>
          <w:szCs w:val="22"/>
          <w:lang w:val="es-AR"/>
        </w:rPr>
        <w:t>.</w:t>
      </w:r>
    </w:p>
    <w:p w14:paraId="47145C50"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73263D0E" w14:textId="77777777" w:rsidR="0050339C" w:rsidRPr="00506990" w:rsidRDefault="0050339C" w:rsidP="0050339C">
      <w:pPr>
        <w:rPr>
          <w:rFonts w:ascii="Times New Roman" w:hAnsi="Times New Roman" w:cs="Times New Roman"/>
          <w:color w:val="0D0D0D" w:themeColor="text1" w:themeTint="F2"/>
          <w:spacing w:val="-3"/>
          <w:sz w:val="22"/>
          <w:szCs w:val="22"/>
        </w:rPr>
      </w:pPr>
      <w:r w:rsidRPr="00506990">
        <w:rPr>
          <w:rFonts w:ascii="Times New Roman" w:eastAsia="Times New Roman" w:hAnsi="Times New Roman" w:cs="Times New Roman"/>
          <w:b/>
          <w:color w:val="0D0D0D" w:themeColor="text1" w:themeTint="F2"/>
          <w:spacing w:val="-3"/>
          <w:sz w:val="22"/>
          <w:szCs w:val="22"/>
          <w:lang w:val="es-ES"/>
        </w:rPr>
        <w:t>“Documentos Adicionales”:</w:t>
      </w:r>
      <w:r w:rsidRPr="00506990">
        <w:rPr>
          <w:rFonts w:ascii="Times New Roman" w:eastAsia="Times New Roman" w:hAnsi="Times New Roman" w:cs="Times New Roman"/>
          <w:color w:val="0D0D0D" w:themeColor="text1" w:themeTint="F2"/>
          <w:spacing w:val="-3"/>
          <w:sz w:val="22"/>
          <w:szCs w:val="22"/>
          <w:lang w:val="es-ES"/>
        </w:rPr>
        <w:t xml:space="preserve"> todos los instrumentos, en soporte papel o magnético, que sirven de prueba de la existencia de los Créditos y que no esté incluida dentro de la Documentos Respaldatorios.</w:t>
      </w:r>
    </w:p>
    <w:p w14:paraId="1D0133AE"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52285BC6"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“Día Hábil”: </w:t>
      </w:r>
      <w:r w:rsidRPr="00506990">
        <w:rPr>
          <w:rFonts w:ascii="Times New Roman" w:hAnsi="Times New Roman" w:cs="Times New Roman"/>
          <w:iCs/>
          <w:color w:val="0D0D0D" w:themeColor="text1" w:themeTint="F2"/>
          <w:spacing w:val="-3"/>
          <w:sz w:val="22"/>
          <w:szCs w:val="22"/>
        </w:rPr>
        <w:t>es un día en el cual los bancos comerciales no están autorizados a cerrar en la Ciudad de Buenos Aires.</w:t>
      </w:r>
    </w:p>
    <w:p w14:paraId="7155924B" w14:textId="77777777" w:rsidR="0050339C" w:rsidRPr="00506990" w:rsidRDefault="0050339C" w:rsidP="0050339C">
      <w:pPr>
        <w:rPr>
          <w:rFonts w:ascii="Times New Roman" w:hAnsi="Times New Roman" w:cs="Times New Roman"/>
          <w:iCs/>
          <w:color w:val="0D0D0D" w:themeColor="text1" w:themeTint="F2"/>
          <w:sz w:val="22"/>
          <w:szCs w:val="22"/>
        </w:rPr>
      </w:pPr>
    </w:p>
    <w:p w14:paraId="7ADA3F81"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“Eventos Especiales”: </w:t>
      </w:r>
      <w:r w:rsidRPr="00506990">
        <w:rPr>
          <w:rFonts w:ascii="Times New Roman" w:hAnsi="Times New Roman" w:cs="Times New Roman"/>
          <w:iCs/>
          <w:color w:val="0D0D0D" w:themeColor="text1" w:themeTint="F2"/>
          <w:sz w:val="22"/>
          <w:szCs w:val="22"/>
        </w:rPr>
        <w:t>tiene el significado asignado en el artículo 2.11 del Contrato Suplementario de Fideicomiso.</w:t>
      </w:r>
    </w:p>
    <w:p w14:paraId="21C3263C" w14:textId="77777777" w:rsidR="0050339C" w:rsidRPr="00506990" w:rsidRDefault="0050339C" w:rsidP="0050339C">
      <w:pPr>
        <w:rPr>
          <w:rFonts w:ascii="Times New Roman" w:hAnsi="Times New Roman" w:cs="Times New Roman"/>
          <w:iCs/>
          <w:color w:val="0D0D0D" w:themeColor="text1" w:themeTint="F2"/>
          <w:sz w:val="22"/>
          <w:szCs w:val="22"/>
        </w:rPr>
      </w:pPr>
    </w:p>
    <w:p w14:paraId="569E94B3" w14:textId="47EF3CCB" w:rsidR="0050339C" w:rsidRPr="00506990" w:rsidRDefault="0050339C" w:rsidP="0050339C">
      <w:pPr>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Corte”: </w:t>
      </w:r>
      <w:r w:rsidR="00AD7778" w:rsidRPr="00506990">
        <w:rPr>
          <w:rFonts w:ascii="Times New Roman" w:hAnsi="Times New Roman" w:cs="Times New Roman"/>
          <w:bCs/>
          <w:iCs/>
          <w:color w:val="0D0D0D" w:themeColor="text1" w:themeTint="F2"/>
          <w:sz w:val="22"/>
          <w:szCs w:val="22"/>
        </w:rPr>
        <w:t xml:space="preserve">es el </w:t>
      </w:r>
      <w:r w:rsidR="005A3478" w:rsidRPr="00506990">
        <w:rPr>
          <w:rFonts w:ascii="Times New Roman" w:hAnsi="Times New Roman" w:cs="Times New Roman"/>
          <w:bCs/>
          <w:iCs/>
          <w:color w:val="0D0D0D" w:themeColor="text1" w:themeTint="F2"/>
          <w:sz w:val="22"/>
          <w:szCs w:val="22"/>
        </w:rPr>
        <w:t>31</w:t>
      </w:r>
      <w:r w:rsidR="00AD7778" w:rsidRPr="00506990">
        <w:rPr>
          <w:rFonts w:ascii="Times New Roman" w:hAnsi="Times New Roman" w:cs="Times New Roman"/>
          <w:bCs/>
          <w:iCs/>
          <w:color w:val="0D0D0D" w:themeColor="text1" w:themeTint="F2"/>
          <w:sz w:val="22"/>
          <w:szCs w:val="22"/>
        </w:rPr>
        <w:t xml:space="preserve"> de </w:t>
      </w:r>
      <w:r w:rsidR="005A3478" w:rsidRPr="00506990">
        <w:rPr>
          <w:rFonts w:ascii="Times New Roman" w:hAnsi="Times New Roman" w:cs="Times New Roman"/>
          <w:bCs/>
          <w:iCs/>
          <w:color w:val="0D0D0D" w:themeColor="text1" w:themeTint="F2"/>
          <w:sz w:val="22"/>
          <w:szCs w:val="22"/>
        </w:rPr>
        <w:t xml:space="preserve">enero </w:t>
      </w:r>
      <w:r w:rsidR="00AD7778" w:rsidRPr="00506990">
        <w:rPr>
          <w:rFonts w:ascii="Times New Roman" w:hAnsi="Times New Roman" w:cs="Times New Roman"/>
          <w:bCs/>
          <w:iCs/>
          <w:color w:val="0D0D0D" w:themeColor="text1" w:themeTint="F2"/>
          <w:sz w:val="22"/>
          <w:szCs w:val="22"/>
        </w:rPr>
        <w:t>de 20</w:t>
      </w:r>
      <w:r w:rsidR="005A3478" w:rsidRPr="00506990">
        <w:rPr>
          <w:rFonts w:ascii="Times New Roman" w:hAnsi="Times New Roman" w:cs="Times New Roman"/>
          <w:bCs/>
          <w:iCs/>
          <w:color w:val="0D0D0D" w:themeColor="text1" w:themeTint="F2"/>
          <w:sz w:val="22"/>
          <w:szCs w:val="22"/>
        </w:rPr>
        <w:t>20</w:t>
      </w:r>
      <w:r w:rsidR="00AD7778" w:rsidRPr="00506990">
        <w:rPr>
          <w:rFonts w:ascii="Times New Roman" w:hAnsi="Times New Roman" w:cs="Times New Roman"/>
          <w:bCs/>
          <w:iCs/>
          <w:color w:val="0D0D0D" w:themeColor="text1" w:themeTint="F2"/>
          <w:sz w:val="22"/>
          <w:szCs w:val="22"/>
        </w:rPr>
        <w:t xml:space="preserve">, fecha a partir de la cual se asignará el </w:t>
      </w:r>
      <w:r w:rsidR="007C6FA9" w:rsidRPr="00506990">
        <w:rPr>
          <w:rFonts w:ascii="Times New Roman" w:hAnsi="Times New Roman" w:cs="Times New Roman"/>
          <w:bCs/>
          <w:iCs/>
          <w:color w:val="0D0D0D" w:themeColor="text1" w:themeTint="F2"/>
          <w:sz w:val="22"/>
          <w:szCs w:val="22"/>
        </w:rPr>
        <w:t>f</w:t>
      </w:r>
      <w:r w:rsidR="00AD7778" w:rsidRPr="00506990">
        <w:rPr>
          <w:rFonts w:ascii="Times New Roman" w:hAnsi="Times New Roman" w:cs="Times New Roman"/>
          <w:bCs/>
          <w:iCs/>
          <w:color w:val="0D0D0D" w:themeColor="text1" w:themeTint="F2"/>
          <w:sz w:val="22"/>
          <w:szCs w:val="22"/>
        </w:rPr>
        <w:t xml:space="preserve">lujo de </w:t>
      </w:r>
      <w:r w:rsidR="007C6FA9" w:rsidRPr="00506990">
        <w:rPr>
          <w:rFonts w:ascii="Times New Roman" w:hAnsi="Times New Roman" w:cs="Times New Roman"/>
          <w:bCs/>
          <w:iCs/>
          <w:color w:val="0D0D0D" w:themeColor="text1" w:themeTint="F2"/>
          <w:sz w:val="22"/>
          <w:szCs w:val="22"/>
        </w:rPr>
        <w:t>f</w:t>
      </w:r>
      <w:r w:rsidR="00AD7778" w:rsidRPr="00506990">
        <w:rPr>
          <w:rFonts w:ascii="Times New Roman" w:hAnsi="Times New Roman" w:cs="Times New Roman"/>
          <w:bCs/>
          <w:iCs/>
          <w:color w:val="0D0D0D" w:themeColor="text1" w:themeTint="F2"/>
          <w:sz w:val="22"/>
          <w:szCs w:val="22"/>
        </w:rPr>
        <w:t xml:space="preserve">ondos </w:t>
      </w:r>
      <w:r w:rsidR="007C6FA9" w:rsidRPr="00506990">
        <w:rPr>
          <w:rFonts w:ascii="Times New Roman" w:hAnsi="Times New Roman" w:cs="Times New Roman"/>
          <w:bCs/>
          <w:iCs/>
          <w:color w:val="0D0D0D" w:themeColor="text1" w:themeTint="F2"/>
          <w:sz w:val="22"/>
          <w:szCs w:val="22"/>
        </w:rPr>
        <w:t>t</w:t>
      </w:r>
      <w:r w:rsidR="00AD7778" w:rsidRPr="00506990">
        <w:rPr>
          <w:rFonts w:ascii="Times New Roman" w:hAnsi="Times New Roman" w:cs="Times New Roman"/>
          <w:bCs/>
          <w:iCs/>
          <w:color w:val="0D0D0D" w:themeColor="text1" w:themeTint="F2"/>
          <w:sz w:val="22"/>
          <w:szCs w:val="22"/>
        </w:rPr>
        <w:t>eórico al Fideicomiso</w:t>
      </w:r>
      <w:r w:rsidRPr="00506990">
        <w:rPr>
          <w:rFonts w:ascii="Times New Roman" w:hAnsi="Times New Roman" w:cs="Times New Roman"/>
          <w:bCs/>
          <w:iCs/>
          <w:color w:val="0D0D0D" w:themeColor="text1" w:themeTint="F2"/>
          <w:sz w:val="22"/>
          <w:szCs w:val="22"/>
        </w:rPr>
        <w:t xml:space="preserve">. </w:t>
      </w:r>
    </w:p>
    <w:p w14:paraId="1CBB8D1E" w14:textId="77777777" w:rsidR="0050339C" w:rsidRPr="00506990" w:rsidRDefault="0050339C" w:rsidP="0050339C">
      <w:pPr>
        <w:rPr>
          <w:rFonts w:ascii="Times New Roman" w:hAnsi="Times New Roman" w:cs="Times New Roman"/>
          <w:bCs/>
          <w:iCs/>
          <w:color w:val="0D0D0D" w:themeColor="text1" w:themeTint="F2"/>
          <w:sz w:val="22"/>
          <w:szCs w:val="22"/>
        </w:rPr>
      </w:pPr>
    </w:p>
    <w:p w14:paraId="62217590" w14:textId="1D8B285A"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“Fechas de Selección”: </w:t>
      </w:r>
      <w:r w:rsidRPr="00506990">
        <w:rPr>
          <w:rFonts w:ascii="Times New Roman" w:hAnsi="Times New Roman" w:cs="Times New Roman"/>
          <w:bCs/>
          <w:iCs/>
          <w:color w:val="0D0D0D" w:themeColor="text1" w:themeTint="F2"/>
          <w:sz w:val="22"/>
          <w:szCs w:val="22"/>
        </w:rPr>
        <w:t xml:space="preserve">corresponde a la fecha de análisis de los Criterios de Elegibilidad. </w:t>
      </w:r>
    </w:p>
    <w:p w14:paraId="38A801F6" w14:textId="77777777" w:rsidR="0050339C" w:rsidRPr="00506990" w:rsidRDefault="0050339C" w:rsidP="0050339C">
      <w:pPr>
        <w:rPr>
          <w:rFonts w:ascii="Times New Roman" w:hAnsi="Times New Roman" w:cs="Times New Roman"/>
          <w:iCs/>
          <w:color w:val="0D0D0D" w:themeColor="text1" w:themeTint="F2"/>
          <w:sz w:val="22"/>
          <w:szCs w:val="22"/>
        </w:rPr>
      </w:pPr>
    </w:p>
    <w:p w14:paraId="205FFC62" w14:textId="18379ABD"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Fecha de Liquidación y Emisión”: </w:t>
      </w:r>
      <w:r w:rsidRPr="00506990">
        <w:rPr>
          <w:rFonts w:ascii="Times New Roman" w:hAnsi="Times New Roman" w:cs="Times New Roman"/>
          <w:iCs/>
          <w:color w:val="0D0D0D" w:themeColor="text1" w:themeTint="F2"/>
          <w:sz w:val="22"/>
          <w:szCs w:val="22"/>
        </w:rPr>
        <w:t xml:space="preserve">tendrá lugar dentro de las 48 </w:t>
      </w:r>
      <w:r w:rsidRPr="00506990">
        <w:rPr>
          <w:rFonts w:ascii="Times New Roman" w:hAnsi="Times New Roman" w:cs="Times New Roman"/>
          <w:color w:val="0D0D0D" w:themeColor="text1" w:themeTint="F2"/>
          <w:sz w:val="22"/>
          <w:szCs w:val="22"/>
        </w:rPr>
        <w:t>horas hábiles bursátiles posteriores al</w:t>
      </w:r>
      <w:r w:rsidRPr="00506990">
        <w:rPr>
          <w:rFonts w:ascii="Times New Roman" w:hAnsi="Times New Roman" w:cs="Times New Roman"/>
          <w:iCs/>
          <w:color w:val="0D0D0D" w:themeColor="text1" w:themeTint="F2"/>
          <w:sz w:val="22"/>
          <w:szCs w:val="22"/>
        </w:rPr>
        <w:t xml:space="preserve"> último día del Período de Colocación de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u otra fecha que se especifique  en el Aviso de Suscripción.</w:t>
      </w:r>
    </w:p>
    <w:p w14:paraId="1D61F00E" w14:textId="77777777" w:rsidR="0050339C" w:rsidRPr="00506990" w:rsidRDefault="0050339C" w:rsidP="0050339C">
      <w:pPr>
        <w:rPr>
          <w:rFonts w:ascii="Times New Roman" w:hAnsi="Times New Roman" w:cs="Times New Roman"/>
          <w:iCs/>
          <w:color w:val="0D0D0D" w:themeColor="text1" w:themeTint="F2"/>
          <w:sz w:val="22"/>
          <w:szCs w:val="22"/>
        </w:rPr>
      </w:pPr>
    </w:p>
    <w:p w14:paraId="51430241"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r w:rsidRPr="00506990">
        <w:rPr>
          <w:rFonts w:ascii="Times New Roman" w:hAnsi="Times New Roman" w:cs="Times New Roman"/>
          <w:iCs/>
          <w:color w:val="0D0D0D" w:themeColor="text1" w:themeTint="F2"/>
          <w:sz w:val="22"/>
          <w:szCs w:val="22"/>
        </w:rPr>
        <w:t xml:space="preserve"> tiene el significado asignado en el artículo 2.8 del Contrato Suplementario de Fideicomiso.</w:t>
      </w:r>
    </w:p>
    <w:p w14:paraId="3C3D8C98" w14:textId="77777777" w:rsidR="00563C2C" w:rsidRPr="00506990" w:rsidRDefault="00563C2C" w:rsidP="00427D58">
      <w:pPr>
        <w:rPr>
          <w:rFonts w:ascii="Times New Roman" w:hAnsi="Times New Roman" w:cs="Times New Roman"/>
          <w:b/>
          <w:iCs/>
          <w:color w:val="0D0D0D" w:themeColor="text1" w:themeTint="F2"/>
          <w:sz w:val="22"/>
          <w:szCs w:val="22"/>
        </w:rPr>
      </w:pPr>
    </w:p>
    <w:p w14:paraId="7C960695" w14:textId="3FFC13E9" w:rsidR="00427D58" w:rsidRPr="00506990" w:rsidRDefault="00427D58" w:rsidP="00427D58">
      <w:pPr>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“Fideicomisario”: </w:t>
      </w:r>
      <w:r w:rsidRPr="00506990">
        <w:rPr>
          <w:rFonts w:ascii="Times New Roman" w:hAnsi="Times New Roman" w:cs="Times New Roman"/>
          <w:iCs/>
          <w:color w:val="0D0D0D" w:themeColor="text1" w:themeTint="F2"/>
          <w:sz w:val="22"/>
          <w:szCs w:val="22"/>
        </w:rPr>
        <w:t>l</w:t>
      </w:r>
      <w:r w:rsidR="003C5928"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3C59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w:t>
      </w:r>
    </w:p>
    <w:p w14:paraId="12BA6829" w14:textId="77777777" w:rsidR="0050339C" w:rsidRPr="00506990" w:rsidRDefault="0050339C" w:rsidP="0050339C">
      <w:pPr>
        <w:rPr>
          <w:rFonts w:ascii="Times New Roman" w:hAnsi="Times New Roman" w:cs="Times New Roman"/>
          <w:iCs/>
          <w:color w:val="0D0D0D" w:themeColor="text1" w:themeTint="F2"/>
          <w:sz w:val="22"/>
          <w:szCs w:val="22"/>
        </w:rPr>
      </w:pPr>
    </w:p>
    <w:p w14:paraId="143A99A1" w14:textId="5E6F065E"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“Fideicomiso”: </w:t>
      </w:r>
      <w:r w:rsidRPr="00506990">
        <w:rPr>
          <w:rFonts w:ascii="Times New Roman" w:hAnsi="Times New Roman" w:cs="Times New Roman"/>
          <w:iCs/>
          <w:color w:val="0D0D0D" w:themeColor="text1" w:themeTint="F2"/>
          <w:sz w:val="22"/>
          <w:szCs w:val="22"/>
        </w:rPr>
        <w:t>el Fideicomiso Financiero “CONFIBONO L</w:t>
      </w:r>
      <w:r w:rsidR="000F6441" w:rsidRPr="00506990">
        <w:rPr>
          <w:rFonts w:ascii="Times New Roman" w:hAnsi="Times New Roman" w:cs="Times New Roman"/>
          <w:iCs/>
          <w:color w:val="0D0D0D" w:themeColor="text1" w:themeTint="F2"/>
          <w:sz w:val="22"/>
          <w:szCs w:val="22"/>
        </w:rPr>
        <w:t>I</w:t>
      </w:r>
      <w:r w:rsidR="00041034" w:rsidRPr="00506990">
        <w:rPr>
          <w:rFonts w:ascii="Times New Roman" w:hAnsi="Times New Roman" w:cs="Times New Roman"/>
          <w:iCs/>
          <w:color w:val="0D0D0D" w:themeColor="text1" w:themeTint="F2"/>
          <w:sz w:val="22"/>
          <w:szCs w:val="22"/>
        </w:rPr>
        <w:t>I</w:t>
      </w:r>
      <w:r w:rsidR="008467DE" w:rsidRPr="00506990">
        <w:rPr>
          <w:rFonts w:ascii="Times New Roman" w:hAnsi="Times New Roman" w:cs="Times New Roman"/>
          <w:iCs/>
          <w:color w:val="0D0D0D" w:themeColor="text1" w:themeTint="F2"/>
          <w:sz w:val="22"/>
          <w:szCs w:val="22"/>
        </w:rPr>
        <w:t>I</w:t>
      </w:r>
      <w:r w:rsidRPr="00506990">
        <w:rPr>
          <w:rFonts w:ascii="Times New Roman" w:hAnsi="Times New Roman" w:cs="Times New Roman"/>
          <w:iCs/>
          <w:color w:val="0D0D0D" w:themeColor="text1" w:themeTint="F2"/>
          <w:sz w:val="22"/>
          <w:szCs w:val="22"/>
        </w:rPr>
        <w:t>”</w:t>
      </w:r>
    </w:p>
    <w:p w14:paraId="272479D3" w14:textId="77777777" w:rsidR="0050339C" w:rsidRPr="00506990" w:rsidRDefault="0050339C" w:rsidP="0050339C">
      <w:pPr>
        <w:rPr>
          <w:rFonts w:ascii="Times New Roman" w:hAnsi="Times New Roman" w:cs="Times New Roman"/>
          <w:iCs/>
          <w:color w:val="0D0D0D" w:themeColor="text1" w:themeTint="F2"/>
          <w:sz w:val="22"/>
          <w:szCs w:val="22"/>
        </w:rPr>
      </w:pPr>
    </w:p>
    <w:p w14:paraId="098BBE0D" w14:textId="6314BBC3"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“Fiduciante</w:t>
      </w:r>
      <w:r w:rsidR="003C5928"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Bazar Avenida</w:t>
      </w:r>
      <w:r w:rsidRPr="00506990">
        <w:rPr>
          <w:rFonts w:ascii="Times New Roman" w:hAnsi="Times New Roman" w:cs="Times New Roman"/>
          <w:iCs/>
          <w:color w:val="0D0D0D" w:themeColor="text1" w:themeTint="F2"/>
          <w:sz w:val="22"/>
          <w:szCs w:val="22"/>
        </w:rPr>
        <w:t xml:space="preserve"> S.A.</w:t>
      </w:r>
      <w:r w:rsidR="003C5928" w:rsidRPr="00506990">
        <w:rPr>
          <w:rFonts w:ascii="Times New Roman" w:hAnsi="Times New Roman" w:cs="Times New Roman"/>
          <w:iCs/>
          <w:color w:val="0D0D0D" w:themeColor="text1" w:themeTint="F2"/>
          <w:sz w:val="22"/>
          <w:szCs w:val="22"/>
        </w:rPr>
        <w:t xml:space="preserve"> y Consumo S.A.</w:t>
      </w:r>
    </w:p>
    <w:p w14:paraId="5106AB60"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07E96A9E"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“Fiduciario”: </w:t>
      </w:r>
      <w:r w:rsidRPr="00506990">
        <w:rPr>
          <w:rFonts w:ascii="Times New Roman" w:hAnsi="Times New Roman" w:cs="Times New Roman"/>
          <w:bCs/>
          <w:iCs/>
          <w:color w:val="0D0D0D" w:themeColor="text1" w:themeTint="F2"/>
          <w:sz w:val="22"/>
          <w:szCs w:val="22"/>
        </w:rPr>
        <w:t>Rosario Administradora Sociedad Fiduciaria</w:t>
      </w:r>
      <w:r w:rsidRPr="00506990">
        <w:rPr>
          <w:rFonts w:ascii="Times New Roman" w:hAnsi="Times New Roman" w:cs="Times New Roman"/>
          <w:iCs/>
          <w:color w:val="0D0D0D" w:themeColor="text1" w:themeTint="F2"/>
          <w:sz w:val="22"/>
          <w:szCs w:val="22"/>
        </w:rPr>
        <w:t xml:space="preserve"> S.A.</w:t>
      </w:r>
    </w:p>
    <w:p w14:paraId="20ABF768"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003F199E"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“Fondo de Liquidez”:</w:t>
      </w:r>
      <w:r w:rsidRPr="00506990">
        <w:rPr>
          <w:rFonts w:ascii="Times New Roman" w:hAnsi="Times New Roman" w:cs="Times New Roman"/>
          <w:iCs/>
          <w:color w:val="0D0D0D" w:themeColor="text1" w:themeTint="F2"/>
          <w:sz w:val="22"/>
          <w:szCs w:val="22"/>
        </w:rPr>
        <w:t xml:space="preserve"> tiene el significado asignado en el artículo 2.6 del Contrato Suplementario de Fideicomiso.</w:t>
      </w:r>
    </w:p>
    <w:p w14:paraId="0FC664CB"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49158189"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“Fondo de Gastos”:</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es el previsto en el artículo 1.6, constituido en beneficio del Fideicomiso Financiero, y destinado a cubrir los Gastos del Fideicomiso. </w:t>
      </w:r>
    </w:p>
    <w:p w14:paraId="5917390B"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6AF449F6"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“Fondos Líquidos Disponibles”: </w:t>
      </w:r>
      <w:r w:rsidRPr="00506990">
        <w:rPr>
          <w:rFonts w:ascii="Times New Roman" w:hAnsi="Times New Roman" w:cs="Times New Roman"/>
          <w:color w:val="0D0D0D" w:themeColor="text1" w:themeTint="F2"/>
          <w:sz w:val="22"/>
          <w:szCs w:val="22"/>
        </w:rPr>
        <w:t>significan los fondos que se obtengan de los Bienes Fideicomitidos y que conforme los términos del presente Contrato Suplementario aún no deban ser distribuidos a los Beneficiarios y permanezcan en forma transitoria en poder del Fiduciario.</w:t>
      </w:r>
    </w:p>
    <w:p w14:paraId="38C662F2"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2DCEAC11"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eastAsia="Times New Roman" w:hAnsi="Times New Roman" w:cs="Times New Roman"/>
          <w:b/>
          <w:color w:val="0D0D0D" w:themeColor="text1" w:themeTint="F2"/>
          <w:sz w:val="21"/>
          <w:szCs w:val="24"/>
          <w:lang w:val="es-AR"/>
        </w:rPr>
        <w:t>“Fondo de Reserva Impositivo”:</w:t>
      </w:r>
      <w:r w:rsidRPr="00506990">
        <w:rPr>
          <w:rFonts w:ascii="Times New Roman" w:eastAsia="Times New Roman" w:hAnsi="Times New Roman" w:cs="Times New Roman"/>
          <w:color w:val="0D0D0D" w:themeColor="text1" w:themeTint="F2"/>
          <w:sz w:val="21"/>
          <w:szCs w:val="24"/>
          <w:lang w:val="es-AR"/>
        </w:rPr>
        <w:t xml:space="preserve"> tiene el significado previsto en el artículo 1.9 </w:t>
      </w:r>
      <w:r w:rsidRPr="00506990">
        <w:rPr>
          <w:rFonts w:ascii="Times New Roman" w:hAnsi="Times New Roman" w:cs="Times New Roman"/>
          <w:iCs/>
          <w:color w:val="0D0D0D" w:themeColor="text1" w:themeTint="F2"/>
          <w:sz w:val="22"/>
          <w:szCs w:val="22"/>
        </w:rPr>
        <w:t>del Contrato Suplementario de Fideicomiso.</w:t>
      </w:r>
    </w:p>
    <w:p w14:paraId="6CABCCF5"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15E2C978" w14:textId="6351CD68" w:rsidR="0050339C" w:rsidRPr="00506990" w:rsidRDefault="0050339C" w:rsidP="0050339C">
      <w:pPr>
        <w:rPr>
          <w:rFonts w:ascii="Times New Roman" w:hAnsi="Times New Roman" w:cs="Times New Roman"/>
          <w:color w:val="0D0D0D" w:themeColor="text1" w:themeTint="F2"/>
          <w:sz w:val="22"/>
          <w:szCs w:val="20"/>
        </w:rPr>
      </w:pPr>
      <w:r w:rsidRPr="00506990">
        <w:rPr>
          <w:rFonts w:ascii="Times New Roman" w:hAnsi="Times New Roman" w:cs="Times New Roman"/>
          <w:b/>
          <w:color w:val="0D0D0D" w:themeColor="text1" w:themeTint="F2"/>
          <w:sz w:val="22"/>
          <w:szCs w:val="20"/>
        </w:rPr>
        <w:t>“Gastos del Fideicomiso”:</w:t>
      </w:r>
      <w:r w:rsidRPr="00506990">
        <w:rPr>
          <w:rFonts w:ascii="Times New Roman" w:hAnsi="Times New Roman" w:cs="Times New Roman"/>
          <w:color w:val="0D0D0D" w:themeColor="text1" w:themeTint="F2"/>
          <w:sz w:val="22"/>
          <w:szCs w:val="20"/>
        </w:rPr>
        <w:t xml:space="preserve"> significa todos los aranceles, impuestos, tasas, comisiones, costos, cargas, honorarios y demás gastos y erogaciones en que se hubiere incurrido para la celebración del Fideicomiso y en los que se incurra durante la vida del mismo, que están a cargo del Fideicomiso, incluyendo, de manera no taxativa: (i) las retribuciones acordadas a favor del Fiduciario en el presente Contrato; (ii) </w:t>
      </w:r>
      <w:r w:rsidRPr="00506990">
        <w:rPr>
          <w:rFonts w:ascii="Times New Roman" w:hAnsi="Times New Roman" w:cs="Times New Roman"/>
          <w:color w:val="0D0D0D" w:themeColor="text1" w:themeTint="F2"/>
          <w:spacing w:val="-2"/>
          <w:sz w:val="22"/>
          <w:szCs w:val="20"/>
        </w:rPr>
        <w:t xml:space="preserve">los derechos y aranceles de oferta pública y listado de los mercados donde se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pacing w:val="-2"/>
          <w:sz w:val="22"/>
          <w:szCs w:val="20"/>
        </w:rPr>
        <w:t xml:space="preserve">, (iii) </w:t>
      </w:r>
      <w:r w:rsidRPr="00506990">
        <w:rPr>
          <w:rFonts w:ascii="Times New Roman" w:hAnsi="Times New Roman" w:cs="Times New Roman"/>
          <w:color w:val="0D0D0D" w:themeColor="text1" w:themeTint="F2"/>
          <w:sz w:val="22"/>
          <w:szCs w:val="20"/>
        </w:rPr>
        <w:t xml:space="preserve">los honorarios de los asesores legales del Fiduciario durante la existencia del Fideicomiso, (iv) los honorarios de los asesores contables e impositivos del Fideicomiso; (v) los honorarios de las calificadoras de riesgo, de corresponder; (vi) los honorarios y gastos de escribanía, de corresponder; (vii) los honorarios del Agente de Control y Revisión; (viii) los gastos de publicación de toda información del Fideicomiso en los boletines bursátiles; (ix) los gastos que demanden los informes que debe preparar el Fiduciario; (x) en su caso, las comisiones por transferencias interbancarias; (xi) en su caso, los costos de notificaciones y el otorgamiento de poderes; (xii) los gastos incurridos en la gestión de cobro de los Créditos, incluyendo los honorarios legales, tasas de justicia, aranceles, etc., y (xiii) en general, todos los demás costos y gastos ordinarios en que deba incurrir el Fiduciario para la conservación, administración y defensa de los Bienes Fideicomitidos. </w:t>
      </w:r>
    </w:p>
    <w:p w14:paraId="3857BAD0" w14:textId="77777777" w:rsidR="0050339C" w:rsidRPr="00506990" w:rsidRDefault="0050339C" w:rsidP="0050339C">
      <w:pPr>
        <w:widowControl w:val="0"/>
        <w:rPr>
          <w:rFonts w:ascii="Times New Roman" w:hAnsi="Times New Roman" w:cs="Times New Roman"/>
          <w:color w:val="0D0D0D" w:themeColor="text1" w:themeTint="F2"/>
          <w:sz w:val="22"/>
          <w:szCs w:val="22"/>
        </w:rPr>
      </w:pPr>
    </w:p>
    <w:p w14:paraId="18A69C93" w14:textId="44949528"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“Gastos Afrontados por l</w:t>
      </w:r>
      <w:r w:rsidR="006E36BA" w:rsidRPr="00506990">
        <w:rPr>
          <w:rFonts w:ascii="Times New Roman" w:hAnsi="Times New Roman" w:cs="Times New Roman"/>
          <w:b/>
          <w:color w:val="0D0D0D" w:themeColor="text1" w:themeTint="F2"/>
          <w:sz w:val="22"/>
          <w:szCs w:val="22"/>
        </w:rPr>
        <w:t>os</w:t>
      </w:r>
      <w:r w:rsidRPr="00506990">
        <w:rPr>
          <w:rFonts w:ascii="Times New Roman" w:hAnsi="Times New Roman" w:cs="Times New Roman"/>
          <w:b/>
          <w:color w:val="0D0D0D" w:themeColor="text1" w:themeTint="F2"/>
          <w:sz w:val="22"/>
          <w:szCs w:val="22"/>
        </w:rPr>
        <w:t xml:space="preserve"> Fiduciante</w:t>
      </w:r>
      <w:r w:rsidR="006E36BA" w:rsidRPr="00506990">
        <w:rPr>
          <w:rFonts w:ascii="Times New Roman" w:hAnsi="Times New Roman" w:cs="Times New Roman"/>
          <w:b/>
          <w:color w:val="0D0D0D" w:themeColor="text1" w:themeTint="F2"/>
          <w:sz w:val="22"/>
          <w:szCs w:val="22"/>
        </w:rPr>
        <w:t>s</w:t>
      </w:r>
      <w:r w:rsidRPr="00506990">
        <w:rPr>
          <w:rFonts w:ascii="Times New Roman" w:hAnsi="Times New Roman" w:cs="Times New Roman"/>
          <w:b/>
          <w:color w:val="0D0D0D" w:themeColor="text1" w:themeTint="F2"/>
          <w:sz w:val="22"/>
          <w:szCs w:val="22"/>
        </w:rPr>
        <w:t>”:</w:t>
      </w:r>
      <w:r w:rsidRPr="00506990">
        <w:rPr>
          <w:rFonts w:ascii="Times New Roman" w:hAnsi="Times New Roman" w:cs="Times New Roman"/>
          <w:color w:val="0D0D0D" w:themeColor="text1" w:themeTint="F2"/>
          <w:sz w:val="22"/>
          <w:szCs w:val="22"/>
        </w:rPr>
        <w:t xml:space="preserve"> Tienen el significado asignado en el artículo 1.6 (ii).</w:t>
      </w:r>
    </w:p>
    <w:p w14:paraId="4AD1732A" w14:textId="72B8B49B" w:rsidR="0050339C" w:rsidRPr="00506990" w:rsidRDefault="0050339C" w:rsidP="0050339C">
      <w:pPr>
        <w:widowControl w:val="0"/>
        <w:rPr>
          <w:rFonts w:ascii="Times New Roman" w:hAnsi="Times New Roman" w:cs="Times New Roman"/>
          <w:color w:val="0D0D0D" w:themeColor="text1" w:themeTint="F2"/>
          <w:sz w:val="22"/>
          <w:szCs w:val="22"/>
        </w:rPr>
      </w:pPr>
    </w:p>
    <w:p w14:paraId="1AB09464" w14:textId="132AEC43"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“Mayoría Extraordinaria de Beneficiarios”:</w:t>
      </w:r>
      <w:r w:rsidRPr="00506990">
        <w:rPr>
          <w:rFonts w:ascii="Times New Roman" w:hAnsi="Times New Roman" w:cs="Times New Roman"/>
          <w:color w:val="0D0D0D" w:themeColor="text1" w:themeTint="F2"/>
          <w:sz w:val="22"/>
          <w:szCs w:val="22"/>
        </w:rPr>
        <w:t xml:space="preserve"> cuando la decisión se adopte en una Asamblea, será la mayoría absoluta (más del 50%) de los votos presentes en una asamblea extraordinaria. A los efectos del cómputo de los votos, </w:t>
      </w:r>
      <w:r w:rsidRPr="00506990">
        <w:rPr>
          <w:rFonts w:ascii="Times New Roman" w:hAnsi="Times New Roman" w:cs="Times New Roman"/>
          <w:color w:val="0D0D0D" w:themeColor="text1" w:themeTint="F2"/>
          <w:sz w:val="22"/>
          <w:szCs w:val="22"/>
          <w:lang w:val="es-AR"/>
        </w:rPr>
        <w:t xml:space="preserve">por cada unidad de la moneda de emisión, de valor nominal de los Valores Fiduciarios, salvo que en el Contrato Suplementario se estipule de otro modo, corresponderá un voto. </w:t>
      </w:r>
      <w:r w:rsidRPr="00506990">
        <w:rPr>
          <w:rFonts w:ascii="Times New Roman" w:hAnsi="Times New Roman" w:cs="Times New Roman"/>
          <w:color w:val="0D0D0D" w:themeColor="text1" w:themeTint="F2"/>
          <w:sz w:val="22"/>
          <w:szCs w:val="22"/>
        </w:rPr>
        <w:t xml:space="preserve"> Cuando la decisión se expresa a través del procedimiento alternativo contemplado en el  artículo 33.2 del presente, será la que exprese la mayoría absoluta (más del 50%) del valor nominal de los Valores Fiduciarios en circulación, o los de una Clase o Serie determinada, según se trate. En los casos de insuficiencia patrimonial o </w:t>
      </w:r>
      <w:r w:rsidR="002965C9" w:rsidRPr="00506990">
        <w:rPr>
          <w:rFonts w:ascii="Times New Roman" w:hAnsi="Times New Roman" w:cs="Times New Roman"/>
          <w:color w:val="0D0D0D" w:themeColor="text1" w:themeTint="F2"/>
          <w:sz w:val="22"/>
          <w:szCs w:val="22"/>
        </w:rPr>
        <w:t>reestructuración</w:t>
      </w:r>
      <w:r w:rsidRPr="00506990">
        <w:rPr>
          <w:rFonts w:ascii="Times New Roman" w:hAnsi="Times New Roman" w:cs="Times New Roman"/>
          <w:color w:val="0D0D0D" w:themeColor="text1" w:themeTint="F2"/>
          <w:sz w:val="22"/>
          <w:szCs w:val="22"/>
        </w:rPr>
        <w:t xml:space="preserve"> de pagos a los beneficiarios, será las tres cuartas partes de los valores emitidos y en circulación.</w:t>
      </w:r>
    </w:p>
    <w:p w14:paraId="0339796D" w14:textId="77777777"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p>
    <w:p w14:paraId="4EF40DCF" w14:textId="078679D7" w:rsidR="006654CF" w:rsidRPr="00506990" w:rsidRDefault="006654CF" w:rsidP="006654CF">
      <w:pPr>
        <w:tabs>
          <w:tab w:val="left" w:pos="-720"/>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pacing w:val="-3"/>
          <w:sz w:val="22"/>
          <w:szCs w:val="22"/>
        </w:rPr>
        <w:t xml:space="preserve">“Mayoría Ordinaria de Beneficiarios”: </w:t>
      </w:r>
      <w:r w:rsidRPr="00506990">
        <w:rPr>
          <w:rFonts w:ascii="Times New Roman" w:hAnsi="Times New Roman" w:cs="Times New Roman"/>
          <w:color w:val="0D0D0D" w:themeColor="text1" w:themeTint="F2"/>
          <w:sz w:val="22"/>
          <w:szCs w:val="22"/>
        </w:rPr>
        <w:t>cuando la decisión se adopte en una Asamblea, será la mayoría simple de los votos presentes en una asamblea ordinaria.</w:t>
      </w:r>
      <w:r w:rsidR="007073F9"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A los efectos del cómputo de los votos, </w:t>
      </w:r>
      <w:r w:rsidRPr="00506990">
        <w:rPr>
          <w:rFonts w:ascii="Times New Roman" w:hAnsi="Times New Roman" w:cs="Times New Roman"/>
          <w:color w:val="0D0D0D" w:themeColor="text1" w:themeTint="F2"/>
          <w:sz w:val="22"/>
          <w:szCs w:val="22"/>
          <w:lang w:val="es-AR"/>
        </w:rPr>
        <w:t xml:space="preserve">por cada unidad de la moneda de emisión, de valor nominal de los Valores Fiduciarios, salvo que en el Contrato Suplementario se estipule de otro modo, corresponderá un voto. </w:t>
      </w:r>
      <w:r w:rsidRPr="00506990">
        <w:rPr>
          <w:rFonts w:ascii="Times New Roman" w:hAnsi="Times New Roman" w:cs="Times New Roman"/>
          <w:color w:val="0D0D0D" w:themeColor="text1" w:themeTint="F2"/>
          <w:sz w:val="22"/>
          <w:szCs w:val="22"/>
        </w:rPr>
        <w:t xml:space="preserve"> Cuando la decisión se expresa a través del procedimiento alternativo contemplado en el artículo 33.2 del presente, será la que exprese la voluntad de la mayoría simple del valor nominal de los Valores Fiduciarios en circulación, o los de una Clase o Serie determinada, según se trate.</w:t>
      </w:r>
    </w:p>
    <w:p w14:paraId="32F58017" w14:textId="77777777" w:rsidR="006654CF" w:rsidRPr="00506990" w:rsidRDefault="006654CF" w:rsidP="0050339C">
      <w:pPr>
        <w:widowControl w:val="0"/>
        <w:rPr>
          <w:rFonts w:ascii="Times New Roman" w:hAnsi="Times New Roman" w:cs="Times New Roman"/>
          <w:color w:val="0D0D0D" w:themeColor="text1" w:themeTint="F2"/>
          <w:sz w:val="22"/>
          <w:szCs w:val="22"/>
        </w:rPr>
      </w:pPr>
    </w:p>
    <w:p w14:paraId="603C0233" w14:textId="77777777" w:rsidR="0050339C" w:rsidRPr="00506990" w:rsidRDefault="0050339C" w:rsidP="0050339C">
      <w:pPr>
        <w:widowControl w:val="0"/>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“MAV”:</w:t>
      </w:r>
      <w:r w:rsidRPr="00506990">
        <w:rPr>
          <w:rFonts w:ascii="Times New Roman" w:hAnsi="Times New Roman" w:cs="Times New Roman"/>
          <w:color w:val="0D0D0D" w:themeColor="text1" w:themeTint="F2"/>
          <w:sz w:val="22"/>
          <w:szCs w:val="22"/>
        </w:rPr>
        <w:t xml:space="preserve"> Mercado Argentino de Valores S.A.</w:t>
      </w:r>
    </w:p>
    <w:p w14:paraId="792D4699"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58FA673F" w14:textId="544208B0"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color w:val="0D0D0D" w:themeColor="text1" w:themeTint="F2"/>
          <w:sz w:val="22"/>
          <w:szCs w:val="22"/>
        </w:rPr>
        <w:t>“NORMAS”:</w:t>
      </w:r>
      <w:r w:rsidRPr="00506990">
        <w:rPr>
          <w:rFonts w:ascii="Times New Roman" w:hAnsi="Times New Roman" w:cs="Times New Roman"/>
          <w:color w:val="0D0D0D" w:themeColor="text1" w:themeTint="F2"/>
          <w:sz w:val="22"/>
          <w:szCs w:val="22"/>
        </w:rPr>
        <w:t xml:space="preserve"> significan las NORMAS de la CNV según N.T 2013 </w:t>
      </w:r>
      <w:r w:rsidR="00CC47F5" w:rsidRPr="00506990">
        <w:rPr>
          <w:rFonts w:ascii="Times New Roman" w:hAnsi="Times New Roman" w:cs="Times New Roman"/>
          <w:color w:val="0D0D0D" w:themeColor="text1" w:themeTint="F2"/>
          <w:sz w:val="22"/>
          <w:szCs w:val="22"/>
        </w:rPr>
        <w:t>y modif.</w:t>
      </w:r>
      <w:r w:rsidRPr="00506990">
        <w:rPr>
          <w:rFonts w:ascii="Times New Roman" w:hAnsi="Times New Roman" w:cs="Times New Roman"/>
          <w:b/>
          <w:bCs/>
          <w:color w:val="0D0D0D" w:themeColor="text1" w:themeTint="F2"/>
          <w:sz w:val="22"/>
          <w:szCs w:val="22"/>
        </w:rPr>
        <w:t xml:space="preserve"> </w:t>
      </w:r>
    </w:p>
    <w:p w14:paraId="1957CBE8"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58364BF6" w14:textId="70B679D0"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“Pagaré”:</w:t>
      </w:r>
      <w:r w:rsidRPr="00506990">
        <w:rPr>
          <w:rFonts w:ascii="Times New Roman" w:hAnsi="Times New Roman" w:cs="Times New Roman"/>
          <w:iCs/>
          <w:color w:val="0D0D0D" w:themeColor="text1" w:themeTint="F2"/>
          <w:sz w:val="22"/>
          <w:szCs w:val="22"/>
        </w:rPr>
        <w:t xml:space="preserve"> son los pagarés endosados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al Fiduciario.</w:t>
      </w:r>
    </w:p>
    <w:p w14:paraId="360CFD8D" w14:textId="77777777" w:rsidR="0050339C" w:rsidRPr="00506990" w:rsidRDefault="0050339C" w:rsidP="0050339C">
      <w:pPr>
        <w:suppressLineNumbers/>
        <w:rPr>
          <w:rFonts w:ascii="Times New Roman" w:hAnsi="Times New Roman" w:cs="Times New Roman"/>
          <w:iCs/>
          <w:color w:val="0D0D0D" w:themeColor="text1" w:themeTint="F2"/>
          <w:sz w:val="22"/>
          <w:szCs w:val="22"/>
        </w:rPr>
      </w:pPr>
    </w:p>
    <w:p w14:paraId="2B67D441" w14:textId="77777777" w:rsidR="0050339C" w:rsidRPr="00506990" w:rsidRDefault="0050339C" w:rsidP="0050339C">
      <w:pPr>
        <w:pStyle w:val="Textopredete"/>
        <w:jc w:val="both"/>
        <w:rPr>
          <w:rFonts w:ascii="Times New Roman" w:hAnsi="Times New Roman"/>
          <w:color w:val="0D0D0D" w:themeColor="text1" w:themeTint="F2"/>
          <w:sz w:val="22"/>
          <w:szCs w:val="22"/>
        </w:rPr>
      </w:pPr>
      <w:r w:rsidRPr="00506990">
        <w:rPr>
          <w:rFonts w:ascii="Times New Roman" w:hAnsi="Times New Roman"/>
          <w:b/>
          <w:bCs/>
          <w:iCs/>
          <w:color w:val="0D0D0D" w:themeColor="text1" w:themeTint="F2"/>
          <w:sz w:val="22"/>
          <w:szCs w:val="22"/>
        </w:rPr>
        <w:t xml:space="preserve">“Período de Colocación”: </w:t>
      </w:r>
      <w:r w:rsidRPr="00506990">
        <w:rPr>
          <w:rFonts w:ascii="Times New Roman" w:hAnsi="Times New Roman"/>
          <w:iCs/>
          <w:color w:val="0D0D0D" w:themeColor="text1" w:themeTint="F2"/>
          <w:sz w:val="22"/>
          <w:szCs w:val="22"/>
        </w:rPr>
        <w:t xml:space="preserve">el mismo se conforma de un plazo mínimo de </w:t>
      </w:r>
      <w:r w:rsidRPr="00506990">
        <w:rPr>
          <w:rFonts w:ascii="Times New Roman" w:hAnsi="Times New Roman"/>
          <w:color w:val="0D0D0D" w:themeColor="text1" w:themeTint="F2"/>
          <w:sz w:val="22"/>
          <w:szCs w:val="22"/>
        </w:rPr>
        <w:t>3 (tres</w:t>
      </w:r>
      <w:r w:rsidRPr="00506990">
        <w:rPr>
          <w:rFonts w:ascii="Times New Roman" w:hAnsi="Times New Roman"/>
          <w:iCs/>
          <w:color w:val="0D0D0D" w:themeColor="text1" w:themeTint="F2"/>
          <w:sz w:val="22"/>
          <w:szCs w:val="22"/>
        </w:rPr>
        <w:t>) Días Hábiles bursátiles para la difusión y mínimo de 1 (un) Día Hábil bursátil para la subasta o licitación pública.</w:t>
      </w:r>
    </w:p>
    <w:p w14:paraId="494686C6" w14:textId="77777777" w:rsidR="0050339C" w:rsidRPr="00506990" w:rsidRDefault="0050339C" w:rsidP="0050339C">
      <w:pPr>
        <w:rPr>
          <w:rFonts w:ascii="Times New Roman" w:hAnsi="Times New Roman" w:cs="Times New Roman"/>
          <w:iCs/>
          <w:color w:val="0D0D0D" w:themeColor="text1" w:themeTint="F2"/>
          <w:sz w:val="22"/>
          <w:szCs w:val="22"/>
        </w:rPr>
      </w:pPr>
    </w:p>
    <w:p w14:paraId="1C7AED4C" w14:textId="520CCFDD" w:rsidR="0050339C" w:rsidRPr="00506990" w:rsidRDefault="0050339C" w:rsidP="00BC12D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Periodo de Devengamiento”: </w:t>
      </w:r>
      <w:r w:rsidR="00D347A9">
        <w:rPr>
          <w:rFonts w:ascii="Times New Roman" w:hAnsi="Times New Roman" w:cs="Times New Roman"/>
          <w:iCs/>
          <w:color w:val="0D0D0D" w:themeColor="text1" w:themeTint="F2"/>
          <w:sz w:val="22"/>
          <w:szCs w:val="22"/>
        </w:rPr>
        <w:t>e</w:t>
      </w:r>
      <w:r w:rsidR="00BC12DC" w:rsidRPr="00BC12DC">
        <w:rPr>
          <w:rFonts w:ascii="Times New Roman" w:hAnsi="Times New Roman" w:cs="Times New Roman"/>
          <w:iCs/>
          <w:color w:val="0D0D0D" w:themeColor="text1" w:themeTint="F2"/>
          <w:sz w:val="22"/>
          <w:szCs w:val="22"/>
        </w:rPr>
        <w:t>s el período transcurrido entre la Fecha de Corte (exclusive) –para el primer Servicio- o desde el primero de mes –para los restantes-, hasta el último día del mes calendario inmediato anterior a cada Fecha de Pago de Servicios</w:t>
      </w:r>
      <w:r w:rsidR="00BC12DC">
        <w:rPr>
          <w:rFonts w:ascii="Times New Roman" w:hAnsi="Times New Roman" w:cs="Times New Roman"/>
          <w:iCs/>
          <w:color w:val="0D0D0D" w:themeColor="text1" w:themeTint="F2"/>
          <w:sz w:val="22"/>
          <w:szCs w:val="22"/>
        </w:rPr>
        <w:t xml:space="preserve"> (inclusive)</w:t>
      </w:r>
      <w:r w:rsidR="00BC12DC" w:rsidRPr="00BC12DC">
        <w:rPr>
          <w:rFonts w:ascii="Times New Roman" w:hAnsi="Times New Roman" w:cs="Times New Roman"/>
          <w:iCs/>
          <w:color w:val="0D0D0D" w:themeColor="text1" w:themeTint="F2"/>
          <w:sz w:val="22"/>
          <w:szCs w:val="22"/>
        </w:rPr>
        <w:t>, considerando siempre un año de 360 días (12 meses de 30 días).</w:t>
      </w:r>
    </w:p>
    <w:p w14:paraId="32EE2BD1"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“Plazo de los VDF”:</w:t>
      </w:r>
      <w:r w:rsidRPr="00506990">
        <w:rPr>
          <w:rFonts w:ascii="Times New Roman" w:hAnsi="Times New Roman" w:cs="Times New Roman"/>
          <w:iCs/>
          <w:color w:val="0D0D0D" w:themeColor="text1" w:themeTint="F2"/>
          <w:sz w:val="22"/>
          <w:szCs w:val="22"/>
        </w:rPr>
        <w:t xml:space="preserve"> tiene el significado asignado en el artículo 2.2 del Contrato Suplementario de Fideicomiso.</w:t>
      </w:r>
    </w:p>
    <w:p w14:paraId="7613B508" w14:textId="77777777" w:rsidR="0050339C" w:rsidRPr="00506990" w:rsidRDefault="0050339C" w:rsidP="0050339C">
      <w:pPr>
        <w:suppressLineNumbers/>
        <w:rPr>
          <w:rFonts w:ascii="Times New Roman" w:hAnsi="Times New Roman" w:cs="Times New Roman"/>
          <w:b/>
          <w:color w:val="0D0D0D" w:themeColor="text1" w:themeTint="F2"/>
          <w:sz w:val="22"/>
          <w:szCs w:val="22"/>
        </w:rPr>
      </w:pPr>
    </w:p>
    <w:p w14:paraId="6D14F861" w14:textId="77777777" w:rsidR="0050339C" w:rsidRPr="00506990" w:rsidRDefault="0050339C" w:rsidP="0050339C">
      <w:pPr>
        <w:suppressLineNumber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“Reservas”:</w:t>
      </w:r>
      <w:r w:rsidRPr="00506990">
        <w:rPr>
          <w:rFonts w:ascii="Times New Roman" w:hAnsi="Times New Roman" w:cs="Times New Roman"/>
          <w:iCs/>
          <w:color w:val="0D0D0D" w:themeColor="text1" w:themeTint="F2"/>
          <w:sz w:val="22"/>
          <w:szCs w:val="22"/>
        </w:rPr>
        <w:t xml:space="preserve"> tiene el significado asignado en el artículo 9.6 del Contrato Marco.</w:t>
      </w:r>
    </w:p>
    <w:p w14:paraId="58898079" w14:textId="77777777" w:rsidR="0050339C" w:rsidRPr="00506990" w:rsidRDefault="0050339C" w:rsidP="0050339C">
      <w:pPr>
        <w:suppressAutoHyphens/>
        <w:rPr>
          <w:rFonts w:ascii="Times New Roman" w:hAnsi="Times New Roman" w:cs="Times New Roman"/>
          <w:b/>
          <w:color w:val="0D0D0D" w:themeColor="text1" w:themeTint="F2"/>
          <w:sz w:val="22"/>
          <w:szCs w:val="22"/>
        </w:rPr>
      </w:pPr>
    </w:p>
    <w:p w14:paraId="2E1276B4" w14:textId="05685272" w:rsidR="0050339C" w:rsidRPr="00506990" w:rsidRDefault="0050339C" w:rsidP="0050339C">
      <w:pPr>
        <w:suppressAutoHyphens/>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“Servicios”: </w:t>
      </w:r>
      <w:r w:rsidRPr="00506990">
        <w:rPr>
          <w:rFonts w:ascii="Times New Roman" w:hAnsi="Times New Roman" w:cs="Times New Roman"/>
          <w:bCs/>
          <w:iCs/>
          <w:color w:val="0D0D0D" w:themeColor="text1" w:themeTint="F2"/>
          <w:sz w:val="22"/>
          <w:szCs w:val="22"/>
        </w:rPr>
        <w:t xml:space="preserve">los pagos que por distintos conceptos corresponda hacer a los Beneficiarios bajo los términos y condiciones de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bCs/>
          <w:iCs/>
          <w:color w:val="0D0D0D" w:themeColor="text1" w:themeTint="F2"/>
          <w:sz w:val="22"/>
          <w:szCs w:val="22"/>
        </w:rPr>
        <w:t>.</w:t>
      </w:r>
    </w:p>
    <w:p w14:paraId="3579EA9F" w14:textId="77777777" w:rsidR="00EA7955" w:rsidRPr="00506990" w:rsidRDefault="00EA7955" w:rsidP="0050339C">
      <w:pPr>
        <w:spacing w:line="240" w:lineRule="atLeast"/>
        <w:rPr>
          <w:rFonts w:ascii="Times New Roman" w:hAnsi="Times New Roman" w:cs="Times New Roman"/>
          <w:iCs/>
          <w:color w:val="0D0D0D" w:themeColor="text1" w:themeTint="F2"/>
          <w:sz w:val="24"/>
          <w:szCs w:val="22"/>
        </w:rPr>
      </w:pPr>
    </w:p>
    <w:p w14:paraId="6A013F27" w14:textId="2BB240F9" w:rsidR="0050339C" w:rsidRPr="00506990" w:rsidRDefault="0050339C" w:rsidP="00645F5C">
      <w:pPr>
        <w:spacing w:line="240" w:lineRule="atLeast"/>
        <w:rPr>
          <w:rFonts w:ascii="Times New Roman" w:hAnsi="Times New Roman" w:cs="Times New Roman"/>
          <w:b/>
          <w:color w:val="0D0D0D" w:themeColor="text1" w:themeTint="F2"/>
          <w:sz w:val="22"/>
          <w:szCs w:val="21"/>
        </w:rPr>
      </w:pPr>
      <w:r w:rsidRPr="00506990">
        <w:rPr>
          <w:rFonts w:ascii="Times New Roman" w:hAnsi="Times New Roman" w:cs="Times New Roman"/>
          <w:b/>
          <w:color w:val="0D0D0D" w:themeColor="text1" w:themeTint="F2"/>
          <w:sz w:val="22"/>
          <w:szCs w:val="21"/>
        </w:rPr>
        <w:t xml:space="preserve">“Valor Fideicomitido”: </w:t>
      </w:r>
      <w:r w:rsidRPr="00506990">
        <w:rPr>
          <w:rFonts w:ascii="Times New Roman" w:hAnsi="Times New Roman" w:cs="Times New Roman"/>
          <w:color w:val="0D0D0D" w:themeColor="text1" w:themeTint="F2"/>
          <w:sz w:val="22"/>
          <w:szCs w:val="21"/>
        </w:rPr>
        <w:t xml:space="preserve">es el </w:t>
      </w:r>
      <w:r w:rsidR="00CA0894" w:rsidRPr="00506990">
        <w:rPr>
          <w:rFonts w:ascii="Times New Roman" w:hAnsi="Times New Roman" w:cs="Times New Roman"/>
          <w:color w:val="0D0D0D" w:themeColor="text1" w:themeTint="F2"/>
          <w:sz w:val="22"/>
          <w:szCs w:val="21"/>
        </w:rPr>
        <w:t>saldo de capital de los Créditos fideicomitidos.</w:t>
      </w:r>
      <w:r w:rsidRPr="00506990">
        <w:rPr>
          <w:rFonts w:ascii="Times New Roman" w:hAnsi="Times New Roman" w:cs="Times New Roman"/>
          <w:color w:val="0D0D0D" w:themeColor="text1" w:themeTint="F2"/>
          <w:sz w:val="22"/>
          <w:szCs w:val="21"/>
        </w:rPr>
        <w:t xml:space="preserve"> </w:t>
      </w:r>
    </w:p>
    <w:p w14:paraId="5FAFD4AA" w14:textId="77777777" w:rsidR="0050339C" w:rsidRPr="00506990" w:rsidRDefault="0050339C" w:rsidP="0050339C">
      <w:pPr>
        <w:spacing w:line="240" w:lineRule="atLeast"/>
        <w:rPr>
          <w:rFonts w:ascii="Times New Roman" w:hAnsi="Times New Roman" w:cs="Times New Roman"/>
          <w:iCs/>
          <w:color w:val="0D0D0D" w:themeColor="text1" w:themeTint="F2"/>
          <w:sz w:val="22"/>
          <w:szCs w:val="22"/>
        </w:rPr>
      </w:pPr>
    </w:p>
    <w:p w14:paraId="777E5A5E" w14:textId="77777777" w:rsidR="0050339C" w:rsidRPr="00506990" w:rsidRDefault="0050339C" w:rsidP="0050339C">
      <w:pPr>
        <w:ind w:right="618"/>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o “VDF”: </w:t>
      </w:r>
      <w:r w:rsidRPr="00506990">
        <w:rPr>
          <w:rFonts w:ascii="Times New Roman" w:hAnsi="Times New Roman" w:cs="Times New Roman"/>
          <w:iCs/>
          <w:color w:val="0D0D0D" w:themeColor="text1" w:themeTint="F2"/>
          <w:sz w:val="22"/>
          <w:szCs w:val="22"/>
        </w:rPr>
        <w:t>son en conjunto los VDFA y VDFB.</w:t>
      </w:r>
    </w:p>
    <w:p w14:paraId="455DB578" w14:textId="77777777" w:rsidR="0050339C" w:rsidRPr="00506990" w:rsidRDefault="0050339C" w:rsidP="0050339C">
      <w:pPr>
        <w:ind w:right="618"/>
        <w:rPr>
          <w:rFonts w:ascii="Times New Roman" w:hAnsi="Times New Roman" w:cs="Times New Roman"/>
          <w:iCs/>
          <w:color w:val="0D0D0D" w:themeColor="text1" w:themeTint="F2"/>
          <w:sz w:val="22"/>
          <w:szCs w:val="22"/>
        </w:rPr>
      </w:pPr>
    </w:p>
    <w:p w14:paraId="22B96564" w14:textId="1C14994F" w:rsidR="0050339C" w:rsidRPr="00506990" w:rsidRDefault="00CA0894" w:rsidP="0050339C">
      <w:pPr>
        <w:rPr>
          <w:rFonts w:ascii="Times New Roman" w:hAnsi="Times New Roman" w:cs="Times New Roman"/>
          <w:iCs/>
          <w:color w:val="0D0D0D" w:themeColor="text1" w:themeTint="F2"/>
          <w:sz w:val="22"/>
          <w:szCs w:val="22"/>
          <w:lang w:val="es-ES"/>
        </w:rPr>
      </w:pPr>
      <w:r w:rsidRPr="00506990" w:rsidDel="00CA0894">
        <w:rPr>
          <w:rFonts w:ascii="Times New Roman" w:hAnsi="Times New Roman" w:cs="Times New Roman"/>
          <w:b/>
          <w:bCs/>
          <w:iCs/>
          <w:color w:val="0D0D0D" w:themeColor="text1" w:themeTint="F2"/>
          <w:sz w:val="22"/>
          <w:szCs w:val="22"/>
        </w:rPr>
        <w:t xml:space="preserve"> </w:t>
      </w:r>
      <w:r w:rsidR="0050339C" w:rsidRPr="00506990">
        <w:rPr>
          <w:rFonts w:ascii="Times New Roman" w:hAnsi="Times New Roman" w:cs="Times New Roman"/>
          <w:b/>
          <w:bCs/>
          <w:iCs/>
          <w:color w:val="0D0D0D" w:themeColor="text1" w:themeTint="F2"/>
          <w:sz w:val="22"/>
          <w:szCs w:val="22"/>
          <w:lang w:val="es-ES"/>
        </w:rPr>
        <w:t>“VDFA”:</w:t>
      </w:r>
      <w:r w:rsidR="0050339C" w:rsidRPr="00506990">
        <w:rPr>
          <w:rFonts w:ascii="Times New Roman" w:hAnsi="Times New Roman" w:cs="Times New Roman"/>
          <w:iCs/>
          <w:color w:val="0D0D0D" w:themeColor="text1" w:themeTint="F2"/>
          <w:sz w:val="22"/>
          <w:szCs w:val="22"/>
          <w:lang w:val="es-ES"/>
        </w:rPr>
        <w:t xml:space="preserve"> los Valores de Deuda Fiduciaria Clase A.</w:t>
      </w:r>
    </w:p>
    <w:p w14:paraId="3D738345" w14:textId="77777777" w:rsidR="0050339C" w:rsidRPr="00506990" w:rsidRDefault="0050339C" w:rsidP="0050339C">
      <w:pPr>
        <w:rPr>
          <w:rFonts w:ascii="Times New Roman" w:hAnsi="Times New Roman" w:cs="Times New Roman"/>
          <w:b/>
          <w:bCs/>
          <w:iCs/>
          <w:color w:val="0D0D0D" w:themeColor="text1" w:themeTint="F2"/>
          <w:sz w:val="22"/>
          <w:szCs w:val="22"/>
          <w:lang w:val="es-ES"/>
        </w:rPr>
      </w:pPr>
    </w:p>
    <w:p w14:paraId="137FD505" w14:textId="77777777" w:rsidR="0050339C" w:rsidRPr="00506990" w:rsidRDefault="0050339C" w:rsidP="0050339C">
      <w:pPr>
        <w:rPr>
          <w:rFonts w:ascii="Times New Roman" w:hAnsi="Times New Roman" w:cs="Times New Roman"/>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“VDFB”:</w:t>
      </w:r>
      <w:r w:rsidRPr="00506990">
        <w:rPr>
          <w:rFonts w:ascii="Times New Roman" w:hAnsi="Times New Roman" w:cs="Times New Roman"/>
          <w:iCs/>
          <w:color w:val="0D0D0D" w:themeColor="text1" w:themeTint="F2"/>
          <w:sz w:val="22"/>
          <w:szCs w:val="22"/>
          <w:lang w:val="es-ES"/>
        </w:rPr>
        <w:t xml:space="preserve"> los Valores de Deuda Fiduciaria Clase B.</w:t>
      </w:r>
    </w:p>
    <w:p w14:paraId="2A1BEA53" w14:textId="77777777" w:rsidR="0050339C" w:rsidRPr="00506990" w:rsidRDefault="0050339C" w:rsidP="0050339C">
      <w:pPr>
        <w:rPr>
          <w:rFonts w:ascii="Times New Roman" w:hAnsi="Times New Roman" w:cs="Times New Roman"/>
          <w:b/>
          <w:bCs/>
          <w:iCs/>
          <w:color w:val="0D0D0D" w:themeColor="text1" w:themeTint="F2"/>
          <w:sz w:val="22"/>
          <w:szCs w:val="22"/>
          <w:lang w:val="es-ES"/>
        </w:rPr>
      </w:pPr>
    </w:p>
    <w:p w14:paraId="0BF92CE6" w14:textId="77777777" w:rsidR="0050339C" w:rsidRPr="00506990" w:rsidRDefault="0050339C" w:rsidP="0050339C">
      <w:pPr>
        <w:rPr>
          <w:rFonts w:ascii="Times New Roman" w:hAnsi="Times New Roman" w:cs="Times New Roman"/>
          <w:iCs/>
          <w:color w:val="0D0D0D" w:themeColor="text1" w:themeTint="F2"/>
          <w:sz w:val="22"/>
          <w:szCs w:val="22"/>
          <w:lang w:val="es-ES"/>
        </w:rPr>
      </w:pPr>
    </w:p>
    <w:p w14:paraId="713C369D"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w:t>
      </w:r>
    </w:p>
    <w:p w14:paraId="2E0814AE"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CONDICIONES DEL CONTRATO SUPLEMENTARIO</w:t>
      </w:r>
    </w:p>
    <w:p w14:paraId="070E2391"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447728AC" w14:textId="55CE952C"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1.1. Constitución del Fideicomiso.</w:t>
      </w:r>
      <w:r w:rsidRPr="00506990">
        <w:rPr>
          <w:rFonts w:ascii="Times New Roman" w:hAnsi="Times New Roman" w:cs="Times New Roman"/>
          <w:iCs/>
          <w:color w:val="0D0D0D" w:themeColor="text1" w:themeTint="F2"/>
          <w:sz w:val="22"/>
          <w:szCs w:val="22"/>
        </w:rPr>
        <w:t xml:space="preserve"> El Fiduciario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constituyen el presente Fideicomiso que se integra con Créditos por un Valor Fideicomitido de $</w:t>
      </w:r>
      <w:r w:rsidR="008A5107" w:rsidRPr="000579E7">
        <w:rPr>
          <w:rFonts w:ascii="Times New Roman" w:hAnsi="Times New Roman" w:cs="Times New Roman"/>
          <w:b/>
          <w:bCs/>
          <w:iCs/>
          <w:color w:val="0D0D0D" w:themeColor="text1" w:themeTint="F2"/>
          <w:sz w:val="22"/>
          <w:szCs w:val="22"/>
        </w:rPr>
        <w:t>12</w:t>
      </w:r>
      <w:r w:rsidR="00FF13E0">
        <w:rPr>
          <w:rFonts w:ascii="Times New Roman" w:hAnsi="Times New Roman" w:cs="Times New Roman"/>
          <w:b/>
          <w:bCs/>
          <w:iCs/>
          <w:color w:val="0D0D0D" w:themeColor="text1" w:themeTint="F2"/>
          <w:sz w:val="22"/>
          <w:szCs w:val="22"/>
        </w:rPr>
        <w:t>0</w:t>
      </w:r>
      <w:r w:rsidR="008A5107" w:rsidRPr="000579E7">
        <w:rPr>
          <w:rFonts w:ascii="Times New Roman" w:hAnsi="Times New Roman" w:cs="Times New Roman"/>
          <w:b/>
          <w:bCs/>
          <w:iCs/>
          <w:color w:val="0D0D0D" w:themeColor="text1" w:themeTint="F2"/>
          <w:sz w:val="22"/>
          <w:szCs w:val="22"/>
        </w:rPr>
        <w:t>.</w:t>
      </w:r>
      <w:r w:rsidR="00FF13E0">
        <w:rPr>
          <w:rFonts w:ascii="Times New Roman" w:hAnsi="Times New Roman" w:cs="Times New Roman"/>
          <w:b/>
          <w:bCs/>
          <w:iCs/>
          <w:color w:val="0D0D0D" w:themeColor="text1" w:themeTint="F2"/>
          <w:sz w:val="22"/>
          <w:szCs w:val="22"/>
        </w:rPr>
        <w:t>39</w:t>
      </w:r>
      <w:r w:rsidR="008A5107" w:rsidRPr="000579E7">
        <w:rPr>
          <w:rFonts w:ascii="Times New Roman" w:hAnsi="Times New Roman" w:cs="Times New Roman"/>
          <w:b/>
          <w:bCs/>
          <w:iCs/>
          <w:color w:val="0D0D0D" w:themeColor="text1" w:themeTint="F2"/>
          <w:sz w:val="22"/>
          <w:szCs w:val="22"/>
        </w:rPr>
        <w:t>1.</w:t>
      </w:r>
      <w:r w:rsidR="00FF13E0">
        <w:rPr>
          <w:rFonts w:ascii="Times New Roman" w:hAnsi="Times New Roman" w:cs="Times New Roman"/>
          <w:b/>
          <w:bCs/>
          <w:iCs/>
          <w:color w:val="0D0D0D" w:themeColor="text1" w:themeTint="F2"/>
          <w:sz w:val="22"/>
          <w:szCs w:val="22"/>
        </w:rPr>
        <w:t>496</w:t>
      </w:r>
      <w:r w:rsidR="00015892" w:rsidRPr="00506990">
        <w:rPr>
          <w:rFonts w:ascii="Times New Roman" w:hAnsi="Times New Roman" w:cs="Times New Roman"/>
          <w:iCs/>
          <w:color w:val="0D0D0D" w:themeColor="text1" w:themeTint="F2"/>
          <w:sz w:val="22"/>
          <w:szCs w:val="22"/>
        </w:rPr>
        <w:t>.- (</w:t>
      </w:r>
      <w:r w:rsidR="00015892" w:rsidRPr="00506990">
        <w:rPr>
          <w:rFonts w:ascii="Times New Roman" w:hAnsi="Times New Roman" w:cs="Times New Roman"/>
          <w:bCs/>
          <w:iCs/>
          <w:color w:val="0D0D0D" w:themeColor="text1" w:themeTint="F2"/>
          <w:sz w:val="22"/>
          <w:szCs w:val="22"/>
        </w:rPr>
        <w:t xml:space="preserve">pesos </w:t>
      </w:r>
      <w:r w:rsidR="008A5107" w:rsidRPr="000579E7">
        <w:rPr>
          <w:rFonts w:ascii="Times New Roman" w:hAnsi="Times New Roman" w:cs="Times New Roman"/>
          <w:b/>
          <w:bCs/>
          <w:iCs/>
          <w:color w:val="0D0D0D" w:themeColor="text1" w:themeTint="F2"/>
          <w:sz w:val="22"/>
          <w:szCs w:val="22"/>
        </w:rPr>
        <w:t>ciento veint</w:t>
      </w:r>
      <w:r w:rsidR="00FF13E0">
        <w:rPr>
          <w:rFonts w:ascii="Times New Roman" w:hAnsi="Times New Roman" w:cs="Times New Roman"/>
          <w:b/>
          <w:bCs/>
          <w:iCs/>
          <w:color w:val="0D0D0D" w:themeColor="text1" w:themeTint="F2"/>
          <w:sz w:val="22"/>
          <w:szCs w:val="22"/>
        </w:rPr>
        <w:t>e</w:t>
      </w:r>
      <w:r w:rsidR="008A5107" w:rsidRPr="000579E7">
        <w:rPr>
          <w:rFonts w:ascii="Times New Roman" w:hAnsi="Times New Roman" w:cs="Times New Roman"/>
          <w:b/>
          <w:bCs/>
          <w:iCs/>
          <w:color w:val="0D0D0D" w:themeColor="text1" w:themeTint="F2"/>
          <w:sz w:val="22"/>
          <w:szCs w:val="22"/>
        </w:rPr>
        <w:t xml:space="preserve"> millones </w:t>
      </w:r>
      <w:r w:rsidR="00FF13E0">
        <w:rPr>
          <w:rFonts w:ascii="Times New Roman" w:hAnsi="Times New Roman" w:cs="Times New Roman"/>
          <w:b/>
          <w:bCs/>
          <w:iCs/>
          <w:color w:val="0D0D0D" w:themeColor="text1" w:themeTint="F2"/>
          <w:sz w:val="22"/>
          <w:szCs w:val="22"/>
        </w:rPr>
        <w:t>trescientos noventa y un mil cuatrocientos noventa y seis</w:t>
      </w:r>
      <w:r w:rsidRPr="00506990">
        <w:rPr>
          <w:rFonts w:ascii="Times New Roman" w:hAnsi="Times New Roman" w:cs="Times New Roman"/>
          <w:iCs/>
          <w:color w:val="0D0D0D" w:themeColor="text1" w:themeTint="F2"/>
          <w:sz w:val="22"/>
          <w:szCs w:val="22"/>
        </w:rPr>
        <w:t>)</w:t>
      </w:r>
      <w:r w:rsidR="00E147B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A partir de la Fecha de Corte, el ingreso por devengamiento del Valor Fideicomitido de la cartera fideicomitida corresponde al Fideicomiso y fue fijada en el día </w:t>
      </w:r>
      <w:r w:rsidR="00EE42B9" w:rsidRPr="00506990">
        <w:rPr>
          <w:rFonts w:ascii="Times New Roman" w:hAnsi="Times New Roman" w:cs="Times New Roman"/>
          <w:iCs/>
          <w:color w:val="0D0D0D" w:themeColor="text1" w:themeTint="F2"/>
          <w:sz w:val="22"/>
          <w:szCs w:val="22"/>
        </w:rPr>
        <w:t>31</w:t>
      </w:r>
      <w:r w:rsidR="00463985">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de </w:t>
      </w:r>
      <w:r w:rsidR="00EE42B9" w:rsidRPr="00506990">
        <w:rPr>
          <w:rFonts w:ascii="Times New Roman" w:hAnsi="Times New Roman" w:cs="Times New Roman"/>
          <w:iCs/>
          <w:color w:val="0D0D0D" w:themeColor="text1" w:themeTint="F2"/>
          <w:sz w:val="22"/>
          <w:szCs w:val="22"/>
        </w:rPr>
        <w:t>enero</w:t>
      </w:r>
      <w:r w:rsidR="00463985">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de 20</w:t>
      </w:r>
      <w:r w:rsidR="00EE42B9" w:rsidRPr="00506990">
        <w:rPr>
          <w:rFonts w:ascii="Times New Roman" w:hAnsi="Times New Roman" w:cs="Times New Roman"/>
          <w:iCs/>
          <w:color w:val="0D0D0D" w:themeColor="text1" w:themeTint="F2"/>
          <w:sz w:val="22"/>
          <w:szCs w:val="22"/>
        </w:rPr>
        <w:t>20</w:t>
      </w:r>
      <w:r w:rsidRPr="00506990">
        <w:rPr>
          <w:rFonts w:ascii="Times New Roman" w:hAnsi="Times New Roman" w:cs="Times New Roman"/>
          <w:iCs/>
          <w:color w:val="0D0D0D" w:themeColor="text1" w:themeTint="F2"/>
          <w:sz w:val="22"/>
          <w:szCs w:val="22"/>
        </w:rPr>
        <w:t>. Los bienes del Fiduciario y los de</w:t>
      </w:r>
      <w:r w:rsidR="006E36B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no responderán por las obligaciones contraídas en la ejecución del Fideicomiso. Estas obligaciones serán exclusivamente satisfechas con los Bienes Fideicomitidos, conforme lo dispone el artículo 1687 del Código Civil y Comercial de la Nación.</w:t>
      </w:r>
    </w:p>
    <w:p w14:paraId="2A6034C3"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47D4F45B" w14:textId="28A96FA8" w:rsidR="0050339C" w:rsidRPr="00506990" w:rsidRDefault="0050339C" w:rsidP="0050339C">
      <w:pPr>
        <w:widowControl w:val="0"/>
        <w:suppressAutoHyphens/>
        <w:rPr>
          <w:rStyle w:val="Textoennegrita"/>
          <w:rFonts w:ascii="Times New Roman" w:hAnsi="Times New Roman"/>
          <w:b w:val="0"/>
          <w:bCs w:val="0"/>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1.2. Plazo del Fideicomiso. </w:t>
      </w: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Valores </w:t>
      </w:r>
      <w:r w:rsidR="00286ECE" w:rsidRPr="00B43F7C">
        <w:rPr>
          <w:rFonts w:ascii="Times New Roman" w:hAnsi="Times New Roman" w:cs="Times New Roman"/>
          <w:iCs/>
          <w:color w:val="0D0D0D" w:themeColor="text1" w:themeTint="F2"/>
          <w:sz w:val="22"/>
          <w:szCs w:val="22"/>
          <w:lang w:val="es-AR"/>
        </w:rPr>
        <w:t xml:space="preserve">de Deuda </w:t>
      </w:r>
      <w:r w:rsidRPr="00506990">
        <w:rPr>
          <w:rStyle w:val="Textoennegrita"/>
          <w:rFonts w:ascii="Times New Roman" w:hAnsi="Times New Roman"/>
          <w:b w:val="0"/>
          <w:bCs w:val="0"/>
          <w:iCs/>
          <w:color w:val="0D0D0D" w:themeColor="text1" w:themeTint="F2"/>
          <w:sz w:val="22"/>
          <w:szCs w:val="22"/>
        </w:rPr>
        <w:t>Fiduciari</w:t>
      </w:r>
      <w:r w:rsidR="00286ECE" w:rsidRPr="00506990">
        <w:rPr>
          <w:rStyle w:val="Textoennegrita"/>
          <w:rFonts w:ascii="Times New Roman" w:hAnsi="Times New Roman"/>
          <w:b w:val="0"/>
          <w:bCs w:val="0"/>
          <w:iCs/>
          <w:color w:val="0D0D0D" w:themeColor="text1" w:themeTint="F2"/>
          <w:sz w:val="22"/>
          <w:szCs w:val="22"/>
        </w:rPr>
        <w:t>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aunque en ningún caso excederá el plazo establecido en el artículo 1668 del Código Civil y Comercial de la Nación.</w:t>
      </w:r>
    </w:p>
    <w:p w14:paraId="4FAF26E4"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0D73DEE2" w14:textId="4388F965"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1.3. Créditos. </w:t>
      </w:r>
      <w:r w:rsidRPr="00506990">
        <w:rPr>
          <w:rFonts w:ascii="Times New Roman" w:hAnsi="Times New Roman" w:cs="Times New Roman"/>
          <w:iCs/>
          <w:color w:val="0D0D0D" w:themeColor="text1" w:themeTint="F2"/>
          <w:sz w:val="22"/>
          <w:szCs w:val="22"/>
        </w:rPr>
        <w:t>Los Créditos fideicomitidos fueron otorgados en pesos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tienen su origen en financiaciones de consumo y/o créditos personales instrumentados en facturas y en Pagarés, los que fueron transferidos al fideicomiso por instrumento separado. Los Pagarés fueron endosados sin recurso a favor de </w:t>
      </w:r>
      <w:r w:rsidRPr="00506990">
        <w:rPr>
          <w:rFonts w:ascii="Times New Roman" w:hAnsi="Times New Roman" w:cs="Times New Roman"/>
          <w:iCs/>
          <w:color w:val="0D0D0D" w:themeColor="text1" w:themeTint="F2"/>
          <w:sz w:val="22"/>
          <w:szCs w:val="22"/>
          <w:lang w:val="es-ES"/>
        </w:rPr>
        <w:t>Rosario Administradora Sociedad Fiduciaria</w:t>
      </w:r>
      <w:r w:rsidRPr="00506990">
        <w:rPr>
          <w:rFonts w:ascii="Times New Roman" w:hAnsi="Times New Roman" w:cs="Times New Roman"/>
          <w:iCs/>
          <w:color w:val="0D0D0D" w:themeColor="text1" w:themeTint="F2"/>
          <w:sz w:val="22"/>
          <w:szCs w:val="22"/>
        </w:rPr>
        <w:t xml:space="preserve"> S.A. en su carácter de Fiduciario. Sin perjuicio de ello, en cada Crédito figura, bajo firma del deudor, la posibilidad de transferirlo conforme al régimen especial establecido en los artículos 70 y concordantes de la ley 24.441. Los Créditos transferidos no observan atrasos mayores a 30 días a la Fechas de Selección ni son producto de ninguna refinanciación (los “Criterios de Elegibilidad”). La transferencia al Fideicomiso es equivalente a su </w:t>
      </w:r>
      <w:r w:rsidR="00BA3CC4" w:rsidRPr="00506990">
        <w:rPr>
          <w:rFonts w:ascii="Times New Roman" w:hAnsi="Times New Roman" w:cs="Times New Roman"/>
          <w:iCs/>
          <w:color w:val="0D0D0D" w:themeColor="text1" w:themeTint="F2"/>
          <w:sz w:val="22"/>
          <w:szCs w:val="22"/>
        </w:rPr>
        <w:t>Valor Fideicomitido</w:t>
      </w:r>
      <w:r w:rsidRPr="00506990">
        <w:rPr>
          <w:rFonts w:ascii="Times New Roman" w:hAnsi="Times New Roman" w:cs="Times New Roman"/>
          <w:iCs/>
          <w:color w:val="0D0D0D" w:themeColor="text1" w:themeTint="F2"/>
          <w:sz w:val="22"/>
          <w:szCs w:val="22"/>
        </w:rPr>
        <w:t xml:space="preserve">. </w:t>
      </w:r>
    </w:p>
    <w:p w14:paraId="313A46B7"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lang w:val="es-AR"/>
        </w:rPr>
      </w:pPr>
    </w:p>
    <w:p w14:paraId="23B7A051" w14:textId="52E74611" w:rsidR="0050339C" w:rsidRPr="00506990" w:rsidRDefault="0050339C" w:rsidP="0050339C">
      <w:pPr>
        <w:suppressAutoHyphens/>
        <w:spacing w:line="240" w:lineRule="atLeast"/>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1.4. Adelanto de fondos por l</w:t>
      </w:r>
      <w:r w:rsidR="006E36BA"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Fiduciante</w:t>
      </w:r>
      <w:r w:rsidR="006E36BA"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En cualquier momento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podrá adelantar fondos al Fideicomiso a fin de mantener el Flujo de Pagos de los Créditos, cuando hubiera atrasos en los pagos de las cuotas de los Créditos. Dichos adelantos no serán remunerados, y serán reintegrados cuando se obtuviera de los deudores de los Créditos el pago de las cuotas en mora, con los intereses correspondientes sobre dichas cuotas, y se hubieran cancelado totalmente los VDF</w:t>
      </w:r>
      <w:r w:rsidRPr="00506990">
        <w:rPr>
          <w:rFonts w:ascii="Times New Roman" w:hAnsi="Times New Roman" w:cs="Times New Roman"/>
          <w:color w:val="0D0D0D" w:themeColor="text1" w:themeTint="F2"/>
          <w:sz w:val="22"/>
          <w:szCs w:val="22"/>
        </w:rPr>
        <w:t>. Bajo ningún supuesto l</w:t>
      </w:r>
      <w:r w:rsidR="006E36BA"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6E36BA"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se encuentran obligados a adelantar fondos al Fideicomiso.</w:t>
      </w:r>
    </w:p>
    <w:p w14:paraId="568E01FD"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20EF3A74" w14:textId="072D5095"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1.5. Información contable.</w:t>
      </w:r>
      <w:r w:rsidRPr="00506990">
        <w:rPr>
          <w:rFonts w:ascii="Times New Roman" w:hAnsi="Times New Roman" w:cs="Times New Roman"/>
          <w:b/>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 xml:space="preserve">Los balances trimestrales y anuales del Fideicomiso (la “Información </w:t>
      </w:r>
      <w:r w:rsidRPr="00506990">
        <w:rPr>
          <w:rFonts w:ascii="Times New Roman" w:hAnsi="Times New Roman" w:cs="Times New Roman"/>
          <w:color w:val="0D0D0D" w:themeColor="text1" w:themeTint="F2"/>
          <w:sz w:val="22"/>
          <w:szCs w:val="22"/>
        </w:rPr>
        <w:t>Contable”)</w:t>
      </w:r>
      <w:r w:rsidRPr="00506990">
        <w:rPr>
          <w:rFonts w:ascii="Times New Roman" w:hAnsi="Times New Roman" w:cs="Times New Roman"/>
          <w:iCs/>
          <w:color w:val="0D0D0D" w:themeColor="text1" w:themeTint="F2"/>
          <w:sz w:val="22"/>
          <w:szCs w:val="22"/>
        </w:rPr>
        <w:t xml:space="preserve"> será rendida a los Beneficiarios exclusivamente a través de su publicación en </w:t>
      </w:r>
      <w:r w:rsidRPr="00506990">
        <w:rPr>
          <w:rFonts w:ascii="Times New Roman" w:hAnsi="Times New Roman" w:cs="Times New Roman"/>
          <w:color w:val="0D0D0D" w:themeColor="text1" w:themeTint="F2"/>
          <w:sz w:val="22"/>
          <w:szCs w:val="22"/>
        </w:rPr>
        <w:t xml:space="preserve">la AIF y en </w:t>
      </w:r>
      <w:r w:rsidRPr="00506990">
        <w:rPr>
          <w:rFonts w:ascii="Times New Roman" w:hAnsi="Times New Roman" w:cs="Times New Roman"/>
          <w:iCs/>
          <w:color w:val="0D0D0D" w:themeColor="text1" w:themeTint="F2"/>
          <w:sz w:val="22"/>
          <w:szCs w:val="22"/>
        </w:rPr>
        <w:t xml:space="preserve">los sistemas de información de los mercados autorizados donde listen y/o negocien los Valores </w:t>
      </w:r>
      <w:r w:rsidR="00286ECE"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286ECE"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en cumplimiento del  régimen informativo previsto en las NORMAS de la CNV.</w:t>
      </w:r>
      <w:r w:rsidRPr="00506990" w:rsidDel="003E7559">
        <w:rPr>
          <w:rFonts w:ascii="Times New Roman" w:hAnsi="Times New Roman" w:cs="Times New Roman"/>
          <w:color w:val="0D0D0D" w:themeColor="text1" w:themeTint="F2"/>
          <w:sz w:val="22"/>
          <w:szCs w:val="22"/>
        </w:rPr>
        <w:t xml:space="preserve"> </w:t>
      </w:r>
    </w:p>
    <w:p w14:paraId="14A22B11"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2C5AE41F" w14:textId="115F62F0" w:rsidR="0050339C" w:rsidRPr="00506990" w:rsidRDefault="0050339C" w:rsidP="0050339C">
      <w:pPr>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1.6. Contribuciones al Fondo de Gastos.  (i) </w:t>
      </w:r>
      <w:r w:rsidR="00463985">
        <w:rPr>
          <w:rFonts w:ascii="Times New Roman" w:hAnsi="Times New Roman" w:cs="Times New Roman"/>
          <w:bCs/>
          <w:iCs/>
          <w:color w:val="0D0D0D" w:themeColor="text1" w:themeTint="F2"/>
          <w:sz w:val="22"/>
          <w:szCs w:val="22"/>
        </w:rPr>
        <w:t>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adelantará</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a mero requerimiento del Fiduciario la suma de $ </w:t>
      </w:r>
      <w:r w:rsidR="00075041" w:rsidRPr="00506990">
        <w:rPr>
          <w:rFonts w:ascii="Times New Roman" w:hAnsi="Times New Roman" w:cs="Times New Roman"/>
          <w:bCs/>
          <w:iCs/>
          <w:color w:val="0D0D0D" w:themeColor="text1" w:themeTint="F2"/>
          <w:sz w:val="22"/>
          <w:szCs w:val="22"/>
        </w:rPr>
        <w:t>350</w:t>
      </w:r>
      <w:r w:rsidRPr="00506990">
        <w:rPr>
          <w:rFonts w:ascii="Times New Roman" w:hAnsi="Times New Roman" w:cs="Times New Roman"/>
          <w:bCs/>
          <w:iCs/>
          <w:color w:val="0D0D0D" w:themeColor="text1" w:themeTint="F2"/>
          <w:sz w:val="22"/>
          <w:szCs w:val="22"/>
        </w:rPr>
        <w:t>.000.- (</w:t>
      </w:r>
      <w:r w:rsidR="00075041" w:rsidRPr="00506990">
        <w:rPr>
          <w:rFonts w:ascii="Times New Roman" w:hAnsi="Times New Roman" w:cs="Times New Roman"/>
          <w:bCs/>
          <w:iCs/>
          <w:color w:val="0D0D0D" w:themeColor="text1" w:themeTint="F2"/>
          <w:sz w:val="22"/>
          <w:szCs w:val="22"/>
        </w:rPr>
        <w:t>P</w:t>
      </w:r>
      <w:r w:rsidRPr="00506990">
        <w:rPr>
          <w:rFonts w:ascii="Times New Roman" w:hAnsi="Times New Roman" w:cs="Times New Roman"/>
          <w:bCs/>
          <w:iCs/>
          <w:color w:val="0D0D0D" w:themeColor="text1" w:themeTint="F2"/>
          <w:sz w:val="22"/>
          <w:szCs w:val="22"/>
        </w:rPr>
        <w:t xml:space="preserve">esos </w:t>
      </w:r>
      <w:r w:rsidR="00075041" w:rsidRPr="00506990">
        <w:rPr>
          <w:rFonts w:ascii="Times New Roman" w:hAnsi="Times New Roman" w:cs="Times New Roman"/>
          <w:bCs/>
          <w:iCs/>
          <w:color w:val="0D0D0D" w:themeColor="text1" w:themeTint="F2"/>
          <w:sz w:val="22"/>
          <w:szCs w:val="22"/>
        </w:rPr>
        <w:t>trescientos cincuenta</w:t>
      </w:r>
      <w:r w:rsidRPr="00506990">
        <w:rPr>
          <w:rFonts w:ascii="Times New Roman" w:hAnsi="Times New Roman" w:cs="Times New Roman"/>
          <w:bCs/>
          <w:iCs/>
          <w:color w:val="0D0D0D" w:themeColor="text1" w:themeTint="F2"/>
          <w:sz w:val="22"/>
          <w:szCs w:val="22"/>
        </w:rPr>
        <w:t xml:space="preserve"> mil) para imputarlo a un fondo de gastos (el “Fondo de Gastos”), el cual se destinará a cancelar los Gastos del Fideicomiso hasta el monto indicado. En cualquier momento en que el Fondo de Gastos se reduzca hasta representar un importe menor al nivel del Fondo de Gastos, se detraerá de los fondos percibidos de los Créditos y asignados a pagar los Servicios el monto necesario para restablecerlo. Cuando (i) a juicio del Fiduciario el monto acumulado en dicho Fondo alcanzare para pagar la totalidad de los Gastos Deducibles o (ii) finalice el Fideicomiso, el Fondo será liberado a favor de</w:t>
      </w:r>
      <w:r w:rsidR="006E36BA" w:rsidRPr="00506990">
        <w:rPr>
          <w:rFonts w:ascii="Times New Roman" w:hAnsi="Times New Roman" w:cs="Times New Roman"/>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hasta el límite de lo transferido. </w:t>
      </w:r>
      <w:r w:rsidRPr="00506990">
        <w:rPr>
          <w:rFonts w:ascii="Times New Roman" w:hAnsi="Times New Roman" w:cs="Times New Roman"/>
          <w:b/>
          <w:bCs/>
          <w:iCs/>
          <w:color w:val="0D0D0D" w:themeColor="text1" w:themeTint="F2"/>
          <w:sz w:val="22"/>
          <w:szCs w:val="22"/>
        </w:rPr>
        <w:t>(ii)</w:t>
      </w:r>
      <w:r w:rsidRPr="00506990">
        <w:rPr>
          <w:rFonts w:ascii="Times New Roman" w:hAnsi="Times New Roman" w:cs="Times New Roman"/>
          <w:bCs/>
          <w:iCs/>
          <w:color w:val="0D0D0D" w:themeColor="text1" w:themeTint="F2"/>
          <w:sz w:val="22"/>
          <w:szCs w:val="22"/>
        </w:rPr>
        <w:t xml:space="preserve"> Por su parte, 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ha</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afrontado y afrontará</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gastos que corresponden ser imputados al Fideicomiso, como ser la retribución de la calificadora de riesgo, honorarios de los asesores legales y financieros, gastos de colocación etc., (los “Gastos Afrontados por 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que resultarán de los comprobantes que l</w:t>
      </w:r>
      <w:r w:rsidR="006E36BA"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6E36BA"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presente</w:t>
      </w:r>
      <w:r w:rsidR="006E36BA" w:rsidRPr="00506990">
        <w:rPr>
          <w:rFonts w:ascii="Times New Roman" w:hAnsi="Times New Roman" w:cs="Times New Roman"/>
          <w:bCs/>
          <w:iCs/>
          <w:color w:val="0D0D0D" w:themeColor="text1" w:themeTint="F2"/>
          <w:sz w:val="22"/>
          <w:szCs w:val="22"/>
        </w:rPr>
        <w:t>n</w:t>
      </w:r>
      <w:r w:rsidRPr="00506990">
        <w:rPr>
          <w:rFonts w:ascii="Times New Roman" w:hAnsi="Times New Roman" w:cs="Times New Roman"/>
          <w:bCs/>
          <w:iCs/>
          <w:color w:val="0D0D0D" w:themeColor="text1" w:themeTint="F2"/>
          <w:sz w:val="22"/>
          <w:szCs w:val="22"/>
        </w:rPr>
        <w:t xml:space="preserve"> al Fiduciario. Cancelados los VDF y cubierto el Fondo de Gastos, el Fondo de Impuesto a las Ganancias, la totalidad de los ingresos se destinarán a reintegrar a</w:t>
      </w:r>
      <w:r w:rsidR="002A2B1C" w:rsidRPr="00506990">
        <w:rPr>
          <w:rFonts w:ascii="Times New Roman" w:hAnsi="Times New Roman" w:cs="Times New Roman"/>
          <w:bCs/>
          <w:iCs/>
          <w:color w:val="0D0D0D" w:themeColor="text1" w:themeTint="F2"/>
          <w:sz w:val="22"/>
          <w:szCs w:val="22"/>
        </w:rPr>
        <w:t xml:space="preserve"> </w:t>
      </w:r>
      <w:r w:rsidRPr="00506990">
        <w:rPr>
          <w:rFonts w:ascii="Times New Roman" w:hAnsi="Times New Roman" w:cs="Times New Roman"/>
          <w:bCs/>
          <w:iCs/>
          <w:color w:val="0D0D0D" w:themeColor="text1" w:themeTint="F2"/>
          <w:sz w:val="22"/>
          <w:szCs w:val="22"/>
        </w:rPr>
        <w:t>l</w:t>
      </w:r>
      <w:r w:rsidR="002A2B1C" w:rsidRPr="00506990">
        <w:rPr>
          <w:rFonts w:ascii="Times New Roman" w:hAnsi="Times New Roman" w:cs="Times New Roman"/>
          <w:bCs/>
          <w:iCs/>
          <w:color w:val="0D0D0D" w:themeColor="text1" w:themeTint="F2"/>
          <w:sz w:val="22"/>
          <w:szCs w:val="22"/>
        </w:rPr>
        <w:t>os</w:t>
      </w:r>
      <w:r w:rsidRPr="00506990">
        <w:rPr>
          <w:rFonts w:ascii="Times New Roman" w:hAnsi="Times New Roman" w:cs="Times New Roman"/>
          <w:bCs/>
          <w:iCs/>
          <w:color w:val="0D0D0D" w:themeColor="text1" w:themeTint="F2"/>
          <w:sz w:val="22"/>
          <w:szCs w:val="22"/>
        </w:rPr>
        <w:t xml:space="preserve"> Fiduciante</w:t>
      </w:r>
      <w:r w:rsidR="002A2B1C" w:rsidRPr="00506990">
        <w:rPr>
          <w:rFonts w:ascii="Times New Roman" w:hAnsi="Times New Roman" w:cs="Times New Roman"/>
          <w:bCs/>
          <w:iCs/>
          <w:color w:val="0D0D0D" w:themeColor="text1" w:themeTint="F2"/>
          <w:sz w:val="22"/>
          <w:szCs w:val="22"/>
        </w:rPr>
        <w:t>s</w:t>
      </w:r>
      <w:r w:rsidRPr="00506990">
        <w:rPr>
          <w:rFonts w:ascii="Times New Roman" w:hAnsi="Times New Roman" w:cs="Times New Roman"/>
          <w:bCs/>
          <w:iCs/>
          <w:color w:val="0D0D0D" w:themeColor="text1" w:themeTint="F2"/>
          <w:sz w:val="22"/>
          <w:szCs w:val="22"/>
        </w:rPr>
        <w:t xml:space="preserve"> dichos Gastos.</w:t>
      </w:r>
    </w:p>
    <w:p w14:paraId="133BDB04" w14:textId="1B2C8C58"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7A4DEBA9" w14:textId="7034200B"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1.7. Remuneración del Fiduciario.</w:t>
      </w:r>
      <w:r w:rsidRPr="00506990">
        <w:rPr>
          <w:rFonts w:ascii="Times New Roman" w:hAnsi="Times New Roman" w:cs="Times New Roman"/>
          <w:iCs/>
          <w:color w:val="0D0D0D" w:themeColor="text1" w:themeTint="F2"/>
          <w:sz w:val="22"/>
          <w:szCs w:val="22"/>
        </w:rPr>
        <w:t xml:space="preserve"> El Fiduciario tendrá derecho a cobrar una comisión de hasta $</w:t>
      </w:r>
      <w:r w:rsidR="00DF579F" w:rsidRPr="00506990">
        <w:rPr>
          <w:rFonts w:ascii="Times New Roman" w:hAnsi="Times New Roman" w:cs="Times New Roman"/>
          <w:iCs/>
          <w:color w:val="0D0D0D" w:themeColor="text1" w:themeTint="F2"/>
          <w:sz w:val="22"/>
          <w:szCs w:val="22"/>
        </w:rPr>
        <w:t xml:space="preserve"> </w:t>
      </w:r>
      <w:r w:rsidR="007228FA" w:rsidRPr="00506990">
        <w:rPr>
          <w:rFonts w:ascii="Times New Roman" w:hAnsi="Times New Roman" w:cs="Times New Roman"/>
          <w:iCs/>
          <w:color w:val="0D0D0D" w:themeColor="text1" w:themeTint="F2"/>
          <w:sz w:val="22"/>
          <w:szCs w:val="22"/>
        </w:rPr>
        <w:t>67</w:t>
      </w:r>
      <w:r w:rsidR="004241F8" w:rsidRPr="00506990">
        <w:rPr>
          <w:rFonts w:ascii="Times New Roman" w:hAnsi="Times New Roman" w:cs="Times New Roman"/>
          <w:iCs/>
          <w:color w:val="0D0D0D" w:themeColor="text1" w:themeTint="F2"/>
          <w:sz w:val="22"/>
          <w:szCs w:val="22"/>
        </w:rPr>
        <w:t>.000</w:t>
      </w:r>
      <w:r w:rsidRPr="00506990">
        <w:rPr>
          <w:rFonts w:ascii="Times New Roman" w:hAnsi="Times New Roman" w:cs="Times New Roman"/>
          <w:iCs/>
          <w:color w:val="0D0D0D" w:themeColor="text1" w:themeTint="F2"/>
          <w:sz w:val="22"/>
          <w:szCs w:val="22"/>
        </w:rPr>
        <w:t xml:space="preserve"> (pesos </w:t>
      </w:r>
      <w:r w:rsidR="004241F8" w:rsidRPr="00506990">
        <w:rPr>
          <w:rFonts w:ascii="Times New Roman" w:hAnsi="Times New Roman" w:cs="Times New Roman"/>
          <w:iCs/>
          <w:color w:val="0D0D0D" w:themeColor="text1" w:themeTint="F2"/>
          <w:sz w:val="22"/>
          <w:szCs w:val="22"/>
        </w:rPr>
        <w:t xml:space="preserve">sesenta y </w:t>
      </w:r>
      <w:r w:rsidR="007228FA" w:rsidRPr="00506990">
        <w:rPr>
          <w:rFonts w:ascii="Times New Roman" w:hAnsi="Times New Roman" w:cs="Times New Roman"/>
          <w:iCs/>
          <w:color w:val="0D0D0D" w:themeColor="text1" w:themeTint="F2"/>
          <w:sz w:val="22"/>
          <w:szCs w:val="22"/>
        </w:rPr>
        <w:t xml:space="preserve">siete </w:t>
      </w:r>
      <w:r w:rsidR="004241F8" w:rsidRPr="00506990">
        <w:rPr>
          <w:rFonts w:ascii="Times New Roman" w:hAnsi="Times New Roman" w:cs="Times New Roman"/>
          <w:iCs/>
          <w:color w:val="0D0D0D" w:themeColor="text1" w:themeTint="F2"/>
          <w:sz w:val="22"/>
          <w:szCs w:val="22"/>
        </w:rPr>
        <w:t>mil</w:t>
      </w:r>
      <w:r w:rsidRPr="00506990">
        <w:rPr>
          <w:rFonts w:ascii="Times New Roman" w:hAnsi="Times New Roman" w:cs="Times New Roman"/>
          <w:iCs/>
          <w:color w:val="0D0D0D" w:themeColor="text1" w:themeTint="F2"/>
          <w:sz w:val="22"/>
          <w:szCs w:val="22"/>
        </w:rPr>
        <w:t>).</w:t>
      </w:r>
      <w:r w:rsidRPr="00506990">
        <w:rPr>
          <w:rFonts w:ascii="Times New Roman" w:hAnsi="Times New Roman" w:cs="Times New Roman"/>
          <w:b/>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mensuales más IVA</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durante los primeros 12 meses contados desde la fecha de la primera cesión. Para los </w:t>
      </w:r>
      <w:r w:rsidR="004C7B6C">
        <w:rPr>
          <w:rFonts w:ascii="Times New Roman" w:hAnsi="Times New Roman" w:cs="Times New Roman"/>
          <w:iCs/>
          <w:color w:val="0D0D0D" w:themeColor="text1" w:themeTint="F2"/>
          <w:sz w:val="22"/>
          <w:szCs w:val="22"/>
        </w:rPr>
        <w:t xml:space="preserve">12 </w:t>
      </w:r>
      <w:r w:rsidRPr="00506990">
        <w:rPr>
          <w:rFonts w:ascii="Times New Roman" w:hAnsi="Times New Roman" w:cs="Times New Roman"/>
          <w:iCs/>
          <w:color w:val="0D0D0D" w:themeColor="text1" w:themeTint="F2"/>
          <w:sz w:val="22"/>
          <w:szCs w:val="22"/>
        </w:rPr>
        <w:t xml:space="preserve">meses siguientes los honorarios se incrementarán a $ </w:t>
      </w:r>
      <w:r w:rsidR="007228FA" w:rsidRPr="00506990">
        <w:rPr>
          <w:rFonts w:ascii="Times New Roman" w:hAnsi="Times New Roman" w:cs="Times New Roman"/>
          <w:iCs/>
          <w:color w:val="0D0D0D" w:themeColor="text1" w:themeTint="F2"/>
          <w:sz w:val="22"/>
          <w:szCs w:val="22"/>
        </w:rPr>
        <w:t>90</w:t>
      </w:r>
      <w:r w:rsidR="004241F8" w:rsidRPr="00506990">
        <w:rPr>
          <w:rFonts w:ascii="Times New Roman" w:hAnsi="Times New Roman" w:cs="Times New Roman"/>
          <w:iCs/>
          <w:color w:val="0D0D0D" w:themeColor="text1" w:themeTint="F2"/>
          <w:sz w:val="22"/>
          <w:szCs w:val="22"/>
        </w:rPr>
        <w:t>.000</w:t>
      </w:r>
      <w:r w:rsidRPr="00506990">
        <w:rPr>
          <w:rFonts w:ascii="Times New Roman" w:hAnsi="Times New Roman" w:cs="Times New Roman"/>
          <w:iCs/>
          <w:color w:val="0D0D0D" w:themeColor="text1" w:themeTint="F2"/>
          <w:sz w:val="22"/>
          <w:szCs w:val="22"/>
        </w:rPr>
        <w:t xml:space="preserve"> (pesos </w:t>
      </w:r>
      <w:r w:rsidR="007228FA" w:rsidRPr="00506990">
        <w:rPr>
          <w:rFonts w:ascii="Times New Roman" w:hAnsi="Times New Roman" w:cs="Times New Roman"/>
          <w:iCs/>
          <w:color w:val="0D0D0D" w:themeColor="text1" w:themeTint="F2"/>
          <w:sz w:val="22"/>
          <w:szCs w:val="22"/>
        </w:rPr>
        <w:t>noventa</w:t>
      </w:r>
      <w:r w:rsidR="004241F8" w:rsidRPr="00506990">
        <w:rPr>
          <w:rFonts w:ascii="Times New Roman" w:hAnsi="Times New Roman" w:cs="Times New Roman"/>
          <w:iCs/>
          <w:color w:val="0D0D0D" w:themeColor="text1" w:themeTint="F2"/>
          <w:sz w:val="22"/>
          <w:szCs w:val="22"/>
        </w:rPr>
        <w:t xml:space="preserve"> mil</w:t>
      </w:r>
      <w:r w:rsidRPr="00506990">
        <w:rPr>
          <w:rFonts w:ascii="Times New Roman" w:hAnsi="Times New Roman" w:cs="Times New Roman"/>
          <w:iCs/>
          <w:color w:val="0D0D0D" w:themeColor="text1" w:themeTint="F2"/>
          <w:sz w:val="22"/>
          <w:szCs w:val="22"/>
        </w:rPr>
        <w:t>) mensuales más IVA. Esta remuneración se cobrará desde la firma del Contrato Suplementario de Fideicomiso hasta la extinción del mismo.</w:t>
      </w:r>
    </w:p>
    <w:p w14:paraId="1A56AFFA"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0AA9CDC9" w14:textId="70267B5A"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1.8. Inversión de Fondos Líquidos.</w:t>
      </w:r>
      <w:r w:rsidRPr="00506990">
        <w:rPr>
          <w:rFonts w:ascii="Times New Roman" w:hAnsi="Times New Roman" w:cs="Times New Roman"/>
          <w:iCs/>
          <w:color w:val="0D0D0D" w:themeColor="text1" w:themeTint="F2"/>
          <w:sz w:val="22"/>
          <w:szCs w:val="22"/>
        </w:rPr>
        <w:t xml:space="preserve"> El Fiduciario podrá invertir y colocar en forma transitoria los Fondos Líquidos Disponibles, hasta tanto sea necesario aplicarlos al pago de Gastos del Fideicomiso o a pagos en favor de los Beneficiarios, en depósitos en entidades financieras, cuotapartes de fondos comunes de inversión abiertos de renta fija o de dinero, operaciones colocadoras de caución o pase bursátiles o valores públicos o privados de renta fija. Las entidades financieras depositarias de los fondos comunes de inversión y los activos en los que se inviertan los Fondos Líquidos Disponibles, deberán contar con una calificación que satisfaga los requisitos de Grado de Inversión (“Invest</w:t>
      </w:r>
      <w:r w:rsidR="00E01BCF" w:rsidRPr="00506990">
        <w:rPr>
          <w:rFonts w:ascii="Times New Roman" w:hAnsi="Times New Roman" w:cs="Times New Roman"/>
          <w:iCs/>
          <w:color w:val="0D0D0D" w:themeColor="text1" w:themeTint="F2"/>
          <w:sz w:val="22"/>
          <w:szCs w:val="22"/>
        </w:rPr>
        <w:t>ment</w:t>
      </w:r>
      <w:r w:rsidRPr="00506990">
        <w:rPr>
          <w:rFonts w:ascii="Times New Roman" w:hAnsi="Times New Roman" w:cs="Times New Roman"/>
          <w:iCs/>
          <w:color w:val="0D0D0D" w:themeColor="text1" w:themeTint="F2"/>
          <w:sz w:val="22"/>
          <w:szCs w:val="22"/>
        </w:rPr>
        <w:t xml:space="preserve"> Grade”) en escala nacional de calificación argentina, o su equivalente. El Fiduciario no será responsable -salvo que hubiera mediado culpa o dolo- frente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a los Beneficiarios respecto al destino de inversión que deba darse a los Fondos Líquidos Disponibles procediendo conforme con lo establecido en el presente Contrato. El Fiduciario tampoco asumirá responsabilidad alguna en el supuesto de que tuviera que variar el destino de inversión establecido para los Fondos Líquidos Disponibles, en cumplimiento de instrucciones comunicadas por decisiones administrativas o judiciales. Queda establecido, asimismo, que el Fiduciario no asume responsabilidad alguna por las consecuencias de cualquier cambio en la legislación aplicable, medida gubernamental o de otra índole, incluyendo el caso fortuito y la fuerza mayor, que afecten o puedan afectar a cualquiera de las inversiones de los Fondos Líquidos Disponibles, las que serán soportadas única y exclusivamente por los Fondos Líquidos Disponibles en cuestión.</w:t>
      </w:r>
    </w:p>
    <w:p w14:paraId="2F4841D5" w14:textId="4821069C"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inversión de los Fondos Líquidos Disponibles guardar</w:t>
      </w:r>
      <w:r w:rsidR="00463985">
        <w:rPr>
          <w:rFonts w:ascii="Times New Roman" w:hAnsi="Times New Roman" w:cs="Times New Roman"/>
          <w:iCs/>
          <w:color w:val="0D0D0D" w:themeColor="text1" w:themeTint="F2"/>
          <w:sz w:val="22"/>
          <w:szCs w:val="22"/>
        </w:rPr>
        <w:t>á</w:t>
      </w:r>
      <w:r w:rsidRPr="00506990">
        <w:rPr>
          <w:rFonts w:ascii="Times New Roman" w:hAnsi="Times New Roman" w:cs="Times New Roman"/>
          <w:iCs/>
          <w:color w:val="0D0D0D" w:themeColor="text1" w:themeTint="F2"/>
          <w:sz w:val="22"/>
          <w:szCs w:val="22"/>
        </w:rPr>
        <w:t xml:space="preserve"> relación con el cronograma de pagos del </w:t>
      </w:r>
      <w:r w:rsidR="00463985">
        <w:rPr>
          <w:rFonts w:ascii="Times New Roman" w:hAnsi="Times New Roman" w:cs="Times New Roman"/>
          <w:iCs/>
          <w:color w:val="0D0D0D" w:themeColor="text1" w:themeTint="F2"/>
          <w:sz w:val="22"/>
          <w:szCs w:val="22"/>
        </w:rPr>
        <w:t>F</w:t>
      </w:r>
      <w:r w:rsidRPr="00506990">
        <w:rPr>
          <w:rFonts w:ascii="Times New Roman" w:hAnsi="Times New Roman" w:cs="Times New Roman"/>
          <w:iCs/>
          <w:color w:val="0D0D0D" w:themeColor="text1" w:themeTint="F2"/>
          <w:sz w:val="22"/>
          <w:szCs w:val="22"/>
        </w:rPr>
        <w:t>ideicomiso.</w:t>
      </w:r>
    </w:p>
    <w:p w14:paraId="0212497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129A3AB2" w14:textId="6B74F0EC"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b/>
          <w:color w:val="0D0D0D" w:themeColor="text1" w:themeTint="F2"/>
          <w:sz w:val="22"/>
          <w:szCs w:val="22"/>
          <w:lang w:val="es-AR"/>
        </w:rPr>
        <w:t>Artículo 1.9. Fondo de Reserva Impositivo.</w:t>
      </w:r>
      <w:r w:rsidRPr="00506990">
        <w:rPr>
          <w:rFonts w:ascii="Times New Roman" w:eastAsia="Times New Roman" w:hAnsi="Times New Roman" w:cs="Times New Roman"/>
          <w:color w:val="0D0D0D" w:themeColor="text1" w:themeTint="F2"/>
          <w:sz w:val="22"/>
          <w:szCs w:val="22"/>
          <w:lang w:val="es-AR"/>
        </w:rPr>
        <w:t xml:space="preserve"> Ante el supuesto de liquidación o extinción del presente Fideicomiso o en el supuesto que corresponda el pago de impuesto a las ganancias o cualquier otro impuesto en virtud de la normativa aplicable, con los fondos depositados en la Cuenta Fiduciaria, el Fiduciario podrá constituir un Fondo de Reserva Impositivo (el “Fondo de Reserva Impositivo”) para hacer frente al pago de los impuestos aplicables al Fideicomiso devengados hasta su liquidación, si los hubiere o pudiere haberlos y que fueran determinados o determinables a la fecha de su liquidación o extinción o durante la vigencia del Fideicomiso, y siempre que exista duda razonable sobre la aplicación de dichos impuestos debido a la interpretación conflictiva de normas particulares al respecto. El monto, la y demás condiciones del Fondo de Reserva Impositivo será determinado por el Fiduciario cumpliendo con las normas impositivas vigentes con opinión de un asesor impositivo independiente (dicho monto, el “Monto Determinado”). El Monto Determinado será retenido de la Cuenta Fiduciaria con la periodicidad que determine el Fiduciario. Si no hubiera sido posible retenerlo de la Cuenta Fiduciaria,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deberá</w:t>
      </w:r>
      <w:r w:rsidR="006E36BA" w:rsidRPr="00506990">
        <w:rPr>
          <w:rFonts w:ascii="Times New Roman" w:eastAsia="Times New Roman" w:hAnsi="Times New Roman" w:cs="Times New Roman"/>
          <w:color w:val="0D0D0D" w:themeColor="text1" w:themeTint="F2"/>
          <w:sz w:val="22"/>
          <w:szCs w:val="22"/>
          <w:lang w:val="es-AR"/>
        </w:rPr>
        <w:t>n</w:t>
      </w:r>
      <w:r w:rsidRPr="00506990">
        <w:rPr>
          <w:rFonts w:ascii="Times New Roman" w:eastAsia="Times New Roman" w:hAnsi="Times New Roman" w:cs="Times New Roman"/>
          <w:color w:val="0D0D0D" w:themeColor="text1" w:themeTint="F2"/>
          <w:sz w:val="22"/>
          <w:szCs w:val="22"/>
          <w:lang w:val="es-AR"/>
        </w:rPr>
        <w:t xml:space="preserve"> integrar el Monto Determinado a solo requerimiento del Fiduciario, mediante el depósito de dinero en efectivo, una o más garantías emitidas por bancos calificados “AA” en escala nacional de calificación argentina, o su equivalente, o cualquier otro tipo de garantía a satisfacción del Fiduciario (cualquiera de estos, los “Activos Afectados”), quien podrá solicitar el previo dictamen de un asesor financiero. Los Activos Afectados serán mantenidos en depósito por el Fiduciario en el Fondo de Reserva Impositivo. El remanente del Fondo de Reserva Impositivo será mantenido por el Fiduciario, hasta que exista opinión favorable de un asesor impositivo independiente que exprese razonablemente que no existe obligación de retener y pagar dichos impuestos. Periódicamente se podrá requerir a un asesor impositivo independiente que emita opinión al respecto. En el caso que el Fondo de Reserva Impositivo sea mantenido con la exclusiva finalidad de hacer frente a una contingencia impositiva de acuerdo con lo establecido en el párrafo anterior, el Fiduciario no tendrá derecho a percibir la retribución prevista en este Contrato. Ante la cancelación del Fondo de Reserva Impositivo, los fondos remanentes serán distribuidos de la siguiente manera: (a) si 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integr</w:t>
      </w:r>
      <w:r w:rsidR="006E36BA" w:rsidRPr="00506990">
        <w:rPr>
          <w:rFonts w:ascii="Times New Roman" w:eastAsia="Times New Roman" w:hAnsi="Times New Roman" w:cs="Times New Roman"/>
          <w:color w:val="0D0D0D" w:themeColor="text1" w:themeTint="F2"/>
          <w:sz w:val="22"/>
          <w:szCs w:val="22"/>
          <w:lang w:val="es-AR"/>
        </w:rPr>
        <w:t>aron</w:t>
      </w:r>
      <w:r w:rsidRPr="00506990">
        <w:rPr>
          <w:rFonts w:ascii="Times New Roman" w:eastAsia="Times New Roman" w:hAnsi="Times New Roman" w:cs="Times New Roman"/>
          <w:color w:val="0D0D0D" w:themeColor="text1" w:themeTint="F2"/>
          <w:sz w:val="22"/>
          <w:szCs w:val="22"/>
          <w:lang w:val="es-AR"/>
        </w:rPr>
        <w:t xml:space="preserve"> el Fondo de Reserva Impositivo, el remanente de los Activos Afectados junto con su producido o accesorios serán devueltos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(b) si el Fondo de Reserva Impositivo se integró con recursos del Fideicomiso, el remanente será ingresado a la Cuenta Fiduciaria.</w:t>
      </w:r>
    </w:p>
    <w:p w14:paraId="41CA82ED"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110D9ACA"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1.10. Normas Supletorias. </w:t>
      </w:r>
      <w:r w:rsidRPr="00506990">
        <w:rPr>
          <w:rFonts w:ascii="Times New Roman" w:hAnsi="Times New Roman" w:cs="Times New Roman"/>
          <w:iCs/>
          <w:color w:val="0D0D0D" w:themeColor="text1" w:themeTint="F2"/>
          <w:sz w:val="22"/>
          <w:szCs w:val="22"/>
        </w:rPr>
        <w:t>Respecto de los temas que no estén expresamente contemplados en el presente, resultarán aplicables las disposiciones previstas en el programa global de emisión de Valores Fiduciarios “CONFIBONO”. En caso de conflicto entre las disposiciones del instrumento citado y las del presente, prevalecerán las de este Contrato Suplementario.</w:t>
      </w:r>
    </w:p>
    <w:p w14:paraId="51F7DEF2"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2D30C028"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II</w:t>
      </w:r>
    </w:p>
    <w:p w14:paraId="42489AFE"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CONDICIONES DE EMISIÓN</w:t>
      </w:r>
    </w:p>
    <w:p w14:paraId="766EE1A7"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16D3CCA4" w14:textId="09096919"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2.1. Emisión.</w:t>
      </w:r>
      <w:r w:rsidRPr="00506990">
        <w:rPr>
          <w:rFonts w:ascii="Times New Roman" w:hAnsi="Times New Roman" w:cs="Times New Roman"/>
          <w:iCs/>
          <w:color w:val="0D0D0D" w:themeColor="text1" w:themeTint="F2"/>
          <w:sz w:val="22"/>
          <w:szCs w:val="22"/>
        </w:rPr>
        <w:t xml:space="preserve"> Conforme a lo previsto en el Contrato Marco, el Fiduciario resuelve la emisión de Valores </w:t>
      </w:r>
      <w:r w:rsidR="000D1AF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hAnsi="Times New Roman" w:cs="Times New Roman"/>
          <w:iCs/>
          <w:color w:val="0D0D0D" w:themeColor="text1" w:themeTint="F2"/>
          <w:sz w:val="22"/>
          <w:szCs w:val="22"/>
        </w:rPr>
        <w:t>Fiduciari</w:t>
      </w:r>
      <w:r w:rsidR="000D1AFE"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bajo el presente Fideicomiso por un valor nominal total de </w:t>
      </w:r>
      <w:r w:rsidR="00E147B0" w:rsidRPr="00506990">
        <w:rPr>
          <w:rFonts w:ascii="Times New Roman" w:hAnsi="Times New Roman" w:cs="Times New Roman"/>
          <w:iCs/>
          <w:color w:val="0D0D0D" w:themeColor="text1" w:themeTint="F2"/>
          <w:sz w:val="22"/>
          <w:szCs w:val="22"/>
        </w:rPr>
        <w:t>$</w:t>
      </w:r>
      <w:r w:rsidR="00DF579F" w:rsidRPr="00506990">
        <w:rPr>
          <w:rFonts w:ascii="Times New Roman" w:hAnsi="Times New Roman" w:cs="Times New Roman"/>
          <w:iCs/>
          <w:color w:val="0D0D0D" w:themeColor="text1" w:themeTint="F2"/>
          <w:sz w:val="22"/>
          <w:szCs w:val="22"/>
        </w:rPr>
        <w:t xml:space="preserve"> </w:t>
      </w:r>
      <w:r w:rsidR="008A5107" w:rsidRPr="00506990">
        <w:rPr>
          <w:rFonts w:ascii="Times New Roman" w:hAnsi="Times New Roman" w:cs="Times New Roman"/>
          <w:b/>
          <w:bCs/>
          <w:iCs/>
          <w:color w:val="0D0D0D" w:themeColor="text1" w:themeTint="F2"/>
          <w:sz w:val="22"/>
          <w:szCs w:val="22"/>
        </w:rPr>
        <w:t>12</w:t>
      </w:r>
      <w:r w:rsidR="00FF13E0">
        <w:rPr>
          <w:rFonts w:ascii="Times New Roman" w:hAnsi="Times New Roman" w:cs="Times New Roman"/>
          <w:b/>
          <w:bCs/>
          <w:iCs/>
          <w:color w:val="0D0D0D" w:themeColor="text1" w:themeTint="F2"/>
          <w:sz w:val="22"/>
          <w:szCs w:val="22"/>
        </w:rPr>
        <w:t>0</w:t>
      </w:r>
      <w:r w:rsidR="008A5107" w:rsidRPr="00506990">
        <w:rPr>
          <w:rFonts w:ascii="Times New Roman" w:hAnsi="Times New Roman" w:cs="Times New Roman"/>
          <w:b/>
          <w:bCs/>
          <w:iCs/>
          <w:color w:val="0D0D0D" w:themeColor="text1" w:themeTint="F2"/>
          <w:sz w:val="22"/>
          <w:szCs w:val="22"/>
        </w:rPr>
        <w:t>.</w:t>
      </w:r>
      <w:r w:rsidR="00FF13E0">
        <w:rPr>
          <w:rFonts w:ascii="Times New Roman" w:hAnsi="Times New Roman" w:cs="Times New Roman"/>
          <w:b/>
          <w:bCs/>
          <w:iCs/>
          <w:color w:val="0D0D0D" w:themeColor="text1" w:themeTint="F2"/>
          <w:sz w:val="22"/>
          <w:szCs w:val="22"/>
        </w:rPr>
        <w:t>391</w:t>
      </w:r>
      <w:r w:rsidR="008A5107" w:rsidRPr="00506990">
        <w:rPr>
          <w:rFonts w:ascii="Times New Roman" w:hAnsi="Times New Roman" w:cs="Times New Roman"/>
          <w:b/>
          <w:bCs/>
          <w:iCs/>
          <w:color w:val="0D0D0D" w:themeColor="text1" w:themeTint="F2"/>
          <w:sz w:val="22"/>
          <w:szCs w:val="22"/>
        </w:rPr>
        <w:t>.</w:t>
      </w:r>
      <w:r w:rsidR="00FF13E0">
        <w:rPr>
          <w:rFonts w:ascii="Times New Roman" w:hAnsi="Times New Roman" w:cs="Times New Roman"/>
          <w:b/>
          <w:bCs/>
          <w:iCs/>
          <w:color w:val="0D0D0D" w:themeColor="text1" w:themeTint="F2"/>
          <w:sz w:val="22"/>
          <w:szCs w:val="22"/>
        </w:rPr>
        <w:t>496</w:t>
      </w:r>
      <w:r w:rsidR="00C86689" w:rsidRPr="00506990">
        <w:rPr>
          <w:rFonts w:ascii="Times New Roman" w:hAnsi="Times New Roman" w:cs="Times New Roman"/>
          <w:iCs/>
          <w:color w:val="0D0D0D" w:themeColor="text1" w:themeTint="F2"/>
          <w:sz w:val="22"/>
          <w:szCs w:val="22"/>
        </w:rPr>
        <w:t>.- (</w:t>
      </w:r>
      <w:r w:rsidR="00C86689" w:rsidRPr="000579E7">
        <w:rPr>
          <w:rFonts w:ascii="Times New Roman" w:hAnsi="Times New Roman" w:cs="Times New Roman"/>
          <w:bCs/>
          <w:iCs/>
          <w:color w:val="0D0D0D" w:themeColor="text1" w:themeTint="F2"/>
          <w:sz w:val="22"/>
          <w:szCs w:val="22"/>
        </w:rPr>
        <w:t xml:space="preserve">pesos </w:t>
      </w:r>
      <w:r w:rsidR="008A5107" w:rsidRPr="000579E7">
        <w:rPr>
          <w:rFonts w:ascii="Times New Roman" w:hAnsi="Times New Roman" w:cs="Times New Roman"/>
          <w:b/>
          <w:bCs/>
          <w:iCs/>
          <w:color w:val="0D0D0D" w:themeColor="text1" w:themeTint="F2"/>
          <w:sz w:val="22"/>
          <w:szCs w:val="22"/>
        </w:rPr>
        <w:t xml:space="preserve">ciento </w:t>
      </w:r>
      <w:r w:rsidR="00FF13E0">
        <w:rPr>
          <w:rFonts w:ascii="Times New Roman" w:hAnsi="Times New Roman" w:cs="Times New Roman"/>
          <w:b/>
          <w:bCs/>
          <w:iCs/>
          <w:color w:val="0D0D0D" w:themeColor="text1" w:themeTint="F2"/>
          <w:sz w:val="22"/>
          <w:szCs w:val="22"/>
        </w:rPr>
        <w:t>veinte millones trescientos noventa y un mil cuatrocientos noventa y seis</w:t>
      </w:r>
      <w:r w:rsidR="00C86689"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equivalente al </w:t>
      </w:r>
      <w:r w:rsidR="00BA3CC4" w:rsidRPr="00506990">
        <w:rPr>
          <w:rFonts w:ascii="Times New Roman" w:hAnsi="Times New Roman" w:cs="Times New Roman"/>
          <w:iCs/>
          <w:color w:val="0D0D0D" w:themeColor="text1" w:themeTint="F2"/>
          <w:sz w:val="22"/>
          <w:szCs w:val="22"/>
        </w:rPr>
        <w:t xml:space="preserve">Valor Fideicomitido </w:t>
      </w:r>
      <w:r w:rsidRPr="00506990">
        <w:rPr>
          <w:rFonts w:ascii="Times New Roman" w:hAnsi="Times New Roman" w:cs="Times New Roman"/>
          <w:iCs/>
          <w:color w:val="0D0D0D" w:themeColor="text1" w:themeTint="F2"/>
          <w:sz w:val="22"/>
          <w:szCs w:val="22"/>
        </w:rPr>
        <w:t>de los Créditos y un valor nominal unitario de un peso.</w:t>
      </w:r>
    </w:p>
    <w:p w14:paraId="565E648D"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7E445F2B" w14:textId="4E78100E" w:rsidR="0050339C" w:rsidRPr="00506990" w:rsidRDefault="0050339C" w:rsidP="0050339C">
      <w:pPr>
        <w:rPr>
          <w:rFonts w:ascii="Times New Roman" w:eastAsia="Arial Unicode MS" w:hAnsi="Times New Roman" w:cs="Times New Roman"/>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rPr>
        <w:t xml:space="preserve">Artículo 2.2. Plazo de los Valores </w:t>
      </w:r>
      <w:r w:rsidR="000D1AFE" w:rsidRPr="00B43F7C">
        <w:rPr>
          <w:rFonts w:ascii="Times New Roman" w:hAnsi="Times New Roman" w:cs="Times New Roman"/>
          <w:b/>
          <w:iCs/>
          <w:color w:val="0D0D0D" w:themeColor="text1" w:themeTint="F2"/>
          <w:sz w:val="22"/>
          <w:szCs w:val="22"/>
          <w:lang w:val="es-AR"/>
        </w:rPr>
        <w:t xml:space="preserve">de Deuda </w:t>
      </w:r>
      <w:r w:rsidRPr="00506990">
        <w:rPr>
          <w:rFonts w:ascii="Times New Roman" w:hAnsi="Times New Roman" w:cs="Times New Roman"/>
          <w:b/>
          <w:bCs/>
          <w:iCs/>
          <w:color w:val="0D0D0D" w:themeColor="text1" w:themeTint="F2"/>
          <w:sz w:val="22"/>
          <w:szCs w:val="22"/>
        </w:rPr>
        <w:t>Fiduciari</w:t>
      </w:r>
      <w:r w:rsidR="000D1AFE" w:rsidRPr="00506990">
        <w:rPr>
          <w:rFonts w:ascii="Times New Roman" w:hAnsi="Times New Roman" w:cs="Times New Roman"/>
          <w:b/>
          <w:bCs/>
          <w:iCs/>
          <w:color w:val="0D0D0D" w:themeColor="text1" w:themeTint="F2"/>
          <w:sz w:val="22"/>
          <w:szCs w:val="22"/>
        </w:rPr>
        <w:t>a</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 Sin perjuicio de las Fechas de Pago de Servicios que surgen del Cuadro de Pago de Servicios, el vencimiento final de los VDF se producirá en la Fecha de Pago de Servicios siguiente a la fecha de vencimiento normal del Crédito de mayor plazo (el “Plazo de los VDF”).</w:t>
      </w:r>
    </w:p>
    <w:p w14:paraId="2003EEAE" w14:textId="77777777" w:rsidR="0050339C" w:rsidRPr="00506990" w:rsidRDefault="0050339C" w:rsidP="0050339C">
      <w:pPr>
        <w:rPr>
          <w:rFonts w:ascii="Times New Roman" w:eastAsia="Arial Unicode MS" w:hAnsi="Times New Roman" w:cs="Times New Roman"/>
          <w:iCs/>
          <w:color w:val="0D0D0D" w:themeColor="text1" w:themeTint="F2"/>
          <w:sz w:val="22"/>
          <w:szCs w:val="22"/>
          <w:lang w:val="es-ES"/>
        </w:rPr>
      </w:pPr>
    </w:p>
    <w:p w14:paraId="51E85F01" w14:textId="176BE71D"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2.3. Clases. </w:t>
      </w:r>
      <w:r w:rsidRPr="00506990">
        <w:rPr>
          <w:rFonts w:ascii="Times New Roman" w:hAnsi="Times New Roman" w:cs="Times New Roman"/>
          <w:bCs/>
          <w:iCs/>
          <w:color w:val="0D0D0D" w:themeColor="text1" w:themeTint="F2"/>
          <w:sz w:val="22"/>
          <w:szCs w:val="22"/>
        </w:rPr>
        <w:t xml:space="preserve">Los Valores </w:t>
      </w:r>
      <w:r w:rsidR="000D1AF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hAnsi="Times New Roman" w:cs="Times New Roman"/>
          <w:bCs/>
          <w:iCs/>
          <w:color w:val="0D0D0D" w:themeColor="text1" w:themeTint="F2"/>
          <w:sz w:val="22"/>
          <w:szCs w:val="22"/>
        </w:rPr>
        <w:t>Fiduciari</w:t>
      </w:r>
      <w:r w:rsidR="000D1AFE" w:rsidRPr="00506990">
        <w:rPr>
          <w:rFonts w:ascii="Times New Roman" w:hAnsi="Times New Roman" w:cs="Times New Roman"/>
          <w:bCs/>
          <w:iCs/>
          <w:color w:val="0D0D0D" w:themeColor="text1" w:themeTint="F2"/>
          <w:sz w:val="22"/>
          <w:szCs w:val="22"/>
        </w:rPr>
        <w:t>a</w:t>
      </w:r>
      <w:r w:rsidRPr="00506990">
        <w:rPr>
          <w:rFonts w:ascii="Times New Roman" w:hAnsi="Times New Roman" w:cs="Times New Roman"/>
          <w:bCs/>
          <w:iCs/>
          <w:color w:val="0D0D0D" w:themeColor="text1" w:themeTint="F2"/>
          <w:sz w:val="22"/>
          <w:szCs w:val="22"/>
        </w:rPr>
        <w:t xml:space="preserve"> serán de las siguientes clases: (a) Valores de Deuda Fiduciaria Clase A por un valor nominal equivalente al</w:t>
      </w:r>
      <w:r w:rsidR="00635E9A" w:rsidRPr="00506990">
        <w:rPr>
          <w:rFonts w:ascii="Times New Roman" w:hAnsi="Times New Roman" w:cs="Times New Roman"/>
          <w:bCs/>
          <w:iCs/>
          <w:color w:val="0D0D0D" w:themeColor="text1" w:themeTint="F2"/>
          <w:sz w:val="22"/>
          <w:szCs w:val="22"/>
        </w:rPr>
        <w:t xml:space="preserve"> </w:t>
      </w:r>
      <w:r w:rsidR="008A5107" w:rsidRPr="000579E7">
        <w:rPr>
          <w:rFonts w:ascii="Times New Roman" w:hAnsi="Times New Roman" w:cs="Times New Roman"/>
          <w:b/>
          <w:bCs/>
          <w:iCs/>
          <w:color w:val="0D0D0D" w:themeColor="text1" w:themeTint="F2"/>
          <w:sz w:val="22"/>
          <w:szCs w:val="22"/>
        </w:rPr>
        <w:t>9</w:t>
      </w:r>
      <w:r w:rsidR="00FF13E0">
        <w:rPr>
          <w:rFonts w:ascii="Times New Roman" w:hAnsi="Times New Roman" w:cs="Times New Roman"/>
          <w:b/>
          <w:bCs/>
          <w:iCs/>
          <w:color w:val="0D0D0D" w:themeColor="text1" w:themeTint="F2"/>
          <w:sz w:val="22"/>
          <w:szCs w:val="22"/>
        </w:rPr>
        <w:t>2</w:t>
      </w:r>
      <w:r w:rsidR="008A5107" w:rsidRPr="000579E7">
        <w:rPr>
          <w:rFonts w:ascii="Times New Roman" w:hAnsi="Times New Roman" w:cs="Times New Roman"/>
          <w:b/>
          <w:bCs/>
          <w:iCs/>
          <w:color w:val="0D0D0D" w:themeColor="text1" w:themeTint="F2"/>
          <w:sz w:val="22"/>
          <w:szCs w:val="22"/>
        </w:rPr>
        <w:t>,</w:t>
      </w:r>
      <w:r w:rsidR="00FF13E0">
        <w:rPr>
          <w:rFonts w:ascii="Times New Roman" w:hAnsi="Times New Roman" w:cs="Times New Roman"/>
          <w:b/>
          <w:bCs/>
          <w:iCs/>
          <w:color w:val="0D0D0D" w:themeColor="text1" w:themeTint="F2"/>
          <w:sz w:val="22"/>
          <w:szCs w:val="22"/>
        </w:rPr>
        <w:t>20</w:t>
      </w:r>
      <w:r w:rsidRPr="00506990">
        <w:rPr>
          <w:rFonts w:ascii="Times New Roman" w:hAnsi="Times New Roman" w:cs="Times New Roman"/>
          <w:bCs/>
          <w:iCs/>
          <w:color w:val="0D0D0D" w:themeColor="text1" w:themeTint="F2"/>
          <w:sz w:val="22"/>
          <w:szCs w:val="22"/>
        </w:rPr>
        <w:t xml:space="preserve">% del </w:t>
      </w:r>
      <w:r w:rsidR="00BA3CC4" w:rsidRPr="00506990">
        <w:rPr>
          <w:rFonts w:ascii="Times New Roman" w:hAnsi="Times New Roman" w:cs="Times New Roman"/>
          <w:bCs/>
          <w:iCs/>
          <w:color w:val="0D0D0D" w:themeColor="text1" w:themeTint="F2"/>
          <w:sz w:val="22"/>
          <w:szCs w:val="22"/>
        </w:rPr>
        <w:t xml:space="preserve">Valor Fideicomitido </w:t>
      </w:r>
      <w:r w:rsidRPr="00506990">
        <w:rPr>
          <w:rFonts w:ascii="Times New Roman" w:hAnsi="Times New Roman" w:cs="Times New Roman"/>
          <w:bCs/>
          <w:iCs/>
          <w:color w:val="0D0D0D" w:themeColor="text1" w:themeTint="F2"/>
          <w:sz w:val="22"/>
          <w:szCs w:val="22"/>
        </w:rPr>
        <w:t>de los Créditos transferidos al Fideicomiso, es decir, $</w:t>
      </w:r>
      <w:r w:rsidR="00635E9A" w:rsidRPr="00506990">
        <w:rPr>
          <w:rFonts w:ascii="Times New Roman" w:hAnsi="Times New Roman" w:cs="Times New Roman"/>
          <w:bCs/>
          <w:iCs/>
          <w:color w:val="0D0D0D" w:themeColor="text1" w:themeTint="F2"/>
          <w:sz w:val="22"/>
          <w:szCs w:val="22"/>
        </w:rPr>
        <w:t xml:space="preserve"> </w:t>
      </w:r>
      <w:r w:rsidR="008A5107" w:rsidRPr="0098446E">
        <w:rPr>
          <w:rFonts w:ascii="Times New Roman" w:hAnsi="Times New Roman" w:cs="Times New Roman"/>
          <w:b/>
          <w:bCs/>
          <w:iCs/>
          <w:color w:val="0D0D0D" w:themeColor="text1" w:themeTint="F2"/>
          <w:sz w:val="22"/>
          <w:szCs w:val="22"/>
        </w:rPr>
        <w:t>111.000.000</w:t>
      </w:r>
      <w:r w:rsidR="00015892" w:rsidRPr="0098446E">
        <w:rPr>
          <w:rFonts w:ascii="Times New Roman" w:hAnsi="Times New Roman" w:cs="Times New Roman"/>
          <w:b/>
          <w:bCs/>
          <w:iCs/>
          <w:color w:val="0D0D0D" w:themeColor="text1" w:themeTint="F2"/>
          <w:sz w:val="22"/>
          <w:szCs w:val="22"/>
        </w:rPr>
        <w:t>.-</w:t>
      </w:r>
      <w:r w:rsidR="00015892" w:rsidRPr="00506990">
        <w:rPr>
          <w:rFonts w:ascii="Times New Roman" w:hAnsi="Times New Roman" w:cs="Times New Roman"/>
          <w:bCs/>
          <w:iCs/>
          <w:color w:val="0D0D0D" w:themeColor="text1" w:themeTint="F2"/>
          <w:sz w:val="22"/>
          <w:szCs w:val="22"/>
        </w:rPr>
        <w:t xml:space="preserve"> (pesos </w:t>
      </w:r>
      <w:r w:rsidR="008A5107" w:rsidRPr="00506990">
        <w:rPr>
          <w:rFonts w:ascii="Times New Roman" w:hAnsi="Times New Roman" w:cs="Times New Roman"/>
          <w:b/>
          <w:bCs/>
          <w:iCs/>
          <w:color w:val="0D0D0D" w:themeColor="text1" w:themeTint="F2"/>
          <w:sz w:val="22"/>
          <w:szCs w:val="22"/>
        </w:rPr>
        <w:t>ciento once millones</w:t>
      </w:r>
      <w:r w:rsidRPr="00506990">
        <w:rPr>
          <w:rFonts w:ascii="Times New Roman" w:hAnsi="Times New Roman" w:cs="Times New Roman"/>
          <w:bCs/>
          <w:iCs/>
          <w:color w:val="0D0D0D" w:themeColor="text1" w:themeTint="F2"/>
          <w:sz w:val="22"/>
          <w:szCs w:val="22"/>
        </w:rPr>
        <w:t>)</w:t>
      </w:r>
      <w:r w:rsidRPr="00506990" w:rsidDel="001944EA">
        <w:rPr>
          <w:rFonts w:ascii="Times New Roman" w:hAnsi="Times New Roman" w:cs="Times New Roman"/>
          <w:bCs/>
          <w:iCs/>
          <w:color w:val="0D0D0D" w:themeColor="text1" w:themeTint="F2"/>
          <w:sz w:val="22"/>
          <w:szCs w:val="22"/>
        </w:rPr>
        <w:t xml:space="preserve"> </w:t>
      </w:r>
      <w:r w:rsidR="00CA0894" w:rsidRPr="00506990">
        <w:rPr>
          <w:rFonts w:ascii="Times New Roman" w:hAnsi="Times New Roman" w:cs="Times New Roman"/>
          <w:bCs/>
          <w:iCs/>
          <w:color w:val="0D0D0D" w:themeColor="text1" w:themeTint="F2"/>
          <w:sz w:val="22"/>
          <w:szCs w:val="22"/>
        </w:rPr>
        <w:t xml:space="preserve">y </w:t>
      </w:r>
      <w:r w:rsidRPr="00506990">
        <w:rPr>
          <w:rFonts w:ascii="Times New Roman" w:hAnsi="Times New Roman" w:cs="Times New Roman"/>
          <w:bCs/>
          <w:iCs/>
          <w:color w:val="0D0D0D" w:themeColor="text1" w:themeTint="F2"/>
          <w:sz w:val="22"/>
          <w:szCs w:val="22"/>
        </w:rPr>
        <w:t>(</w:t>
      </w:r>
      <w:r w:rsidRPr="00506990">
        <w:rPr>
          <w:rFonts w:ascii="Times New Roman" w:hAnsi="Times New Roman" w:cs="Times New Roman"/>
          <w:color w:val="0D0D0D" w:themeColor="text1" w:themeTint="F2"/>
          <w:sz w:val="22"/>
          <w:szCs w:val="22"/>
        </w:rPr>
        <w:t xml:space="preserve">b) </w:t>
      </w:r>
      <w:r w:rsidRPr="00506990">
        <w:rPr>
          <w:rFonts w:ascii="Times New Roman" w:hAnsi="Times New Roman" w:cs="Times New Roman"/>
          <w:bCs/>
          <w:iCs/>
          <w:color w:val="0D0D0D" w:themeColor="text1" w:themeTint="F2"/>
          <w:sz w:val="22"/>
          <w:szCs w:val="22"/>
        </w:rPr>
        <w:t>Valores de Deuda Fiduciaria Clase B por un valor nominal equivalente al</w:t>
      </w:r>
      <w:r w:rsidR="00635E9A" w:rsidRPr="00506990">
        <w:rPr>
          <w:rFonts w:ascii="Times New Roman" w:hAnsi="Times New Roman" w:cs="Times New Roman"/>
          <w:bCs/>
          <w:iCs/>
          <w:color w:val="0D0D0D" w:themeColor="text1" w:themeTint="F2"/>
          <w:sz w:val="22"/>
          <w:szCs w:val="22"/>
        </w:rPr>
        <w:t xml:space="preserve"> </w:t>
      </w:r>
      <w:r w:rsidR="00FF13E0" w:rsidRPr="00C91547">
        <w:rPr>
          <w:rFonts w:ascii="Times New Roman" w:hAnsi="Times New Roman" w:cs="Times New Roman"/>
          <w:b/>
          <w:bCs/>
          <w:iCs/>
          <w:color w:val="0D0D0D" w:themeColor="text1" w:themeTint="F2"/>
          <w:sz w:val="22"/>
          <w:szCs w:val="22"/>
        </w:rPr>
        <w:t>7</w:t>
      </w:r>
      <w:r w:rsidR="008A5107" w:rsidRPr="00C91547">
        <w:rPr>
          <w:rFonts w:ascii="Times New Roman" w:hAnsi="Times New Roman" w:cs="Times New Roman"/>
          <w:b/>
          <w:bCs/>
          <w:iCs/>
          <w:color w:val="0D0D0D" w:themeColor="text1" w:themeTint="F2"/>
          <w:sz w:val="22"/>
          <w:szCs w:val="22"/>
        </w:rPr>
        <w:t>,</w:t>
      </w:r>
      <w:r w:rsidR="00FF13E0" w:rsidRPr="00C91547">
        <w:rPr>
          <w:rFonts w:ascii="Times New Roman" w:hAnsi="Times New Roman" w:cs="Times New Roman"/>
          <w:b/>
          <w:bCs/>
          <w:iCs/>
          <w:color w:val="0D0D0D" w:themeColor="text1" w:themeTint="F2"/>
          <w:sz w:val="22"/>
          <w:szCs w:val="22"/>
        </w:rPr>
        <w:t>80</w:t>
      </w:r>
      <w:r w:rsidRPr="00506990">
        <w:rPr>
          <w:rFonts w:ascii="Times New Roman" w:hAnsi="Times New Roman" w:cs="Times New Roman"/>
          <w:bCs/>
          <w:iCs/>
          <w:color w:val="0D0D0D" w:themeColor="text1" w:themeTint="F2"/>
          <w:sz w:val="22"/>
          <w:szCs w:val="22"/>
        </w:rPr>
        <w:t xml:space="preserve">% del </w:t>
      </w:r>
      <w:r w:rsidR="00BA3CC4" w:rsidRPr="00506990">
        <w:rPr>
          <w:rFonts w:ascii="Times New Roman" w:hAnsi="Times New Roman" w:cs="Times New Roman"/>
          <w:bCs/>
          <w:iCs/>
          <w:color w:val="0D0D0D" w:themeColor="text1" w:themeTint="F2"/>
          <w:sz w:val="22"/>
          <w:szCs w:val="22"/>
        </w:rPr>
        <w:t xml:space="preserve">Valor Fideicomitido </w:t>
      </w:r>
      <w:r w:rsidRPr="00506990">
        <w:rPr>
          <w:rFonts w:ascii="Times New Roman" w:hAnsi="Times New Roman" w:cs="Times New Roman"/>
          <w:bCs/>
          <w:iCs/>
          <w:color w:val="0D0D0D" w:themeColor="text1" w:themeTint="F2"/>
          <w:sz w:val="22"/>
          <w:szCs w:val="22"/>
        </w:rPr>
        <w:t>de los Créditos transferidos al Fideicomiso, es decir, $</w:t>
      </w:r>
      <w:r w:rsidR="00635E9A" w:rsidRPr="00506990">
        <w:rPr>
          <w:rFonts w:ascii="Times New Roman" w:hAnsi="Times New Roman" w:cs="Times New Roman"/>
          <w:bCs/>
          <w:iCs/>
          <w:color w:val="0D0D0D" w:themeColor="text1" w:themeTint="F2"/>
          <w:sz w:val="22"/>
          <w:szCs w:val="22"/>
        </w:rPr>
        <w:t xml:space="preserve"> </w:t>
      </w:r>
      <w:r w:rsidR="00FF13E0">
        <w:rPr>
          <w:rFonts w:ascii="Times New Roman" w:hAnsi="Times New Roman" w:cs="Times New Roman"/>
          <w:b/>
          <w:bCs/>
          <w:iCs/>
          <w:color w:val="0D0D0D" w:themeColor="text1" w:themeTint="F2"/>
          <w:sz w:val="22"/>
          <w:szCs w:val="22"/>
        </w:rPr>
        <w:t>9</w:t>
      </w:r>
      <w:r w:rsidR="008A5107" w:rsidRPr="00506990">
        <w:rPr>
          <w:rFonts w:ascii="Times New Roman" w:hAnsi="Times New Roman" w:cs="Times New Roman"/>
          <w:b/>
          <w:bCs/>
          <w:iCs/>
          <w:color w:val="0D0D0D" w:themeColor="text1" w:themeTint="F2"/>
          <w:sz w:val="22"/>
          <w:szCs w:val="22"/>
        </w:rPr>
        <w:t>.</w:t>
      </w:r>
      <w:r w:rsidR="00FF13E0">
        <w:rPr>
          <w:rFonts w:ascii="Times New Roman" w:hAnsi="Times New Roman" w:cs="Times New Roman"/>
          <w:b/>
          <w:bCs/>
          <w:iCs/>
          <w:color w:val="0D0D0D" w:themeColor="text1" w:themeTint="F2"/>
          <w:sz w:val="22"/>
          <w:szCs w:val="22"/>
        </w:rPr>
        <w:t>39</w:t>
      </w:r>
      <w:r w:rsidR="008A5107" w:rsidRPr="00506990">
        <w:rPr>
          <w:rFonts w:ascii="Times New Roman" w:hAnsi="Times New Roman" w:cs="Times New Roman"/>
          <w:b/>
          <w:bCs/>
          <w:iCs/>
          <w:color w:val="0D0D0D" w:themeColor="text1" w:themeTint="F2"/>
          <w:sz w:val="22"/>
          <w:szCs w:val="22"/>
        </w:rPr>
        <w:t>1.</w:t>
      </w:r>
      <w:r w:rsidR="00FF13E0">
        <w:rPr>
          <w:rFonts w:ascii="Times New Roman" w:hAnsi="Times New Roman" w:cs="Times New Roman"/>
          <w:b/>
          <w:bCs/>
          <w:iCs/>
          <w:color w:val="0D0D0D" w:themeColor="text1" w:themeTint="F2"/>
          <w:sz w:val="22"/>
          <w:szCs w:val="22"/>
        </w:rPr>
        <w:t>496</w:t>
      </w:r>
      <w:r w:rsidR="00015892" w:rsidRPr="00506990">
        <w:rPr>
          <w:rFonts w:ascii="Times New Roman" w:hAnsi="Times New Roman" w:cs="Times New Roman"/>
          <w:bCs/>
          <w:iCs/>
          <w:color w:val="0D0D0D" w:themeColor="text1" w:themeTint="F2"/>
          <w:sz w:val="22"/>
          <w:szCs w:val="22"/>
        </w:rPr>
        <w:t>.- (pesos</w:t>
      </w:r>
      <w:r w:rsidR="00AF596F" w:rsidRPr="00506990">
        <w:rPr>
          <w:rFonts w:ascii="Times New Roman" w:hAnsi="Times New Roman" w:cs="Times New Roman"/>
          <w:bCs/>
          <w:iCs/>
          <w:color w:val="0D0D0D" w:themeColor="text1" w:themeTint="F2"/>
          <w:sz w:val="22"/>
          <w:szCs w:val="22"/>
        </w:rPr>
        <w:t xml:space="preserve"> </w:t>
      </w:r>
      <w:r w:rsidR="00FF13E0">
        <w:rPr>
          <w:rFonts w:ascii="Times New Roman" w:hAnsi="Times New Roman" w:cs="Times New Roman"/>
          <w:b/>
          <w:bCs/>
          <w:iCs/>
          <w:color w:val="0D0D0D" w:themeColor="text1" w:themeTint="F2"/>
          <w:sz w:val="22"/>
          <w:szCs w:val="22"/>
        </w:rPr>
        <w:t>nueve</w:t>
      </w:r>
      <w:r w:rsidR="00FF13E0" w:rsidRPr="00506990">
        <w:rPr>
          <w:rFonts w:ascii="Times New Roman" w:hAnsi="Times New Roman" w:cs="Times New Roman"/>
          <w:b/>
          <w:bCs/>
          <w:iCs/>
          <w:color w:val="0D0D0D" w:themeColor="text1" w:themeTint="F2"/>
          <w:sz w:val="22"/>
          <w:szCs w:val="22"/>
        </w:rPr>
        <w:t xml:space="preserve"> </w:t>
      </w:r>
      <w:r w:rsidR="008A5107" w:rsidRPr="00506990">
        <w:rPr>
          <w:rFonts w:ascii="Times New Roman" w:hAnsi="Times New Roman" w:cs="Times New Roman"/>
          <w:b/>
          <w:bCs/>
          <w:iCs/>
          <w:color w:val="0D0D0D" w:themeColor="text1" w:themeTint="F2"/>
          <w:sz w:val="22"/>
          <w:szCs w:val="22"/>
        </w:rPr>
        <w:t xml:space="preserve">millones </w:t>
      </w:r>
      <w:r w:rsidR="00FF13E0">
        <w:rPr>
          <w:rFonts w:ascii="Times New Roman" w:hAnsi="Times New Roman" w:cs="Times New Roman"/>
          <w:b/>
          <w:bCs/>
          <w:iCs/>
          <w:color w:val="0D0D0D" w:themeColor="text1" w:themeTint="F2"/>
          <w:sz w:val="22"/>
          <w:szCs w:val="22"/>
        </w:rPr>
        <w:t>tres</w:t>
      </w:r>
      <w:r w:rsidR="00FF13E0" w:rsidRPr="00506990">
        <w:rPr>
          <w:rFonts w:ascii="Times New Roman" w:hAnsi="Times New Roman" w:cs="Times New Roman"/>
          <w:b/>
          <w:bCs/>
          <w:iCs/>
          <w:color w:val="0D0D0D" w:themeColor="text1" w:themeTint="F2"/>
          <w:sz w:val="22"/>
          <w:szCs w:val="22"/>
        </w:rPr>
        <w:t xml:space="preserve">cientos </w:t>
      </w:r>
      <w:r w:rsidR="00FF13E0">
        <w:rPr>
          <w:rFonts w:ascii="Times New Roman" w:hAnsi="Times New Roman" w:cs="Times New Roman"/>
          <w:b/>
          <w:bCs/>
          <w:iCs/>
          <w:color w:val="0D0D0D" w:themeColor="text1" w:themeTint="F2"/>
          <w:sz w:val="22"/>
          <w:szCs w:val="22"/>
        </w:rPr>
        <w:t>nov</w:t>
      </w:r>
      <w:r w:rsidR="00FF13E0" w:rsidRPr="00506990">
        <w:rPr>
          <w:rFonts w:ascii="Times New Roman" w:hAnsi="Times New Roman" w:cs="Times New Roman"/>
          <w:b/>
          <w:bCs/>
          <w:iCs/>
          <w:color w:val="0D0D0D" w:themeColor="text1" w:themeTint="F2"/>
          <w:sz w:val="22"/>
          <w:szCs w:val="22"/>
        </w:rPr>
        <w:t xml:space="preserve">enta </w:t>
      </w:r>
      <w:r w:rsidR="008A5107" w:rsidRPr="00506990">
        <w:rPr>
          <w:rFonts w:ascii="Times New Roman" w:hAnsi="Times New Roman" w:cs="Times New Roman"/>
          <w:b/>
          <w:bCs/>
          <w:iCs/>
          <w:color w:val="0D0D0D" w:themeColor="text1" w:themeTint="F2"/>
          <w:sz w:val="22"/>
          <w:szCs w:val="22"/>
        </w:rPr>
        <w:t xml:space="preserve">y un mil </w:t>
      </w:r>
      <w:r w:rsidR="00FF13E0">
        <w:rPr>
          <w:rFonts w:ascii="Times New Roman" w:hAnsi="Times New Roman" w:cs="Times New Roman"/>
          <w:b/>
          <w:bCs/>
          <w:iCs/>
          <w:color w:val="0D0D0D" w:themeColor="text1" w:themeTint="F2"/>
          <w:sz w:val="22"/>
          <w:szCs w:val="22"/>
        </w:rPr>
        <w:t>cuatrocientos noventa y seis</w:t>
      </w:r>
      <w:r w:rsidRPr="00506990">
        <w:rPr>
          <w:rFonts w:ascii="Times New Roman" w:hAnsi="Times New Roman" w:cs="Times New Roman"/>
          <w:bCs/>
          <w:iCs/>
          <w:color w:val="0D0D0D" w:themeColor="text1" w:themeTint="F2"/>
          <w:sz w:val="22"/>
          <w:szCs w:val="22"/>
        </w:rPr>
        <w:t>).</w:t>
      </w:r>
      <w:r w:rsidRPr="00506990">
        <w:rPr>
          <w:rFonts w:ascii="Times New Roman" w:hAnsi="Times New Roman" w:cs="Times New Roman"/>
          <w:b/>
          <w:bCs/>
          <w:iCs/>
          <w:color w:val="0D0D0D" w:themeColor="text1" w:themeTint="F2"/>
          <w:sz w:val="22"/>
          <w:szCs w:val="22"/>
        </w:rPr>
        <w:t xml:space="preserve"> </w:t>
      </w:r>
    </w:p>
    <w:p w14:paraId="79D464BB" w14:textId="77777777" w:rsidR="000D001E" w:rsidRPr="00506990" w:rsidRDefault="000D001E" w:rsidP="0050339C">
      <w:pPr>
        <w:pStyle w:val="Textonotapie"/>
        <w:suppressAutoHyphens/>
        <w:rPr>
          <w:rFonts w:ascii="Times New Roman" w:hAnsi="Times New Roman"/>
          <w:iCs/>
          <w:color w:val="0D0D0D" w:themeColor="text1" w:themeTint="F2"/>
          <w:sz w:val="22"/>
          <w:szCs w:val="22"/>
        </w:rPr>
      </w:pPr>
    </w:p>
    <w:p w14:paraId="3BBEB0FE" w14:textId="5E94BC66" w:rsidR="000D001E" w:rsidRPr="00506990" w:rsidRDefault="000D001E" w:rsidP="000D001E">
      <w:pPr>
        <w:pStyle w:val="Textonotapie"/>
        <w:suppressAutoHyphens/>
        <w:rPr>
          <w:rFonts w:ascii="Times New Roman" w:hAnsi="Times New Roman"/>
          <w:iCs/>
          <w:color w:val="0D0D0D" w:themeColor="text1" w:themeTint="F2"/>
          <w:sz w:val="22"/>
          <w:szCs w:val="22"/>
        </w:rPr>
      </w:pPr>
      <w:r w:rsidRPr="00506990">
        <w:rPr>
          <w:rFonts w:ascii="Times New Roman" w:hAnsi="Times New Roman"/>
          <w:b/>
          <w:bCs/>
          <w:iCs/>
          <w:color w:val="0D0D0D" w:themeColor="text1" w:themeTint="F2"/>
          <w:sz w:val="22"/>
          <w:szCs w:val="22"/>
        </w:rPr>
        <w:t>Artículo 2.4. Valores de Deuda Fiduciaria Clase A.</w:t>
      </w:r>
      <w:r w:rsidRPr="00506990">
        <w:rPr>
          <w:rFonts w:ascii="Times New Roman" w:hAnsi="Times New Roman"/>
          <w:iCs/>
          <w:color w:val="0D0D0D" w:themeColor="text1" w:themeTint="F2"/>
          <w:sz w:val="22"/>
          <w:szCs w:val="22"/>
        </w:rPr>
        <w:t xml:space="preserve"> Tendrán derecho a pagos mensuales de los siguientes Servicios, una vez deducidas las contribuciones a la Fondo de Gastos: (i) en concepto de interés,  una tasa variable equivalente a la Tasa BADLAR más 100 puntos básicos anuales, con un mínimo de </w:t>
      </w:r>
      <w:r w:rsidR="004B3DF6">
        <w:rPr>
          <w:rFonts w:ascii="Times New Roman" w:hAnsi="Times New Roman"/>
          <w:iCs/>
          <w:color w:val="0D0D0D" w:themeColor="text1" w:themeTint="F2"/>
          <w:sz w:val="22"/>
          <w:szCs w:val="22"/>
        </w:rPr>
        <w:t>37</w:t>
      </w:r>
      <w:r w:rsidRPr="00506990">
        <w:rPr>
          <w:rFonts w:ascii="Times New Roman" w:hAnsi="Times New Roman"/>
          <w:iCs/>
          <w:color w:val="0D0D0D" w:themeColor="text1" w:themeTint="F2"/>
          <w:sz w:val="22"/>
          <w:szCs w:val="22"/>
        </w:rPr>
        <w:t xml:space="preserve">,0% nominal anual y con un máximo de </w:t>
      </w:r>
      <w:r w:rsidR="004B3DF6">
        <w:rPr>
          <w:rFonts w:ascii="Times New Roman" w:hAnsi="Times New Roman"/>
          <w:iCs/>
          <w:color w:val="0D0D0D" w:themeColor="text1" w:themeTint="F2"/>
          <w:sz w:val="22"/>
          <w:szCs w:val="22"/>
        </w:rPr>
        <w:t>47</w:t>
      </w:r>
      <w:r w:rsidRPr="00506990">
        <w:rPr>
          <w:rFonts w:ascii="Times New Roman" w:hAnsi="Times New Roman"/>
          <w:iCs/>
          <w:color w:val="0D0D0D" w:themeColor="text1" w:themeTint="F2"/>
          <w:sz w:val="22"/>
          <w:szCs w:val="22"/>
        </w:rPr>
        <w:t xml:space="preserve">,0% nominal anual, devengado durante el Período de Devengamiento, y (ii) en concepto de amortización, la Cobranza percibida durante el Período de Devengamiento correspondiente, luego de deducir el interés de la propia Clase. El interés se calculará sobre el valor residual de los VDFA considerando para su cálculo como base un año de 360 días (12 meses de 30 días). </w:t>
      </w:r>
    </w:p>
    <w:p w14:paraId="1D98D672" w14:textId="77777777" w:rsidR="000D001E" w:rsidRPr="00506990" w:rsidRDefault="000D001E" w:rsidP="000D001E">
      <w:pPr>
        <w:tabs>
          <w:tab w:val="left" w:pos="8789"/>
        </w:tabs>
        <w:suppressAutoHyphens/>
        <w:spacing w:line="240" w:lineRule="atLeast"/>
        <w:rPr>
          <w:rFonts w:ascii="Times New Roman" w:hAnsi="Times New Roman" w:cs="Times New Roman"/>
          <w:b/>
          <w:bCs/>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 </w:t>
      </w:r>
    </w:p>
    <w:p w14:paraId="0B67828C" w14:textId="78268BED" w:rsidR="000D001E" w:rsidRPr="00506990" w:rsidRDefault="000D001E" w:rsidP="000D001E">
      <w:pPr>
        <w:pStyle w:val="Textonotapie"/>
        <w:suppressAutoHyphens/>
        <w:rPr>
          <w:rFonts w:ascii="Times New Roman" w:hAnsi="Times New Roman"/>
          <w:iCs/>
          <w:color w:val="0D0D0D" w:themeColor="text1" w:themeTint="F2"/>
          <w:sz w:val="22"/>
          <w:szCs w:val="22"/>
        </w:rPr>
      </w:pPr>
      <w:r w:rsidRPr="00506990">
        <w:rPr>
          <w:rFonts w:ascii="Times New Roman" w:hAnsi="Times New Roman"/>
          <w:b/>
          <w:bCs/>
          <w:iCs/>
          <w:color w:val="0D0D0D" w:themeColor="text1" w:themeTint="F2"/>
          <w:sz w:val="22"/>
          <w:szCs w:val="22"/>
        </w:rPr>
        <w:t>Artículo 2.5. Valores de Deuda Fiduciaria Clase B.</w:t>
      </w:r>
      <w:r w:rsidRPr="00506990">
        <w:rPr>
          <w:rFonts w:ascii="Times New Roman" w:hAnsi="Times New Roman"/>
          <w:iCs/>
          <w:color w:val="0D0D0D" w:themeColor="text1" w:themeTint="F2"/>
          <w:sz w:val="22"/>
          <w:szCs w:val="22"/>
        </w:rPr>
        <w:t xml:space="preserve"> Tendrá derecho a pagos de Servicios mensuales una vez cancelados íntegramente los Servicios de los Valores de Deuda Fiduciaria Clase A y una vez deducidas las contribuciones al Fondo de Gastos - de corresponder-: (i) en concepto de interés una tasa variable equivalente a la Tasa BADLAR  más 300 puntos básicos anuales, con un mínimo de </w:t>
      </w:r>
      <w:r w:rsidR="004B3DF6">
        <w:rPr>
          <w:rFonts w:ascii="Times New Roman" w:hAnsi="Times New Roman"/>
          <w:iCs/>
          <w:color w:val="0D0D0D" w:themeColor="text1" w:themeTint="F2"/>
          <w:sz w:val="22"/>
          <w:szCs w:val="22"/>
        </w:rPr>
        <w:t>38</w:t>
      </w:r>
      <w:r w:rsidRPr="00506990">
        <w:rPr>
          <w:rFonts w:ascii="Times New Roman" w:hAnsi="Times New Roman"/>
          <w:iCs/>
          <w:color w:val="0D0D0D" w:themeColor="text1" w:themeTint="F2"/>
          <w:sz w:val="22"/>
          <w:szCs w:val="22"/>
        </w:rPr>
        <w:t>,0% nominal anual y con un máximo de</w:t>
      </w:r>
      <w:r w:rsidR="008A5107" w:rsidRPr="0098446E">
        <w:rPr>
          <w:rFonts w:ascii="Times New Roman" w:hAnsi="Times New Roman"/>
          <w:b/>
          <w:bCs/>
          <w:iCs/>
          <w:color w:val="0D0D0D" w:themeColor="text1" w:themeTint="F2"/>
          <w:sz w:val="22"/>
          <w:szCs w:val="22"/>
        </w:rPr>
        <w:t xml:space="preserve"> </w:t>
      </w:r>
      <w:r w:rsidR="004B3DF6">
        <w:rPr>
          <w:rFonts w:ascii="Times New Roman" w:hAnsi="Times New Roman"/>
          <w:iCs/>
          <w:color w:val="0D0D0D" w:themeColor="text1" w:themeTint="F2"/>
          <w:sz w:val="22"/>
          <w:szCs w:val="22"/>
        </w:rPr>
        <w:t>48</w:t>
      </w:r>
      <w:r w:rsidRPr="00806657">
        <w:rPr>
          <w:rFonts w:ascii="Times New Roman" w:hAnsi="Times New Roman"/>
          <w:iCs/>
          <w:color w:val="0D0D0D" w:themeColor="text1" w:themeTint="F2"/>
          <w:sz w:val="22"/>
          <w:szCs w:val="22"/>
        </w:rPr>
        <w:t>,0</w:t>
      </w:r>
      <w:r w:rsidRPr="00506990">
        <w:rPr>
          <w:rFonts w:ascii="Times New Roman" w:hAnsi="Times New Roman"/>
          <w:iCs/>
          <w:color w:val="0D0D0D" w:themeColor="text1" w:themeTint="F2"/>
          <w:sz w:val="22"/>
          <w:szCs w:val="22"/>
        </w:rPr>
        <w:t xml:space="preserve">% nominal anual, devengado durante el Período de Devengamiento, y (ii) en concepto de amortización, la Cobranza percibida durante el Período de Devengamiento correspondiente, luego de deducir el interés de la propia Clase. El interés se calculará sobre el valor residual de los VDFB considerando para su cálculo como base un año de 360 días (12 meses de 30 días). </w:t>
      </w:r>
    </w:p>
    <w:p w14:paraId="0EC2D6A1"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rPr>
      </w:pPr>
    </w:p>
    <w:p w14:paraId="63B08E84" w14:textId="4AB9C735" w:rsidR="0050339C" w:rsidRPr="00506990" w:rsidRDefault="0050339C" w:rsidP="0050339C">
      <w:pPr>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b/>
          <w:iCs/>
          <w:color w:val="0D0D0D" w:themeColor="text1" w:themeTint="F2"/>
          <w:sz w:val="22"/>
          <w:szCs w:val="22"/>
        </w:rPr>
        <w:t>Artículo 2.</w:t>
      </w:r>
      <w:r w:rsidR="00427D58" w:rsidRPr="00506990">
        <w:rPr>
          <w:rFonts w:ascii="Times New Roman" w:hAnsi="Times New Roman" w:cs="Times New Roman"/>
          <w:b/>
          <w:iCs/>
          <w:color w:val="0D0D0D" w:themeColor="text1" w:themeTint="F2"/>
          <w:sz w:val="22"/>
          <w:szCs w:val="22"/>
        </w:rPr>
        <w:t>6</w:t>
      </w:r>
      <w:r w:rsidRPr="00506990">
        <w:rPr>
          <w:rFonts w:ascii="Times New Roman" w:hAnsi="Times New Roman" w:cs="Times New Roman"/>
          <w:b/>
          <w:iCs/>
          <w:color w:val="0D0D0D" w:themeColor="text1" w:themeTint="F2"/>
          <w:sz w:val="22"/>
          <w:szCs w:val="22"/>
        </w:rPr>
        <w:t>. Fondo de Liquidez.</w:t>
      </w:r>
      <w:r w:rsidRPr="00506990">
        <w:rPr>
          <w:rFonts w:ascii="Times New Roman" w:hAnsi="Times New Roman" w:cs="Times New Roman"/>
          <w:iCs/>
          <w:color w:val="0D0D0D" w:themeColor="text1" w:themeTint="F2"/>
          <w:sz w:val="22"/>
          <w:szCs w:val="22"/>
        </w:rPr>
        <w:t xml:space="preserve"> </w:t>
      </w:r>
      <w:r w:rsidRPr="00506990">
        <w:rPr>
          <w:rFonts w:ascii="Times New Roman" w:eastAsia="Times New Roman" w:hAnsi="Times New Roman" w:cs="Times New Roman"/>
          <w:color w:val="0D0D0D" w:themeColor="text1" w:themeTint="F2"/>
          <w:sz w:val="22"/>
          <w:szCs w:val="22"/>
          <w:lang w:val="es-AR"/>
        </w:rPr>
        <w:t xml:space="preserve">El Fiduciario retendrá del precio de suscripción de los Valores </w:t>
      </w:r>
      <w:r w:rsidR="000D1AFE"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w:t>
      </w:r>
      <w:r w:rsidR="000D1AFE" w:rsidRPr="00506990">
        <w:rPr>
          <w:rFonts w:ascii="Times New Roman" w:eastAsia="Times New Roman" w:hAnsi="Times New Roman" w:cs="Times New Roman"/>
          <w:color w:val="0D0D0D" w:themeColor="text1" w:themeTint="F2"/>
          <w:sz w:val="22"/>
          <w:szCs w:val="22"/>
          <w:lang w:val="es-AR"/>
        </w:rPr>
        <w:t>a</w:t>
      </w:r>
      <w:r w:rsidRPr="00506990">
        <w:rPr>
          <w:rFonts w:ascii="Times New Roman" w:eastAsia="Times New Roman" w:hAnsi="Times New Roman" w:cs="Times New Roman"/>
          <w:color w:val="0D0D0D" w:themeColor="text1" w:themeTint="F2"/>
          <w:sz w:val="22"/>
          <w:szCs w:val="22"/>
          <w:lang w:val="es-AR"/>
        </w:rPr>
        <w:t xml:space="preserve"> que deba pagarse una suma equivalente a 2,</w:t>
      </w:r>
      <w:r w:rsidR="00826AB1" w:rsidRPr="00506990">
        <w:rPr>
          <w:rFonts w:ascii="Times New Roman" w:eastAsia="Times New Roman" w:hAnsi="Times New Roman" w:cs="Times New Roman"/>
          <w:color w:val="0D0D0D" w:themeColor="text1" w:themeTint="F2"/>
          <w:sz w:val="22"/>
          <w:szCs w:val="22"/>
          <w:lang w:val="es-AR"/>
        </w:rPr>
        <w:t>3 veces</w:t>
      </w:r>
      <w:r w:rsidRPr="00506990">
        <w:rPr>
          <w:rFonts w:ascii="Times New Roman" w:eastAsia="Times New Roman" w:hAnsi="Times New Roman" w:cs="Times New Roman"/>
          <w:color w:val="0D0D0D" w:themeColor="text1" w:themeTint="F2"/>
          <w:sz w:val="22"/>
          <w:szCs w:val="22"/>
          <w:lang w:val="es-AR"/>
        </w:rPr>
        <w:t xml:space="preserve"> el devengamiento mensual del próximo servicio de interés por vencer de los VDFA. Mensualmente el saldo de dicho Fondo deberá ser equivalente a </w:t>
      </w:r>
      <w:r w:rsidR="00826AB1" w:rsidRPr="00506990">
        <w:rPr>
          <w:rFonts w:ascii="Times New Roman" w:eastAsia="Times New Roman" w:hAnsi="Times New Roman" w:cs="Times New Roman"/>
          <w:color w:val="0D0D0D" w:themeColor="text1" w:themeTint="F2"/>
          <w:sz w:val="22"/>
          <w:szCs w:val="22"/>
          <w:lang w:val="es-AR"/>
        </w:rPr>
        <w:t>2,3 veces</w:t>
      </w:r>
      <w:r w:rsidRPr="00506990">
        <w:rPr>
          <w:rFonts w:ascii="Times New Roman" w:eastAsia="Times New Roman" w:hAnsi="Times New Roman" w:cs="Times New Roman"/>
          <w:color w:val="0D0D0D" w:themeColor="text1" w:themeTint="F2"/>
          <w:sz w:val="22"/>
          <w:szCs w:val="22"/>
          <w:lang w:val="es-AR"/>
        </w:rPr>
        <w:t xml:space="preserve"> el próximo servicio de interés pagadero a los VDFA; no pudiendo ser nunca inferior a la suma de </w:t>
      </w:r>
      <w:r w:rsidR="004114F4" w:rsidRPr="00506990">
        <w:rPr>
          <w:rFonts w:ascii="Times New Roman" w:eastAsia="Times New Roman" w:hAnsi="Times New Roman" w:cs="Times New Roman"/>
          <w:color w:val="0D0D0D" w:themeColor="text1" w:themeTint="F2"/>
          <w:sz w:val="22"/>
          <w:szCs w:val="22"/>
          <w:lang w:val="es-AR"/>
        </w:rPr>
        <w:t>$</w:t>
      </w:r>
      <w:r w:rsidR="004755AD">
        <w:rPr>
          <w:rFonts w:ascii="Times New Roman" w:hAnsi="Times New Roman" w:cs="Times New Roman"/>
          <w:b/>
          <w:bCs/>
          <w:iCs/>
          <w:color w:val="0D0D0D" w:themeColor="text1" w:themeTint="F2"/>
          <w:sz w:val="22"/>
          <w:szCs w:val="22"/>
        </w:rPr>
        <w:t>446</w:t>
      </w:r>
      <w:r w:rsidR="008A5107" w:rsidRPr="00506990">
        <w:rPr>
          <w:rFonts w:ascii="Times New Roman" w:hAnsi="Times New Roman" w:cs="Times New Roman"/>
          <w:b/>
          <w:bCs/>
          <w:iCs/>
          <w:color w:val="0D0D0D" w:themeColor="text1" w:themeTint="F2"/>
          <w:sz w:val="22"/>
          <w:szCs w:val="22"/>
        </w:rPr>
        <w:t>.</w:t>
      </w:r>
      <w:r w:rsidR="004755AD">
        <w:rPr>
          <w:rFonts w:ascii="Times New Roman" w:hAnsi="Times New Roman" w:cs="Times New Roman"/>
          <w:b/>
          <w:bCs/>
          <w:iCs/>
          <w:color w:val="0D0D0D" w:themeColor="text1" w:themeTint="F2"/>
          <w:sz w:val="22"/>
          <w:szCs w:val="22"/>
        </w:rPr>
        <w:t>096</w:t>
      </w:r>
      <w:r w:rsidR="00826AB1" w:rsidRPr="00506990">
        <w:rPr>
          <w:rFonts w:ascii="Times New Roman" w:eastAsia="Times New Roman" w:hAnsi="Times New Roman" w:cs="Times New Roman"/>
          <w:color w:val="0D0D0D" w:themeColor="text1" w:themeTint="F2"/>
          <w:sz w:val="22"/>
          <w:szCs w:val="22"/>
          <w:lang w:val="es-AR"/>
        </w:rPr>
        <w:t xml:space="preserve">.- (pesos </w:t>
      </w:r>
      <w:r w:rsidR="004755AD">
        <w:rPr>
          <w:rFonts w:ascii="Times New Roman" w:hAnsi="Times New Roman" w:cs="Times New Roman"/>
          <w:b/>
          <w:bCs/>
          <w:iCs/>
          <w:color w:val="0D0D0D" w:themeColor="text1" w:themeTint="F2"/>
          <w:sz w:val="22"/>
          <w:szCs w:val="22"/>
        </w:rPr>
        <w:t>cuatrocien</w:t>
      </w:r>
      <w:r w:rsidR="008A5107" w:rsidRPr="00506990">
        <w:rPr>
          <w:rFonts w:ascii="Times New Roman" w:hAnsi="Times New Roman" w:cs="Times New Roman"/>
          <w:b/>
          <w:bCs/>
          <w:iCs/>
          <w:color w:val="0D0D0D" w:themeColor="text1" w:themeTint="F2"/>
          <w:sz w:val="22"/>
          <w:szCs w:val="22"/>
        </w:rPr>
        <w:t xml:space="preserve">tos </w:t>
      </w:r>
      <w:r w:rsidR="004755AD">
        <w:rPr>
          <w:rFonts w:ascii="Times New Roman" w:hAnsi="Times New Roman" w:cs="Times New Roman"/>
          <w:b/>
          <w:bCs/>
          <w:iCs/>
          <w:color w:val="0D0D0D" w:themeColor="text1" w:themeTint="F2"/>
          <w:sz w:val="22"/>
          <w:szCs w:val="22"/>
        </w:rPr>
        <w:t>cuar</w:t>
      </w:r>
      <w:r w:rsidR="008A5107" w:rsidRPr="00506990">
        <w:rPr>
          <w:rFonts w:ascii="Times New Roman" w:hAnsi="Times New Roman" w:cs="Times New Roman"/>
          <w:b/>
          <w:bCs/>
          <w:iCs/>
          <w:color w:val="0D0D0D" w:themeColor="text1" w:themeTint="F2"/>
          <w:sz w:val="22"/>
          <w:szCs w:val="22"/>
        </w:rPr>
        <w:t xml:space="preserve">enta y </w:t>
      </w:r>
      <w:r w:rsidR="004755AD">
        <w:rPr>
          <w:rFonts w:ascii="Times New Roman" w:hAnsi="Times New Roman" w:cs="Times New Roman"/>
          <w:b/>
          <w:bCs/>
          <w:iCs/>
          <w:color w:val="0D0D0D" w:themeColor="text1" w:themeTint="F2"/>
          <w:sz w:val="22"/>
          <w:szCs w:val="22"/>
        </w:rPr>
        <w:t>seis</w:t>
      </w:r>
      <w:r w:rsidR="008A5107" w:rsidRPr="00506990">
        <w:rPr>
          <w:rFonts w:ascii="Times New Roman" w:hAnsi="Times New Roman" w:cs="Times New Roman"/>
          <w:b/>
          <w:bCs/>
          <w:iCs/>
          <w:color w:val="0D0D0D" w:themeColor="text1" w:themeTint="F2"/>
          <w:sz w:val="22"/>
          <w:szCs w:val="22"/>
        </w:rPr>
        <w:t xml:space="preserve"> mil </w:t>
      </w:r>
      <w:r w:rsidR="004755AD">
        <w:rPr>
          <w:rFonts w:ascii="Times New Roman" w:hAnsi="Times New Roman" w:cs="Times New Roman"/>
          <w:b/>
          <w:bCs/>
          <w:iCs/>
          <w:color w:val="0D0D0D" w:themeColor="text1" w:themeTint="F2"/>
          <w:sz w:val="22"/>
          <w:szCs w:val="22"/>
        </w:rPr>
        <w:t>noventa y seis</w:t>
      </w:r>
      <w:r w:rsidRPr="00506990">
        <w:rPr>
          <w:rFonts w:ascii="Times New Roman" w:eastAsia="Times New Roman" w:hAnsi="Times New Roman" w:cs="Times New Roman"/>
          <w:color w:val="0D0D0D" w:themeColor="text1" w:themeTint="F2"/>
          <w:sz w:val="22"/>
          <w:szCs w:val="22"/>
          <w:lang w:val="es-AR"/>
        </w:rPr>
        <w:t>) a menos que resultare una cifra menor por haber sido aplicado al pago de servicios de interés de los VDFA. Para el cálculo se utilizará la tasa aplicada para el pago del último servicio de interés de los VDFA. Una vez cancelados los VDFA, el Fondo de Liquidez se mantendrá en $</w:t>
      </w:r>
      <w:r w:rsidR="00826AB1" w:rsidRPr="00506990">
        <w:rPr>
          <w:rFonts w:ascii="Times New Roman" w:eastAsia="Times New Roman" w:hAnsi="Times New Roman" w:cs="Times New Roman"/>
          <w:color w:val="0D0D0D" w:themeColor="text1" w:themeTint="F2"/>
          <w:sz w:val="22"/>
          <w:szCs w:val="22"/>
          <w:lang w:val="es-AR"/>
        </w:rPr>
        <w:t xml:space="preserve"> </w:t>
      </w:r>
      <w:r w:rsidR="004755AD">
        <w:rPr>
          <w:rFonts w:ascii="Times New Roman" w:hAnsi="Times New Roman" w:cs="Times New Roman"/>
          <w:bCs/>
          <w:iCs/>
          <w:color w:val="0D0D0D" w:themeColor="text1" w:themeTint="F2"/>
          <w:sz w:val="22"/>
          <w:szCs w:val="22"/>
        </w:rPr>
        <w:t>446</w:t>
      </w:r>
      <w:r w:rsidR="008A5107" w:rsidRPr="0098446E">
        <w:rPr>
          <w:rFonts w:ascii="Times New Roman" w:hAnsi="Times New Roman" w:cs="Times New Roman"/>
          <w:bCs/>
          <w:iCs/>
          <w:color w:val="0D0D0D" w:themeColor="text1" w:themeTint="F2"/>
          <w:sz w:val="22"/>
          <w:szCs w:val="22"/>
        </w:rPr>
        <w:t>.</w:t>
      </w:r>
      <w:r w:rsidR="004755AD">
        <w:rPr>
          <w:rFonts w:ascii="Times New Roman" w:hAnsi="Times New Roman" w:cs="Times New Roman"/>
          <w:bCs/>
          <w:iCs/>
          <w:color w:val="0D0D0D" w:themeColor="text1" w:themeTint="F2"/>
          <w:sz w:val="22"/>
          <w:szCs w:val="22"/>
        </w:rPr>
        <w:t>096</w:t>
      </w:r>
      <w:r w:rsidR="00826AB1" w:rsidRPr="00506990">
        <w:rPr>
          <w:rFonts w:ascii="Times New Roman" w:eastAsia="Times New Roman" w:hAnsi="Times New Roman" w:cs="Times New Roman"/>
          <w:color w:val="0D0D0D" w:themeColor="text1" w:themeTint="F2"/>
          <w:sz w:val="22"/>
          <w:szCs w:val="22"/>
          <w:lang w:val="es-AR"/>
        </w:rPr>
        <w:t>.- (pesos</w:t>
      </w:r>
      <w:r w:rsidR="004755AD">
        <w:rPr>
          <w:rFonts w:ascii="Times New Roman" w:eastAsia="Times New Roman" w:hAnsi="Times New Roman" w:cs="Times New Roman"/>
          <w:color w:val="0D0D0D" w:themeColor="text1" w:themeTint="F2"/>
          <w:sz w:val="22"/>
          <w:szCs w:val="22"/>
          <w:lang w:val="es-AR"/>
        </w:rPr>
        <w:t xml:space="preserve"> cuatrocientos cuarenta y seis mil noventa y seis</w:t>
      </w:r>
      <w:r w:rsidR="00826AB1" w:rsidRPr="00506990">
        <w:rPr>
          <w:rFonts w:ascii="Times New Roman" w:eastAsia="Times New Roman" w:hAnsi="Times New Roman" w:cs="Times New Roman"/>
          <w:color w:val="0D0D0D" w:themeColor="text1" w:themeTint="F2"/>
          <w:sz w:val="22"/>
          <w:szCs w:val="22"/>
          <w:lang w:val="es-AR"/>
        </w:rPr>
        <w:t>)</w:t>
      </w:r>
      <w:r w:rsidRPr="00506990">
        <w:rPr>
          <w:rFonts w:ascii="Times New Roman" w:eastAsia="Times New Roman" w:hAnsi="Times New Roman" w:cs="Times New Roman"/>
          <w:color w:val="0D0D0D" w:themeColor="text1" w:themeTint="F2"/>
          <w:sz w:val="22"/>
          <w:szCs w:val="22"/>
          <w:lang w:val="es-AR"/>
        </w:rPr>
        <w:t xml:space="preserve"> o la suma menor que resultare en caso de que hubiese sido aplicado parcialmente al pago de servicios de interés de los VDFA, hasta tanto sean pagados totalmente los intereses devengados durante el Periodo de Devengamiento para el primer Servicios de los VDFB. A partir de dicho momento, mensualmente el Fondo de Liquidez será equivalente a</w:t>
      </w:r>
      <w:r w:rsidR="007C6FA9" w:rsidRPr="00506990">
        <w:rPr>
          <w:rFonts w:ascii="Times New Roman" w:eastAsia="Times New Roman" w:hAnsi="Times New Roman" w:cs="Times New Roman"/>
          <w:color w:val="0D0D0D" w:themeColor="text1" w:themeTint="F2"/>
          <w:sz w:val="22"/>
          <w:szCs w:val="22"/>
          <w:lang w:val="es-AR"/>
        </w:rPr>
        <w:t xml:space="preserve"> </w:t>
      </w:r>
      <w:r w:rsidR="00826AB1" w:rsidRPr="00506990">
        <w:rPr>
          <w:rFonts w:ascii="Times New Roman" w:eastAsia="Times New Roman" w:hAnsi="Times New Roman" w:cs="Times New Roman"/>
          <w:color w:val="0D0D0D" w:themeColor="text1" w:themeTint="F2"/>
          <w:sz w:val="22"/>
          <w:szCs w:val="22"/>
          <w:lang w:val="es-AR"/>
        </w:rPr>
        <w:t>1,5 veces</w:t>
      </w:r>
      <w:r w:rsidRPr="00506990">
        <w:rPr>
          <w:rFonts w:ascii="Times New Roman" w:eastAsia="Times New Roman" w:hAnsi="Times New Roman" w:cs="Times New Roman"/>
          <w:color w:val="0D0D0D" w:themeColor="text1" w:themeTint="F2"/>
          <w:sz w:val="22"/>
          <w:szCs w:val="22"/>
          <w:lang w:val="es-AR"/>
        </w:rPr>
        <w:t xml:space="preserve"> el devengamiento mensual del próximo servicio de interés por vencer de los VDFB. Para el cálculo se considerará la tasa aplicada para el pago del último servicio de interés de los VDFB. Los importes acumulados en el Fondo de Liquidez serán aplicados por el Fiduciario al pago de servicios de interés de los VDF en caso de insuficiencia de la Cobranza.</w:t>
      </w:r>
    </w:p>
    <w:p w14:paraId="0758485B" w14:textId="0BC863DA" w:rsidR="0050339C" w:rsidRPr="00506990" w:rsidRDefault="0050339C">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En caso que el saldo de dicho fondo deba disminuirse respecto del mes anterior, dichos fondos serán liberados a favor de</w:t>
      </w:r>
      <w:r w:rsidR="006E36B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hasta la suma del importe retenido del precio de la colocación. En ningún caso el Fondo de Liquidez se recompondrá con las Cobranzas de los Créditos. Los importes correspondientes al Fondo de Liquidez serán recalculados por el Fiduciario en cada Fecha de Pago de Servicios. Los importes acumulados en el fondo podrán ser invertidos por el Fiduciario bajo las mismas reglas aplicables a los Fondos Líquidos Disponibles. Cancelados los VDF, el saldo total de dicho fondo será liberado a favor de</w:t>
      </w:r>
      <w:r w:rsidR="006E36B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6E36BA"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6E36BA"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 xml:space="preserve"> hasta el límite de lo retenido del precio de la colocación, y si el mismo hubiera sido utilizado el importe correspondiente será retenido de las Cobranzas para su pago a</w:t>
      </w:r>
      <w:r w:rsidR="002A2B1C"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l</w:t>
      </w:r>
      <w:r w:rsidR="002A2B1C" w:rsidRPr="00506990">
        <w:rPr>
          <w:rFonts w:ascii="Times New Roman" w:eastAsia="Times New Roman" w:hAnsi="Times New Roman" w:cs="Times New Roman"/>
          <w:color w:val="0D0D0D" w:themeColor="text1" w:themeTint="F2"/>
          <w:sz w:val="22"/>
          <w:szCs w:val="22"/>
          <w:lang w:val="es-AR"/>
        </w:rPr>
        <w:t>os</w:t>
      </w:r>
      <w:r w:rsidRPr="00506990">
        <w:rPr>
          <w:rFonts w:ascii="Times New Roman" w:eastAsia="Times New Roman" w:hAnsi="Times New Roman" w:cs="Times New Roman"/>
          <w:color w:val="0D0D0D" w:themeColor="text1" w:themeTint="F2"/>
          <w:sz w:val="22"/>
          <w:szCs w:val="22"/>
          <w:lang w:val="es-AR"/>
        </w:rPr>
        <w:t xml:space="preserve"> Fiduciante</w:t>
      </w:r>
      <w:r w:rsidR="002A2B1C" w:rsidRPr="00506990">
        <w:rPr>
          <w:rFonts w:ascii="Times New Roman" w:eastAsia="Times New Roman" w:hAnsi="Times New Roman" w:cs="Times New Roman"/>
          <w:color w:val="0D0D0D" w:themeColor="text1" w:themeTint="F2"/>
          <w:sz w:val="22"/>
          <w:szCs w:val="22"/>
          <w:lang w:val="es-AR"/>
        </w:rPr>
        <w:t>s</w:t>
      </w:r>
      <w:r w:rsidRPr="00506990">
        <w:rPr>
          <w:rFonts w:ascii="Times New Roman" w:eastAsia="Times New Roman" w:hAnsi="Times New Roman" w:cs="Times New Roman"/>
          <w:color w:val="0D0D0D" w:themeColor="text1" w:themeTint="F2"/>
          <w:sz w:val="22"/>
          <w:szCs w:val="22"/>
          <w:lang w:val="es-AR"/>
        </w:rPr>
        <w:t>.</w:t>
      </w:r>
    </w:p>
    <w:p w14:paraId="60DC7BD6" w14:textId="77777777" w:rsidR="0050339C" w:rsidRPr="00506990" w:rsidRDefault="0050339C" w:rsidP="0050339C">
      <w:pPr>
        <w:rPr>
          <w:rFonts w:ascii="Times New Roman" w:eastAsia="Times New Roman" w:hAnsi="Times New Roman" w:cs="Times New Roman"/>
          <w:b/>
          <w:bCs/>
          <w:color w:val="0D0D0D" w:themeColor="text1" w:themeTint="F2"/>
          <w:sz w:val="22"/>
          <w:szCs w:val="22"/>
          <w:lang w:val="es-AR"/>
        </w:rPr>
      </w:pPr>
    </w:p>
    <w:p w14:paraId="6A3B1BC0" w14:textId="3019EF01"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w:t>
      </w:r>
      <w:r w:rsidR="00427D58" w:rsidRPr="00506990">
        <w:rPr>
          <w:rFonts w:ascii="Times New Roman" w:hAnsi="Times New Roman" w:cs="Times New Roman"/>
          <w:b/>
          <w:bCs/>
          <w:iCs/>
          <w:color w:val="0D0D0D" w:themeColor="text1" w:themeTint="F2"/>
          <w:sz w:val="22"/>
          <w:szCs w:val="22"/>
        </w:rPr>
        <w:t>7</w:t>
      </w:r>
      <w:r w:rsidRPr="00506990">
        <w:rPr>
          <w:rFonts w:ascii="Times New Roman" w:hAnsi="Times New Roman" w:cs="Times New Roman"/>
          <w:b/>
          <w:bCs/>
          <w:iCs/>
          <w:color w:val="0D0D0D" w:themeColor="text1" w:themeTint="F2"/>
          <w:sz w:val="22"/>
          <w:szCs w:val="22"/>
        </w:rPr>
        <w:t>. Forma de distribución de los ingresos al Fideicomiso.</w:t>
      </w:r>
      <w:r w:rsidRPr="00506990">
        <w:rPr>
          <w:rFonts w:ascii="Times New Roman" w:hAnsi="Times New Roman" w:cs="Times New Roman"/>
          <w:iCs/>
          <w:color w:val="0D0D0D" w:themeColor="text1" w:themeTint="F2"/>
          <w:sz w:val="22"/>
          <w:szCs w:val="22"/>
        </w:rPr>
        <w:t xml:space="preserve"> El total de los fondos ingresados al Fideicomiso como consecuencia del cobro de los Créditos a partir de la Fecha de Corte y del resultado de las colocaciones realizadas por excedentes de liquidez transitorios, se distribuirán de la siguiente forma y orden:</w:t>
      </w:r>
    </w:p>
    <w:p w14:paraId="78A490FA"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5C5ACD2A" w14:textId="77777777" w:rsidR="0050339C" w:rsidRPr="00506990" w:rsidRDefault="0050339C" w:rsidP="0050339C">
      <w:pPr>
        <w:widowControl w:val="0"/>
        <w:suppressLineNumbers/>
        <w:suppressAutoHyphens/>
        <w:spacing w:line="240" w:lineRule="atLeast"/>
        <w:rPr>
          <w:rFonts w:ascii="Times New Roman" w:hAnsi="Times New Roman" w:cs="Times New Roman"/>
          <w:bCs/>
          <w:iCs/>
          <w:color w:val="0D0D0D" w:themeColor="text1" w:themeTint="F2"/>
          <w:sz w:val="22"/>
          <w:szCs w:val="22"/>
        </w:rPr>
      </w:pPr>
      <w:r w:rsidRPr="00506990">
        <w:rPr>
          <w:rFonts w:ascii="Times New Roman" w:hAnsi="Times New Roman" w:cs="Times New Roman"/>
          <w:bCs/>
          <w:iCs/>
          <w:color w:val="0D0D0D" w:themeColor="text1" w:themeTint="F2"/>
          <w:sz w:val="22"/>
          <w:szCs w:val="22"/>
        </w:rPr>
        <w:t>A) Hasta tanto no estén totalmente cancelados los VDFA:</w:t>
      </w:r>
    </w:p>
    <w:p w14:paraId="227DB853" w14:textId="77777777" w:rsidR="0050339C" w:rsidRPr="00506990" w:rsidRDefault="0050339C" w:rsidP="00270AFD">
      <w:pPr>
        <w:pStyle w:val="Prrafodelista"/>
        <w:widowControl w:val="0"/>
        <w:numPr>
          <w:ilvl w:val="0"/>
          <w:numId w:val="20"/>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 xml:space="preserve">Al Fondo de Gastos, de corresponder </w:t>
      </w:r>
    </w:p>
    <w:p w14:paraId="4C15097D" w14:textId="77777777" w:rsidR="0050339C" w:rsidRPr="00506990" w:rsidRDefault="0050339C" w:rsidP="00270AFD">
      <w:pPr>
        <w:pStyle w:val="Prrafodelista"/>
        <w:widowControl w:val="0"/>
        <w:numPr>
          <w:ilvl w:val="0"/>
          <w:numId w:val="20"/>
        </w:numPr>
        <w:suppressLineNumbers/>
        <w:suppressAutoHyphens/>
        <w:spacing w:line="240" w:lineRule="atLeast"/>
        <w:rPr>
          <w:color w:val="0D0D0D" w:themeColor="text1" w:themeTint="F2"/>
          <w:sz w:val="22"/>
          <w:szCs w:val="22"/>
        </w:rPr>
      </w:pPr>
      <w:r w:rsidRPr="00506990">
        <w:rPr>
          <w:iCs/>
          <w:color w:val="0D0D0D" w:themeColor="text1" w:themeTint="F2"/>
          <w:sz w:val="22"/>
          <w:szCs w:val="22"/>
        </w:rPr>
        <w:t>Al pago del interés correspondiente a los VDFA</w:t>
      </w:r>
    </w:p>
    <w:p w14:paraId="5E19E93C" w14:textId="77777777" w:rsidR="0050339C" w:rsidRPr="00506990" w:rsidRDefault="0050339C" w:rsidP="00270AFD">
      <w:pPr>
        <w:pStyle w:val="Prrafodelista"/>
        <w:widowControl w:val="0"/>
        <w:numPr>
          <w:ilvl w:val="0"/>
          <w:numId w:val="20"/>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 la amortización de los VDFA.</w:t>
      </w:r>
    </w:p>
    <w:p w14:paraId="2315810F"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u w:val="single"/>
        </w:rPr>
      </w:pPr>
    </w:p>
    <w:p w14:paraId="0B04E343" w14:textId="77777777" w:rsidR="0050339C" w:rsidRPr="00506990" w:rsidRDefault="0050339C" w:rsidP="0050339C">
      <w:pPr>
        <w:widowControl w:val="0"/>
        <w:suppressLineNumbers/>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Una vez cancelados los VDFA:</w:t>
      </w:r>
    </w:p>
    <w:p w14:paraId="558F2767" w14:textId="77777777" w:rsidR="0050339C" w:rsidRPr="00506990" w:rsidRDefault="0050339C" w:rsidP="00270AFD">
      <w:pPr>
        <w:pStyle w:val="Prrafodelista"/>
        <w:widowControl w:val="0"/>
        <w:numPr>
          <w:ilvl w:val="0"/>
          <w:numId w:val="21"/>
        </w:numPr>
        <w:suppressLineNumbers/>
        <w:suppressAutoHyphens/>
        <w:spacing w:line="240" w:lineRule="atLeast"/>
        <w:rPr>
          <w:bCs/>
          <w:iCs/>
          <w:color w:val="0D0D0D" w:themeColor="text1" w:themeTint="F2"/>
          <w:sz w:val="22"/>
          <w:szCs w:val="22"/>
        </w:rPr>
      </w:pPr>
      <w:r w:rsidRPr="00506990">
        <w:rPr>
          <w:iCs/>
          <w:color w:val="0D0D0D" w:themeColor="text1" w:themeTint="F2"/>
          <w:sz w:val="22"/>
          <w:szCs w:val="22"/>
        </w:rPr>
        <w:t>Al Fondo de Gastos, de corresponder.</w:t>
      </w:r>
    </w:p>
    <w:p w14:paraId="6FE77EBF" w14:textId="77777777" w:rsidR="0050339C" w:rsidRPr="00506990" w:rsidRDefault="0050339C" w:rsidP="00270AFD">
      <w:pPr>
        <w:pStyle w:val="Prrafodelista"/>
        <w:widowControl w:val="0"/>
        <w:numPr>
          <w:ilvl w:val="0"/>
          <w:numId w:val="21"/>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del interés correspondiente a los VDFB.</w:t>
      </w:r>
    </w:p>
    <w:p w14:paraId="1EF6478C" w14:textId="77777777" w:rsidR="0050339C" w:rsidRPr="00506990" w:rsidRDefault="0050339C" w:rsidP="00270AFD">
      <w:pPr>
        <w:pStyle w:val="Prrafodelista"/>
        <w:widowControl w:val="0"/>
        <w:numPr>
          <w:ilvl w:val="0"/>
          <w:numId w:val="21"/>
        </w:numPr>
        <w:suppressLineNumbers/>
        <w:suppressAutoHyphens/>
        <w:spacing w:line="240" w:lineRule="atLeast"/>
        <w:rPr>
          <w:iCs/>
          <w:color w:val="0D0D0D" w:themeColor="text1" w:themeTint="F2"/>
          <w:sz w:val="22"/>
          <w:szCs w:val="22"/>
        </w:rPr>
      </w:pPr>
      <w:r w:rsidRPr="00506990">
        <w:rPr>
          <w:iCs/>
          <w:color w:val="0D0D0D" w:themeColor="text1" w:themeTint="F2"/>
          <w:sz w:val="22"/>
          <w:szCs w:val="22"/>
        </w:rPr>
        <w:t>Al pago de la amortización de los VDFB.</w:t>
      </w:r>
    </w:p>
    <w:p w14:paraId="69237789" w14:textId="77777777" w:rsidR="0050339C" w:rsidRPr="00506990" w:rsidRDefault="0050339C" w:rsidP="00557525">
      <w:pPr>
        <w:pStyle w:val="Prrafodelista"/>
        <w:widowControl w:val="0"/>
        <w:suppressLineNumbers/>
        <w:suppressAutoHyphens/>
        <w:spacing w:line="240" w:lineRule="atLeast"/>
        <w:rPr>
          <w:iCs/>
          <w:color w:val="0D0D0D" w:themeColor="text1" w:themeTint="F2"/>
          <w:sz w:val="22"/>
          <w:szCs w:val="22"/>
        </w:rPr>
      </w:pPr>
    </w:p>
    <w:p w14:paraId="70BB7E39" w14:textId="3FC821EA" w:rsidR="00B60098" w:rsidRPr="0098446E" w:rsidRDefault="00B60098" w:rsidP="00645F5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Una vez satisfecho íntegramente el pago de los Servicios correspondientes a los VDF, y cancelados todos los Gastos </w:t>
      </w:r>
      <w:r w:rsidR="00563C2C" w:rsidRPr="00506990">
        <w:rPr>
          <w:rFonts w:ascii="Times New Roman" w:hAnsi="Times New Roman" w:cs="Times New Roman"/>
          <w:iCs/>
          <w:color w:val="0D0D0D" w:themeColor="text1" w:themeTint="F2"/>
          <w:sz w:val="22"/>
          <w:szCs w:val="22"/>
        </w:rPr>
        <w:t>del Fideicomiso</w:t>
      </w:r>
      <w:r w:rsidRPr="00506990">
        <w:rPr>
          <w:rFonts w:ascii="Times New Roman" w:hAnsi="Times New Roman" w:cs="Times New Roman"/>
          <w:iCs/>
          <w:color w:val="0D0D0D" w:themeColor="text1" w:themeTint="F2"/>
          <w:sz w:val="22"/>
          <w:szCs w:val="22"/>
        </w:rPr>
        <w:t>, los Bienes Fideicomitidos remanentes serán transferidos al Fideicomisario.</w:t>
      </w:r>
    </w:p>
    <w:p w14:paraId="4A9BBDF0" w14:textId="77777777" w:rsidR="0050339C" w:rsidRPr="00506990" w:rsidRDefault="0050339C" w:rsidP="00645F5C">
      <w:pPr>
        <w:suppressAutoHyphens/>
        <w:rPr>
          <w:rFonts w:ascii="Times New Roman" w:hAnsi="Times New Roman" w:cs="Times New Roman"/>
          <w:iCs/>
          <w:color w:val="0D0D0D" w:themeColor="text1" w:themeTint="F2"/>
          <w:sz w:val="22"/>
          <w:szCs w:val="22"/>
        </w:rPr>
      </w:pPr>
    </w:p>
    <w:p w14:paraId="75208735" w14:textId="58249A41"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2.8. Pago de los Servicios. </w:t>
      </w:r>
      <w:r w:rsidRPr="00506990">
        <w:rPr>
          <w:rFonts w:ascii="Times New Roman" w:hAnsi="Times New Roman" w:cs="Times New Roman"/>
          <w:iCs/>
          <w:color w:val="0D0D0D" w:themeColor="text1" w:themeTint="F2"/>
          <w:sz w:val="22"/>
          <w:szCs w:val="22"/>
        </w:rPr>
        <w:t xml:space="preserve">Los Servicios serán pagados por el Fiduciario como se indica en el Cuadro de Pago de Servicios contenido en el Suplemento de Prospecto, o el Día Hábil siguiente a cada fecha allí indicada (la “Fecha de Pago de Servicios”), (cada una de ellas, la “Fecha de Pago de Servicios”) mediante la transferencia de los importes correspondientes a la Caja de Valores S.A., para su acreditación en las respectivas cuentas de los titulares de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con derecho al cobro. Con una anticipación no menor a cinco (5) Días Hábiles anteriores a cada Fecha de Pago de Servicios, el Fiduciario publicará en  la AIF </w:t>
      </w:r>
      <w:r w:rsidRPr="00506990">
        <w:rPr>
          <w:rFonts w:ascii="Times New Roman" w:hAnsi="Times New Roman" w:cs="Times New Roman"/>
          <w:color w:val="0D0D0D" w:themeColor="text1" w:themeTint="F2"/>
          <w:sz w:val="22"/>
          <w:szCs w:val="22"/>
        </w:rPr>
        <w:t xml:space="preserve">y en </w:t>
      </w:r>
      <w:r w:rsidRPr="00506990">
        <w:rPr>
          <w:rFonts w:ascii="Times New Roman" w:hAnsi="Times New Roman" w:cs="Times New Roman"/>
          <w:iCs/>
          <w:color w:val="0D0D0D" w:themeColor="text1" w:themeTint="F2"/>
          <w:sz w:val="22"/>
          <w:szCs w:val="22"/>
        </w:rPr>
        <w:t xml:space="preserve">los sistemas de información de los mercados autorizados donde listen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el monto a pagar por tal concepto a cada clase de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que en esa oportunidad tenga derecho al cobro, discriminando los conceptos. El pago de los Servicios se realizará hasta la concurrencia de (i) lo efectivamente recaudado con relación a los Créditos durante el Período de Devengamiento, más (ii) los importes provenientes de las inversiones realizadas por excedentes de liquidez transitorios, menos (iii) la contribución al Fondo de Gastos, de corresponder. El remanente que no haya podido pagarse será pagado cuando el Flujo de Fondos efectivamente percibido lo permita, de acuerdo al orden de prelación previsto en el artículo 2.</w:t>
      </w:r>
      <w:r w:rsidR="00427D58" w:rsidRPr="00506990">
        <w:rPr>
          <w:rFonts w:ascii="Times New Roman" w:hAnsi="Times New Roman" w:cs="Times New Roman"/>
          <w:iCs/>
          <w:color w:val="0D0D0D" w:themeColor="text1" w:themeTint="F2"/>
          <w:sz w:val="22"/>
          <w:szCs w:val="22"/>
        </w:rPr>
        <w:t>6</w:t>
      </w:r>
      <w:r w:rsidRPr="00506990">
        <w:rPr>
          <w:rFonts w:ascii="Times New Roman" w:hAnsi="Times New Roman" w:cs="Times New Roman"/>
          <w:iCs/>
          <w:color w:val="0D0D0D" w:themeColor="text1" w:themeTint="F2"/>
          <w:sz w:val="22"/>
          <w:szCs w:val="22"/>
        </w:rPr>
        <w:t>, continuando el devengamiento de intereses sobre el capital.</w:t>
      </w:r>
    </w:p>
    <w:p w14:paraId="7BF00572" w14:textId="77777777" w:rsidR="0050339C" w:rsidRPr="00506990" w:rsidRDefault="0050339C" w:rsidP="0050339C">
      <w:pPr>
        <w:suppressAutoHyphens/>
        <w:spacing w:line="240" w:lineRule="atLeast"/>
        <w:rPr>
          <w:rFonts w:ascii="Times New Roman" w:hAnsi="Times New Roman" w:cs="Times New Roman"/>
          <w:iCs/>
          <w:color w:val="0D0D0D" w:themeColor="text1" w:themeTint="F2"/>
          <w:sz w:val="22"/>
          <w:szCs w:val="22"/>
        </w:rPr>
      </w:pPr>
    </w:p>
    <w:p w14:paraId="420DD6BB" w14:textId="604526B4" w:rsidR="0050339C" w:rsidRPr="00506990" w:rsidRDefault="0050339C" w:rsidP="0050339C">
      <w:pPr>
        <w:widowControl w:val="0"/>
        <w:suppressAutoHyphens/>
        <w:spacing w:line="240" w:lineRule="atLeast"/>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2.9. Falta de pago de los Servicios.</w:t>
      </w:r>
      <w:r w:rsidRPr="00506990">
        <w:rPr>
          <w:rFonts w:ascii="Times New Roman" w:hAnsi="Times New Roman" w:cs="Times New Roman"/>
          <w:iCs/>
          <w:color w:val="0D0D0D" w:themeColor="text1" w:themeTint="F2"/>
          <w:sz w:val="22"/>
          <w:szCs w:val="22"/>
        </w:rPr>
        <w:t xml:space="preserve"> La falta de pago o pago parcial de un Servicio por insuficiencia de fondos fideicomitidos, no constituirá incumplimiento, devengándose en su caso a favor de los Valores de Deuda Fiduciaria los intereses correspondientes sobre el saldo de capital impago. El monto que no haya podido pagarse a los Beneficiarios en cada Fecha de Pago de Servicios por ser insuficiente lo recaudado, será pagado cuando el Flujo de Fondos efectivamente percibido lo permita. Transcurridos ciento veinte días desde la última Fecha de Pago de Servicios sin que existan fondos suficientes para cancelar la totalidad de los Servicios adeudados a los Valores </w:t>
      </w:r>
      <w:r w:rsidR="00D37CD5"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hAnsi="Times New Roman" w:cs="Times New Roman"/>
          <w:iCs/>
          <w:color w:val="0D0D0D" w:themeColor="text1" w:themeTint="F2"/>
          <w:sz w:val="22"/>
          <w:szCs w:val="22"/>
        </w:rPr>
        <w:t>Fiduciari</w:t>
      </w:r>
      <w:r w:rsidR="00D37CD5"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ello implicará un Evento Especial. No obstante, en cuanto hubiera fondos disponibles en la Cuenta Fiduciaria, el Fiduciario procederá a realizar pagos a los VDFA, cancelados éstos a los VDFB, luego de deducir las contribuciones al Fondo de Gastos y de Impuesto a las Ganancias, de corresponder. Dichos pagos, en cuanto fueren parciales, se efectivizarán con una periodicidad mínima de treinta (30) días, y siempre que los fondos disponibles para ello no fueran inferiores a $100.000. </w:t>
      </w:r>
    </w:p>
    <w:p w14:paraId="27F3A890" w14:textId="77777777" w:rsidR="0050339C" w:rsidRPr="00506990" w:rsidRDefault="0050339C" w:rsidP="0050339C">
      <w:pPr>
        <w:widowControl w:val="0"/>
        <w:suppressAutoHyphens/>
        <w:spacing w:line="240" w:lineRule="atLeast"/>
        <w:rPr>
          <w:rFonts w:ascii="Times New Roman" w:hAnsi="Times New Roman" w:cs="Times New Roman"/>
          <w:b/>
          <w:bCs/>
          <w:iCs/>
          <w:color w:val="0D0D0D" w:themeColor="text1" w:themeTint="F2"/>
          <w:sz w:val="22"/>
          <w:szCs w:val="22"/>
        </w:rPr>
      </w:pPr>
    </w:p>
    <w:p w14:paraId="499673FA" w14:textId="0661D829" w:rsidR="0050339C" w:rsidRPr="00506990" w:rsidRDefault="0050339C" w:rsidP="0050339C">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iCs/>
          <w:color w:val="0D0D0D" w:themeColor="text1" w:themeTint="F2"/>
          <w:sz w:val="22"/>
          <w:szCs w:val="22"/>
        </w:rPr>
        <w:t>Artículo 2.1</w:t>
      </w:r>
      <w:r w:rsidR="00427D58" w:rsidRPr="00506990">
        <w:rPr>
          <w:rFonts w:ascii="Times New Roman" w:hAnsi="Times New Roman"/>
          <w:iCs/>
          <w:color w:val="0D0D0D" w:themeColor="text1" w:themeTint="F2"/>
          <w:sz w:val="22"/>
          <w:szCs w:val="22"/>
        </w:rPr>
        <w:t>0</w:t>
      </w:r>
      <w:r w:rsidRPr="00506990">
        <w:rPr>
          <w:rFonts w:ascii="Times New Roman" w:hAnsi="Times New Roman"/>
          <w:iCs/>
          <w:color w:val="0D0D0D" w:themeColor="text1" w:themeTint="F2"/>
          <w:sz w:val="22"/>
          <w:szCs w:val="22"/>
        </w:rPr>
        <w:t xml:space="preserve">. Forma de los Valores </w:t>
      </w:r>
      <w:r w:rsidR="00D37CD5" w:rsidRPr="00506990">
        <w:rPr>
          <w:rFonts w:ascii="Times New Roman" w:hAnsi="Times New Roman"/>
          <w:iCs/>
          <w:color w:val="0D0D0D" w:themeColor="text1" w:themeTint="F2"/>
          <w:sz w:val="22"/>
          <w:szCs w:val="22"/>
          <w:lang w:val="es-AR"/>
        </w:rPr>
        <w:t xml:space="preserve">de Deuda </w:t>
      </w:r>
      <w:r w:rsidRPr="00506990">
        <w:rPr>
          <w:rFonts w:ascii="Times New Roman" w:hAnsi="Times New Roman"/>
          <w:iCs/>
          <w:color w:val="0D0D0D" w:themeColor="text1" w:themeTint="F2"/>
          <w:sz w:val="22"/>
          <w:szCs w:val="22"/>
        </w:rPr>
        <w:t>Fiduciari</w:t>
      </w:r>
      <w:r w:rsidR="00D37CD5" w:rsidRPr="00506990">
        <w:rPr>
          <w:rFonts w:ascii="Times New Roman" w:hAnsi="Times New Roman"/>
          <w:iCs/>
          <w:color w:val="0D0D0D" w:themeColor="text1" w:themeTint="F2"/>
          <w:sz w:val="22"/>
          <w:szCs w:val="22"/>
        </w:rPr>
        <w:t>a</w:t>
      </w:r>
      <w:r w:rsidRPr="00506990">
        <w:rPr>
          <w:rFonts w:ascii="Times New Roman" w:hAnsi="Times New Roman"/>
          <w:iCs/>
          <w:color w:val="0D0D0D" w:themeColor="text1" w:themeTint="F2"/>
          <w:sz w:val="22"/>
          <w:szCs w:val="22"/>
        </w:rPr>
        <w:t xml:space="preserve">. </w:t>
      </w:r>
      <w:r w:rsidRPr="00506990">
        <w:rPr>
          <w:rFonts w:ascii="Times New Roman" w:hAnsi="Times New Roman"/>
          <w:b w:val="0"/>
          <w:bCs w:val="0"/>
          <w:iCs/>
          <w:color w:val="0D0D0D" w:themeColor="text1" w:themeTint="F2"/>
          <w:sz w:val="22"/>
          <w:szCs w:val="22"/>
          <w:lang w:val="es-AR"/>
        </w:rPr>
        <w:t xml:space="preserve">Los Valores </w:t>
      </w:r>
      <w:r w:rsidR="00D37CD5" w:rsidRPr="00506990">
        <w:rPr>
          <w:rFonts w:ascii="Times New Roman" w:hAnsi="Times New Roman"/>
          <w:b w:val="0"/>
          <w:iCs/>
          <w:color w:val="0D0D0D" w:themeColor="text1" w:themeTint="F2"/>
          <w:sz w:val="22"/>
          <w:szCs w:val="22"/>
          <w:lang w:val="es-AR"/>
        </w:rPr>
        <w:t xml:space="preserve">de Deuda </w:t>
      </w:r>
      <w:r w:rsidRPr="00506990">
        <w:rPr>
          <w:rFonts w:ascii="Times New Roman" w:hAnsi="Times New Roman"/>
          <w:b w:val="0"/>
          <w:bCs w:val="0"/>
          <w:iCs/>
          <w:color w:val="0D0D0D" w:themeColor="text1" w:themeTint="F2"/>
          <w:sz w:val="22"/>
          <w:szCs w:val="22"/>
          <w:lang w:val="es-AR"/>
        </w:rPr>
        <w:t>Fiduciari</w:t>
      </w:r>
      <w:r w:rsidR="00D37CD5" w:rsidRPr="00506990">
        <w:rPr>
          <w:rFonts w:ascii="Times New Roman" w:hAnsi="Times New Roman"/>
          <w:b w:val="0"/>
          <w:bCs w:val="0"/>
          <w:iCs/>
          <w:color w:val="0D0D0D" w:themeColor="text1" w:themeTint="F2"/>
          <w:sz w:val="22"/>
          <w:szCs w:val="22"/>
          <w:lang w:val="es-AR"/>
        </w:rPr>
        <w:t>a</w:t>
      </w:r>
      <w:r w:rsidRPr="00506990">
        <w:rPr>
          <w:rFonts w:ascii="Times New Roman" w:hAnsi="Times New Roman"/>
          <w:b w:val="0"/>
          <w:bCs w:val="0"/>
          <w:iCs/>
          <w:color w:val="0D0D0D" w:themeColor="text1" w:themeTint="F2"/>
          <w:sz w:val="22"/>
          <w:szCs w:val="22"/>
          <w:lang w:val="es-AR"/>
        </w:rPr>
        <w:t xml:space="preserve"> estarán representados por Certificados Globales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 </w:t>
      </w:r>
    </w:p>
    <w:p w14:paraId="1E511DAB" w14:textId="77777777" w:rsidR="0050339C" w:rsidRPr="00506990" w:rsidRDefault="0050339C" w:rsidP="0050339C">
      <w:pPr>
        <w:pStyle w:val="Textoindependiente"/>
        <w:jc w:val="both"/>
        <w:rPr>
          <w:rFonts w:ascii="Times New Roman" w:hAnsi="Times New Roman"/>
          <w:b w:val="0"/>
          <w:bCs w:val="0"/>
          <w:iCs/>
          <w:color w:val="0D0D0D" w:themeColor="text1" w:themeTint="F2"/>
          <w:sz w:val="22"/>
          <w:szCs w:val="22"/>
          <w:lang w:val="es-AR"/>
        </w:rPr>
      </w:pPr>
    </w:p>
    <w:p w14:paraId="28EBEC7C"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Artículo 2.11. Eventos Especiales. </w:t>
      </w:r>
      <w:r w:rsidRPr="00506990">
        <w:rPr>
          <w:rFonts w:ascii="Times New Roman" w:hAnsi="Times New Roman" w:cs="Times New Roman"/>
          <w:color w:val="000000"/>
          <w:sz w:val="22"/>
          <w:szCs w:val="22"/>
          <w:lang w:val="es-AR" w:eastAsia="es-AR"/>
        </w:rPr>
        <w:t xml:space="preserve">A los efectos del presente Fideicomiso se considerará constituido un Evento Especial en cualquiera de los siguientes supuestos: </w:t>
      </w:r>
    </w:p>
    <w:p w14:paraId="7DDC0FD5"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 </w:t>
      </w:r>
      <w:r w:rsidRPr="00506990">
        <w:rPr>
          <w:rFonts w:ascii="Times New Roman" w:hAnsi="Times New Roman" w:cs="Times New Roman"/>
          <w:color w:val="000000"/>
          <w:sz w:val="22"/>
          <w:szCs w:val="22"/>
          <w:lang w:val="es-AR" w:eastAsia="es-AR"/>
        </w:rPr>
        <w:t xml:space="preserve">Falta de pago de los Servicios, conforme al artículo 2.9 del Contrato Suplementario; </w:t>
      </w:r>
    </w:p>
    <w:p w14:paraId="7E5866D2" w14:textId="2453DDED"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(b) </w:t>
      </w:r>
      <w:r w:rsidRPr="00506990">
        <w:rPr>
          <w:rFonts w:ascii="Times New Roman" w:hAnsi="Times New Roman" w:cs="Times New Roman"/>
          <w:color w:val="000000"/>
          <w:sz w:val="22"/>
          <w:szCs w:val="22"/>
          <w:lang w:val="es-AR" w:eastAsia="es-AR"/>
        </w:rPr>
        <w:t xml:space="preserve">Si la CNV cancelara por resolución firme la autorización para la oferta pública de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o, en caso de haberse solicitado, si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cancelaran por resolución firme su listado; </w:t>
      </w:r>
    </w:p>
    <w:p w14:paraId="206D7DA7"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(c) </w:t>
      </w:r>
      <w:r w:rsidRPr="00506990">
        <w:rPr>
          <w:rFonts w:ascii="Times New Roman" w:hAnsi="Times New Roman" w:cs="Times New Roman"/>
          <w:color w:val="000000"/>
          <w:sz w:val="22"/>
          <w:szCs w:val="22"/>
          <w:lang w:val="es-AR" w:eastAsia="es-AR"/>
        </w:rPr>
        <w:t xml:space="preserve">Si los Bienes Fideicomitidos se viesen afectados física o jurídicamente de modo tal que resulte imposible que cumplan su función de garantía, y no pudiesen ser sustituidos por otros activos; </w:t>
      </w:r>
    </w:p>
    <w:p w14:paraId="237A30C8" w14:textId="5B5A89E5"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(d) </w:t>
      </w:r>
      <w:r w:rsidRPr="00506990">
        <w:rPr>
          <w:rFonts w:ascii="Times New Roman" w:hAnsi="Times New Roman" w:cs="Times New Roman"/>
          <w:color w:val="000000"/>
          <w:sz w:val="22"/>
          <w:szCs w:val="22"/>
          <w:lang w:val="es-AR" w:eastAsia="es-AR"/>
        </w:rPr>
        <w:t>Falta de cumplimiento en tiempo y forma por parte de</w:t>
      </w:r>
      <w:r w:rsidR="006E36BA"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color w:val="000000"/>
          <w:sz w:val="22"/>
          <w:szCs w:val="22"/>
          <w:lang w:val="es-AR" w:eastAsia="es-AR"/>
        </w:rPr>
        <w:t>l</w:t>
      </w:r>
      <w:r w:rsidR="006E36BA"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6E36BA"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de cualquier obligación establecida en este Contrato, cuyo incumplimiento sea relevante y afecte en forma significativa el Fideicomiso; </w:t>
      </w:r>
    </w:p>
    <w:p w14:paraId="21AE3C94" w14:textId="77777777" w:rsidR="0050339C" w:rsidRPr="00506990" w:rsidRDefault="0050339C" w:rsidP="0050339C">
      <w:pPr>
        <w:autoSpaceDE w:val="0"/>
        <w:autoSpaceDN w:val="0"/>
        <w:adjustRightInd w:val="0"/>
        <w:spacing w:after="2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(e) </w:t>
      </w:r>
      <w:r w:rsidRPr="00506990">
        <w:rPr>
          <w:rFonts w:ascii="Times New Roman" w:hAnsi="Times New Roman" w:cs="Times New Roman"/>
          <w:color w:val="000000"/>
          <w:sz w:val="22"/>
          <w:szCs w:val="22"/>
          <w:lang w:val="es-AR" w:eastAsia="es-AR"/>
        </w:rPr>
        <w:t xml:space="preserve">Toda sentencia judicial firme y definitiva que restrinja la validez, vigencia, alcance y ejecutabilidad de los Documentos y de este Contrato; </w:t>
      </w:r>
    </w:p>
    <w:p w14:paraId="3456BE07" w14:textId="19B61421"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(f) </w:t>
      </w:r>
      <w:r w:rsidRPr="00506990">
        <w:rPr>
          <w:rFonts w:ascii="Times New Roman" w:hAnsi="Times New Roman" w:cs="Times New Roman"/>
          <w:color w:val="000000"/>
          <w:sz w:val="22"/>
          <w:szCs w:val="22"/>
          <w:lang w:val="es-AR" w:eastAsia="es-AR"/>
        </w:rPr>
        <w:t>Si cualquier información, declaración, garantía o certificación significativa realizada o suministrada por l</w:t>
      </w:r>
      <w:r w:rsidR="006E36BA"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6E36BA"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(incluyendo cualesquiera de sus funcionarios debidamente autorizados) en este Contrato o en cualquier documento entregado por l</w:t>
      </w:r>
      <w:r w:rsidR="006E36BA"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6E36BA"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conforme a o en ejecución de este Contrato resultara haber sido incorrecta, inexacta, incompleta o engañosa, en cualquier aspecto importante, en el momento de su realización y la misma tuviera un efecto significativo sobre el Fideicomiso. </w:t>
      </w:r>
    </w:p>
    <w:p w14:paraId="7EC4D839" w14:textId="77777777"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La enumeración de los eventos del presente artículo así como cualquier otro Evento Especial enunciado en el Contrato Marco son de carácter taxativo. </w:t>
      </w:r>
    </w:p>
    <w:p w14:paraId="60A8000F" w14:textId="77777777" w:rsidR="0050339C" w:rsidRPr="00506990" w:rsidRDefault="0050339C" w:rsidP="0050339C">
      <w:pPr>
        <w:autoSpaceDE w:val="0"/>
        <w:autoSpaceDN w:val="0"/>
        <w:adjustRightInd w:val="0"/>
        <w:jc w:val="left"/>
        <w:rPr>
          <w:rFonts w:ascii="Times New Roman" w:hAnsi="Times New Roman" w:cs="Times New Roman"/>
          <w:color w:val="000000"/>
          <w:sz w:val="21"/>
          <w:szCs w:val="21"/>
          <w:lang w:val="es-AR" w:eastAsia="es-AR"/>
        </w:rPr>
      </w:pPr>
    </w:p>
    <w:p w14:paraId="28173B4F" w14:textId="48F857F4"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Artículo 2.12. Consecuencias de un Evento Especial. </w:t>
      </w:r>
      <w:r w:rsidRPr="00506990">
        <w:rPr>
          <w:rFonts w:ascii="Times New Roman" w:hAnsi="Times New Roman" w:cs="Times New Roman"/>
          <w:color w:val="000000"/>
          <w:sz w:val="22"/>
          <w:szCs w:val="22"/>
          <w:lang w:val="es-AR" w:eastAsia="es-AR"/>
        </w:rPr>
        <w:t xml:space="preserve">Producido cualesquiera de los Eventos Especiales, el Fiduciario deberá inmediatamente, a más tardar dentro de 1 (un) Día Hábil de verificado el hecho, </w:t>
      </w:r>
      <w:r w:rsidRPr="00506990">
        <w:rPr>
          <w:rFonts w:ascii="Times New Roman" w:hAnsi="Times New Roman" w:cs="Times New Roman"/>
          <w:b/>
          <w:bCs/>
          <w:color w:val="000000"/>
          <w:sz w:val="22"/>
          <w:szCs w:val="22"/>
          <w:lang w:val="es-AR" w:eastAsia="es-AR"/>
        </w:rPr>
        <w:t xml:space="preserve">(a) </w:t>
      </w:r>
      <w:r w:rsidRPr="00506990">
        <w:rPr>
          <w:rFonts w:ascii="Times New Roman" w:hAnsi="Times New Roman" w:cs="Times New Roman"/>
          <w:color w:val="000000"/>
          <w:sz w:val="22"/>
          <w:szCs w:val="22"/>
          <w:lang w:val="es-AR" w:eastAsia="es-AR"/>
        </w:rPr>
        <w:t xml:space="preserve">declarar la existencia de un Evento Especial mediante publicación de dicha circunstancia en la página web de la CNV, ítem Información Financiera, “Hecho Relevante”, y en los sistemas de información de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b/>
          <w:bCs/>
          <w:color w:val="000000"/>
          <w:sz w:val="22"/>
          <w:szCs w:val="22"/>
          <w:lang w:val="es-AR" w:eastAsia="es-AR"/>
        </w:rPr>
        <w:t xml:space="preserve">(b) </w:t>
      </w:r>
      <w:r w:rsidRPr="00506990">
        <w:rPr>
          <w:rFonts w:ascii="Times New Roman" w:hAnsi="Times New Roman" w:cs="Times New Roman"/>
          <w:color w:val="000000"/>
          <w:sz w:val="22"/>
          <w:szCs w:val="22"/>
          <w:lang w:val="es-AR" w:eastAsia="es-AR"/>
        </w:rPr>
        <w:t>notificar de inmediato dicha declaración a</w:t>
      </w:r>
      <w:r w:rsidR="002A2B1C"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color w:val="000000"/>
          <w:sz w:val="22"/>
          <w:szCs w:val="22"/>
          <w:lang w:val="es-AR" w:eastAsia="es-AR"/>
        </w:rPr>
        <w:t>l</w:t>
      </w:r>
      <w:r w:rsidR="002A2B1C"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2A2B1C"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b/>
          <w:bCs/>
          <w:color w:val="000000"/>
          <w:sz w:val="22"/>
          <w:szCs w:val="22"/>
          <w:lang w:val="es-AR" w:eastAsia="es-AR"/>
        </w:rPr>
        <w:t xml:space="preserve">(c) </w:t>
      </w:r>
      <w:r w:rsidRPr="00506990">
        <w:rPr>
          <w:rFonts w:ascii="Times New Roman" w:hAnsi="Times New Roman" w:cs="Times New Roman"/>
          <w:color w:val="000000"/>
          <w:sz w:val="22"/>
          <w:szCs w:val="22"/>
          <w:lang w:val="es-AR" w:eastAsia="es-AR"/>
        </w:rPr>
        <w:t xml:space="preserve">requerirá una resolución de los Beneficiarios  adoptada conforme a las reglas del Contrato Marco acerca de los derechos y facultades a ejercer en tal supuesto. La decisión, que en el marco de un Evento Especial adopten los Beneficiarios, deberá ser mediante Asamblea Extraordinaria de Beneficiarios o a través del procedimiento de adopción de resoluciones prescindiendo de la misma previsto en el artículo 33.2 del Contrato Marco. Serán derechos y facultades de la Mayoría Extraordinaria de Beneficiarios ante un Evento Especial, los siguientes: </w:t>
      </w:r>
      <w:r w:rsidRPr="00506990">
        <w:rPr>
          <w:rFonts w:ascii="Times New Roman" w:hAnsi="Times New Roman" w:cs="Times New Roman"/>
          <w:b/>
          <w:bCs/>
          <w:color w:val="000000"/>
          <w:sz w:val="22"/>
          <w:szCs w:val="22"/>
          <w:lang w:val="es-AR" w:eastAsia="es-AR"/>
        </w:rPr>
        <w:t xml:space="preserve">(i) </w:t>
      </w:r>
      <w:r w:rsidRPr="00506990">
        <w:rPr>
          <w:rFonts w:ascii="Times New Roman" w:hAnsi="Times New Roman" w:cs="Times New Roman"/>
          <w:color w:val="000000"/>
          <w:sz w:val="22"/>
          <w:szCs w:val="22"/>
          <w:lang w:val="es-AR" w:eastAsia="es-AR"/>
        </w:rPr>
        <w:t xml:space="preserve">Disponer la liquidación anticipada del Fideicomiso, mediante (1) la venta en licitación privada de los Créditos y la realización de los demás Bienes Fideicomitidos, por la base y las modalidades, y con la intervención de las entidades que las partes acuerden. El precio por el que se enajenen los Créditos no podrá ser inferior al valor nominal de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en circulación; o (2) la asignación directa de los mismos a los Beneficiarios; o </w:t>
      </w:r>
      <w:r w:rsidRPr="00506990">
        <w:rPr>
          <w:rFonts w:ascii="Times New Roman" w:hAnsi="Times New Roman" w:cs="Times New Roman"/>
          <w:b/>
          <w:bCs/>
          <w:color w:val="000000"/>
          <w:sz w:val="22"/>
          <w:szCs w:val="22"/>
          <w:lang w:val="es-AR" w:eastAsia="es-AR"/>
        </w:rPr>
        <w:t xml:space="preserve">(ii) </w:t>
      </w:r>
      <w:r w:rsidRPr="00506990">
        <w:rPr>
          <w:rFonts w:ascii="Times New Roman" w:hAnsi="Times New Roman" w:cs="Times New Roman"/>
          <w:color w:val="000000"/>
          <w:sz w:val="22"/>
          <w:szCs w:val="22"/>
          <w:lang w:val="es-AR" w:eastAsia="es-AR"/>
        </w:rPr>
        <w:t xml:space="preserve">Disponer la continuación del Fideicomiso como privado. A los Beneficiarios que votaron en contra de tal decisión les serán aplicables las disposiciones contenidas en el artículo 2.13, I (c). </w:t>
      </w:r>
    </w:p>
    <w:p w14:paraId="1E4B02D8" w14:textId="139BD3FF" w:rsidR="0050339C" w:rsidRPr="00506990" w:rsidRDefault="0050339C" w:rsidP="0050339C">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La resolución que se adopte se anunciará por el Fiduciario en la AIF y, durante tres (3) días en los sistemas de información de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00000"/>
          <w:sz w:val="22"/>
          <w:szCs w:val="22"/>
          <w:lang w:val="es-AR" w:eastAsia="es-AR"/>
        </w:rPr>
        <w:t xml:space="preserve"> salvo que la decisión se hubiese adoptado por unanimidad donde la publicación se realizará por un (1) solo día.</w:t>
      </w:r>
    </w:p>
    <w:p w14:paraId="3EB8D456" w14:textId="77777777" w:rsidR="0050339C" w:rsidRPr="00506990" w:rsidRDefault="0050339C" w:rsidP="0050339C">
      <w:pPr>
        <w:pStyle w:val="Textoindependiente"/>
        <w:jc w:val="both"/>
        <w:rPr>
          <w:rFonts w:ascii="Times New Roman" w:hAnsi="Times New Roman"/>
          <w:b w:val="0"/>
          <w:bCs w:val="0"/>
          <w:color w:val="000000"/>
          <w:sz w:val="22"/>
          <w:szCs w:val="22"/>
          <w:lang w:val="es-AR" w:eastAsia="es-AR"/>
        </w:rPr>
      </w:pPr>
      <w:r w:rsidRPr="00506990">
        <w:rPr>
          <w:rFonts w:ascii="Times New Roman" w:hAnsi="Times New Roman"/>
          <w:b w:val="0"/>
          <w:bCs w:val="0"/>
          <w:color w:val="000000"/>
          <w:sz w:val="22"/>
          <w:szCs w:val="22"/>
          <w:lang w:val="es-AR" w:eastAsia="es-AR"/>
        </w:rPr>
        <w:t>Desde la declaración de existencia de un Evento Especial previsto en el inciso a) del artículo anterior, se devengarán de pleno derecho intereses moratorios a una tasa equivalente a una vez y media la última tasa de interés pagada a los VDFB.</w:t>
      </w:r>
    </w:p>
    <w:p w14:paraId="53B6C61A" w14:textId="77777777" w:rsidR="0050339C" w:rsidRPr="00506990" w:rsidRDefault="0050339C" w:rsidP="0050339C">
      <w:pPr>
        <w:pStyle w:val="0-Texto"/>
        <w:rPr>
          <w:rFonts w:ascii="Times New Roman" w:eastAsia="Calibri" w:hAnsi="Times New Roman" w:cs="Times New Roman"/>
          <w:bCs w:val="0"/>
          <w:color w:val="000000"/>
        </w:rPr>
      </w:pPr>
      <w:r w:rsidRPr="00506990">
        <w:rPr>
          <w:rFonts w:ascii="Times New Roman" w:eastAsia="Calibri" w:hAnsi="Times New Roman" w:cs="Times New Roman"/>
          <w:bCs w:val="0"/>
          <w:color w:val="000000"/>
        </w:rPr>
        <w:t>En caso de insuficiencia del patrimonio fideicomitido, se considerarán válidas las decisiones que se tomen con el voto favorable de al menos las tres cuartas partes de los valores emitidos y en circulación, debiendo aplicarse las pautas establecidas en la última parte del artículo 1696 del Código Civil y Comercial de la Nación para el cómputo del quórum y las mayorías.</w:t>
      </w:r>
    </w:p>
    <w:p w14:paraId="069EE293" w14:textId="77777777" w:rsidR="00506192" w:rsidRPr="00506990" w:rsidRDefault="00506192" w:rsidP="0050339C">
      <w:pPr>
        <w:pStyle w:val="Textoindependiente"/>
        <w:jc w:val="both"/>
        <w:rPr>
          <w:rFonts w:ascii="Times New Roman" w:hAnsi="Times New Roman"/>
          <w:b w:val="0"/>
          <w:bCs w:val="0"/>
          <w:iCs/>
          <w:color w:val="0D0D0D" w:themeColor="text1" w:themeTint="F2"/>
          <w:sz w:val="22"/>
          <w:szCs w:val="22"/>
          <w:lang w:val="es-AR"/>
        </w:rPr>
      </w:pPr>
    </w:p>
    <w:p w14:paraId="66BD7A4D" w14:textId="792EE721" w:rsidR="00D37CD5" w:rsidRPr="00506990" w:rsidRDefault="0050339C"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Artículo 2.13. </w:t>
      </w:r>
      <w:r w:rsidR="00D37CD5" w:rsidRPr="00506990">
        <w:rPr>
          <w:rFonts w:ascii="Times New Roman" w:hAnsi="Times New Roman" w:cs="Times New Roman"/>
          <w:b/>
          <w:bCs/>
          <w:iCs/>
          <w:color w:val="0D0D0D" w:themeColor="text1" w:themeTint="F2"/>
          <w:sz w:val="22"/>
          <w:szCs w:val="22"/>
        </w:rPr>
        <w:t xml:space="preserve">Liquidación anticipada o transformación del Fideicomiso instruida por Mayoría Ordinaria de Beneficiarios totalmente subordinados. </w:t>
      </w:r>
      <w:r w:rsidR="00D37CD5" w:rsidRPr="00506990">
        <w:rPr>
          <w:rFonts w:ascii="Times New Roman" w:hAnsi="Times New Roman" w:cs="Times New Roman"/>
          <w:bCs/>
          <w:iCs/>
          <w:color w:val="0D0D0D" w:themeColor="text1" w:themeTint="F2"/>
          <w:sz w:val="22"/>
          <w:szCs w:val="22"/>
        </w:rPr>
        <w:t>I.</w:t>
      </w:r>
      <w:r w:rsidR="00D37CD5" w:rsidRPr="00506990">
        <w:rPr>
          <w:rFonts w:ascii="Times New Roman" w:hAnsi="Times New Roman" w:cs="Times New Roman"/>
          <w:iCs/>
          <w:color w:val="0D0D0D" w:themeColor="text1" w:themeTint="F2"/>
          <w:sz w:val="22"/>
          <w:szCs w:val="22"/>
        </w:rPr>
        <w:t xml:space="preserve"> Una vez extinguidos los VDF</w:t>
      </w:r>
      <w:r w:rsidR="00563C2C" w:rsidRPr="00506990">
        <w:rPr>
          <w:rFonts w:ascii="Times New Roman" w:hAnsi="Times New Roman" w:cs="Times New Roman"/>
          <w:iCs/>
          <w:color w:val="0D0D0D" w:themeColor="text1" w:themeTint="F2"/>
          <w:sz w:val="22"/>
          <w:szCs w:val="22"/>
        </w:rPr>
        <w:t>A</w:t>
      </w:r>
      <w:r w:rsidR="00D37CD5" w:rsidRPr="00506990">
        <w:rPr>
          <w:rFonts w:ascii="Times New Roman" w:hAnsi="Times New Roman" w:cs="Times New Roman"/>
          <w:iCs/>
          <w:color w:val="0D0D0D" w:themeColor="text1" w:themeTint="F2"/>
          <w:sz w:val="22"/>
          <w:szCs w:val="22"/>
        </w:rPr>
        <w:t>, los Beneficiarios que representen la Mayoría Ordinaria de los Beneficiarios titulares de los VDF</w:t>
      </w:r>
      <w:r w:rsidR="00563C2C" w:rsidRPr="00506990">
        <w:rPr>
          <w:rFonts w:ascii="Times New Roman" w:hAnsi="Times New Roman" w:cs="Times New Roman"/>
          <w:iCs/>
          <w:color w:val="0D0D0D" w:themeColor="text1" w:themeTint="F2"/>
          <w:sz w:val="22"/>
          <w:szCs w:val="22"/>
        </w:rPr>
        <w:t>B</w:t>
      </w:r>
      <w:r w:rsidR="00D37CD5" w:rsidRPr="00506990">
        <w:rPr>
          <w:rFonts w:ascii="Times New Roman" w:hAnsi="Times New Roman" w:cs="Times New Roman"/>
          <w:iCs/>
          <w:color w:val="0D0D0D" w:themeColor="text1" w:themeTint="F2"/>
          <w:sz w:val="22"/>
          <w:szCs w:val="22"/>
        </w:rPr>
        <w:t xml:space="preserve"> podrán resolver, y así instruir al Fiduciario: (a) la liquidación anticipada del Fideicomiso estableciendo el procedimiento de realización de los Bienes Fideicomitidos, que podrán ser readquiridos por l</w:t>
      </w:r>
      <w:r w:rsidR="006E36BA" w:rsidRPr="00506990">
        <w:rPr>
          <w:rFonts w:ascii="Times New Roman" w:hAnsi="Times New Roman" w:cs="Times New Roman"/>
          <w:iCs/>
          <w:color w:val="0D0D0D" w:themeColor="text1" w:themeTint="F2"/>
          <w:sz w:val="22"/>
          <w:szCs w:val="22"/>
        </w:rPr>
        <w:t>os</w:t>
      </w:r>
      <w:r w:rsidR="00D37CD5"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00D37CD5" w:rsidRPr="00506990">
        <w:rPr>
          <w:rFonts w:ascii="Times New Roman" w:hAnsi="Times New Roman" w:cs="Times New Roman"/>
          <w:iCs/>
          <w:color w:val="0D0D0D" w:themeColor="text1" w:themeTint="F2"/>
          <w:sz w:val="22"/>
          <w:szCs w:val="22"/>
        </w:rPr>
        <w:t>, o ser adjudicados a los Beneficiarios en forma proporcional a sus respectivas tenencias, y/o (b) el retiro de los VDF</w:t>
      </w:r>
      <w:r w:rsidR="00563C2C" w:rsidRPr="00506990">
        <w:rPr>
          <w:rFonts w:ascii="Times New Roman" w:hAnsi="Times New Roman" w:cs="Times New Roman"/>
          <w:iCs/>
          <w:color w:val="0D0D0D" w:themeColor="text1" w:themeTint="F2"/>
          <w:sz w:val="22"/>
          <w:szCs w:val="22"/>
        </w:rPr>
        <w:t>B</w:t>
      </w:r>
      <w:r w:rsidR="00D37CD5" w:rsidRPr="00506990">
        <w:rPr>
          <w:rFonts w:ascii="Times New Roman" w:hAnsi="Times New Roman" w:cs="Times New Roman"/>
          <w:iCs/>
          <w:color w:val="0D0D0D" w:themeColor="text1" w:themeTint="F2"/>
          <w:sz w:val="22"/>
          <w:szCs w:val="22"/>
        </w:rPr>
        <w:t xml:space="preserve">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 y/o negocien los Valores de Deuda Fiduciaria salvo que la decisión se hubiese adoptado por unanimidad donde la publicación se realizará por un (1) solo día. En caso de adoptarse las alternativas (b) o (c), los Beneficiarios que votaron en contra de la resolución adoptada en (b) y (c) podrán solicitar el reembolso del valor nominal residual de sus VDF con más una rentabilidad equivalente a una vez y media el último interés pagado a la Clase de grado superior, sin derecho a ninguna otra prestación, y en la medida que existan fondos suficientes en el Fideicomiso. Ello importará la liquidación parcial del Fideicomiso, pudiéndose en su caso realizar créditos conforme a lo establecido en (a). La solicitud deberá dirigirse al Fiduciario dentro de los quince (15) días posteriores a la fecha de la última publicación. El valor de reembolso deberá pagarse dentro de los sesenta (60) días de vencido dicho plazo, salvo que antes de esa fecha se hubiera resuelto la liquidación anticipada del Fideicomiso, lo que será comunicado por medio fehaciente a los Beneficiarios que solicitaron el reembolso. </w:t>
      </w:r>
    </w:p>
    <w:p w14:paraId="0E09C7B9"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II.- A los efectos de lo dispuesto en el inciso I. (a) precedente, así como en cualquier supuesto de liquidación anticipada del Fideicomiso, salvo disposición en contrario de la Mayoría Ordinaria de Beneficiarios, los créditos se valuarán conforme a las normas de previsionamiento del Banco Central de la República Argentina y se deducirán los importes correspondientes al Fondo de Reserva Impositivo y los Gastos.</w:t>
      </w:r>
    </w:p>
    <w:p w14:paraId="283FCACB"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III.- La adjudicación de los Bienes Fideicomitidos a los Beneficiarios será notificada por el Fiduciario al domicilio registrado de cada Beneficiario, indicándose el plazo razonable dentro del cual el Beneficiario habrá de concurrir al domicilio del Fiduciario para firmar y retirar la documentación pertinente, bajo apercibimiento de consignación. Vencido dicho plazo sin que el Beneficiario hubiera cumplido los actos que le son exigibles para perfeccionar la transferencia de los Créditos adjudicados, (a) cesará toda obligación del Fiduciario respecto de la gestión de los Créditos que son adjudicados al Beneficiario respectivo y (b) el Fiduciario podrá consignarlos judicialmente, con cargo al Beneficiario incumplidor.</w:t>
      </w:r>
    </w:p>
    <w:p w14:paraId="32538545"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IV.- La mayoría especificada en el punto I resolverá los aspectos no contemplados en el presente artículo.</w:t>
      </w:r>
    </w:p>
    <w:p w14:paraId="492C7265" w14:textId="1C2ADCBC"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V.- La enajenación de los Créditos será realizada por el Fiduciario a través de un procedimiento de licitación privada conforme a las siguientes reglas: (a) El Fiduciario, por sí o a través del Agente de Control y Revisión confeccionará un pliego descriptivo de la cartera a enajenar y de las condiciones de la licitación establecidas en el inciso (c) siguiente; (b) Se publicará durante el plazo que se establezca en cada Contrato Suplementario un aviso en un diario de mayor circulación general en la República llamando a formular ofertas para la compra de la cartera. En el aviso se indicará: (i) que el pliego con la descripción de la cartera y condiciones de la licitación se encuentra a disposición de cualquier interesado en las oficinas del Fiduciario, y (ii) la fecha de presentación de las ofertas (c) Las condiciones de la licitación son las siguientes: (i) Las ofertas se presentarán en sobre cerrado en las oficinas del Fiduciario, y deben indicar el precio contado a pagar por la cartera; (ii) Todos los costos relativos a la transferencia de los créditos de la cartera estarán a exclusivo cargo del comprador, incluyendo impuestos; (iii) En la fecha y hora indicadas en el aviso, el Fiduciario procederá a abrir los sobres; (iv)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tendrán el derecho, dentro del día hábil posterior a la apertura de los sobres, a manifestar su voluntad de adquirir la cartera al mejor precio ofrecido; (v) Vencido el plazo anterior, o antes si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hubieran manifestado su desinterés, el Fiduciario notificará la adjudicación al oferente que haya ofrecido el mayor precio, o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su caso, debiéndose celebrar el pertinente contrato y pagar el precio dentro de los cinco (5) Días Hábiles siguientes; (vi) Si el precio no fuera pagado en el plazo correspondiente, la adjudicación quedará sin efecto, y el Fiduciario adjudicará la cartera a quién haya ofrecido el precio inmediato inferior, repitiendo el procedimiento indicado en el inciso anterior. El producido de la enajenación, neto de Gastos y de la eventual contribución al Fondo de Reserva Impositivo, se distribuirá a prorrata entre todos los Beneficiarios de la Clase. (vii) En caso de no existir ofertas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manifestaren su intención de adquirir los Créditos, podrá adquirir los mismos al precio que resulte de aplicar lo dispuesto en el apartado II del presente artículo. (viii) En caso de no existir ofertas y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no hubiese manifestado su intención de adquirir los Créditos y, siempre que: (a) se haya producido el vencimiento final de los VDF y (b) el monto de los Créditos en mora representaren no menos del 90% (noventa por ciento) del saldo de capital de los Créditos, el Fiduciario deberá declarar la imposibilidad de pago de los Servicios de los VDF por insuficiencia de activos y proceder a la liquidación del Fideicomiso mediante la entrega a prorrata de los Bienes Fideicomitidos remanentes a los Beneficiarios, caso en el cual sólo procederá la liquidación judicial; (d) El Fiduciario quedará relevado de la obligación de llevar adelante al procedimiento de licitación privada, cuando el precio estimado de venta de los Bienes Fideicomitidos no alcanzare para afrontar los gastos de su ejecución. En tal caso deberá proceder a la liquidación del Fideicomiso mediante la entrega a prorrata de los Bienes Fideicomitidos remanentes a los Beneficiarios y/o al Fideicomisario, según corresponda. En cualquier supuesto que se declare la imposibilidad de pago de los Servicios de los VDF por insuficiencia de activos, la Resolución adoptada será publicada en la AIF y, durante tres días en los sistemas de información de los mercados en que se negocien los Valores de Deuda Fiduciaria.</w:t>
      </w:r>
    </w:p>
    <w:p w14:paraId="492D6DB9" w14:textId="4A8FE250"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VI.- En caso de ser adjudicados los Créditos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y de ser éstos titulares de VDF, sólo deberá pagar al Fiduciario la parte proporcional del precio que exceda a la participación beneficiaria por esa tenencia, y los Créditos se adjudicarán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concepto de la cuota de liquidación correspondiente a los VDF de su titularidad.</w:t>
      </w:r>
    </w:p>
    <w:p w14:paraId="6ED734A9" w14:textId="77777777" w:rsidR="00D37CD5" w:rsidRPr="00506990" w:rsidRDefault="00D37CD5" w:rsidP="00D37CD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orden a lo establecido en el artículo 2°, Capítulo IV, Título V de las NORMAS de la CNV, en todos los casos en que el o los Fiduciante/s resultare/n ser Beneficiario/s de VDF podrá/n asistir a las Asambleas de Beneficiarios no pudiendo votar cuando la decisión a adoptarse pueda generar conflicto de interés con el resto de los Beneficiarios.</w:t>
      </w:r>
    </w:p>
    <w:p w14:paraId="510C2B28" w14:textId="77777777" w:rsidR="00D37CD5" w:rsidRPr="00506990" w:rsidRDefault="00D37CD5" w:rsidP="00D37CD5">
      <w:pPr>
        <w:suppressAutoHyphens/>
        <w:rPr>
          <w:rFonts w:ascii="Times New Roman" w:hAnsi="Times New Roman" w:cs="Times New Roman"/>
          <w:iCs/>
          <w:color w:val="0D0D0D" w:themeColor="text1" w:themeTint="F2"/>
          <w:sz w:val="22"/>
          <w:szCs w:val="22"/>
        </w:rPr>
      </w:pPr>
    </w:p>
    <w:p w14:paraId="024BCD8C" w14:textId="08665EA3" w:rsidR="00D37CD5" w:rsidRPr="00506990" w:rsidRDefault="0050339C" w:rsidP="00D37CD5">
      <w:pPr>
        <w:pStyle w:val="Textocomentario"/>
        <w:rPr>
          <w:rFonts w:ascii="Times New Roman" w:hAnsi="Times New Roman"/>
          <w:iCs/>
          <w:color w:val="0D0D0D" w:themeColor="text1" w:themeTint="F2"/>
          <w:sz w:val="22"/>
          <w:szCs w:val="22"/>
        </w:rPr>
      </w:pPr>
      <w:r w:rsidRPr="00506990">
        <w:rPr>
          <w:rStyle w:val="Textoennegrita"/>
          <w:rFonts w:ascii="Times New Roman" w:hAnsi="Times New Roman"/>
          <w:iCs/>
          <w:color w:val="0D0D0D" w:themeColor="text1" w:themeTint="F2"/>
          <w:sz w:val="22"/>
          <w:szCs w:val="22"/>
        </w:rPr>
        <w:t xml:space="preserve">Artículo 2.14. </w:t>
      </w:r>
      <w:bookmarkStart w:id="122" w:name="OLE_LINK2"/>
      <w:r w:rsidR="00D37CD5" w:rsidRPr="00506990">
        <w:rPr>
          <w:rFonts w:ascii="Times New Roman" w:hAnsi="Times New Roman"/>
          <w:b/>
          <w:bCs/>
          <w:iCs/>
          <w:color w:val="0D0D0D" w:themeColor="text1" w:themeTint="F2"/>
          <w:sz w:val="22"/>
          <w:szCs w:val="22"/>
        </w:rPr>
        <w:t>Liquidación por vencimiento del Plazo</w:t>
      </w:r>
      <w:r w:rsidR="00D37CD5" w:rsidRPr="00506990">
        <w:rPr>
          <w:rFonts w:ascii="Times New Roman" w:hAnsi="Times New Roman"/>
          <w:iCs/>
          <w:color w:val="0D0D0D" w:themeColor="text1" w:themeTint="F2"/>
          <w:sz w:val="22"/>
          <w:szCs w:val="22"/>
        </w:rPr>
        <w:t>. Producido el vencimiento del Plazo de los Valores de Deuda Fiduciaria si por cualquier razón no se hubiese cancelado el total de los derechos correspondientes a los VDF y existieren Bienes Fideicomitidos no liquidados, el Fiduciario procederá a la liquidación del Fideicomiso conforme al procedimiento indicado en el apartado V del artículo 2.13. El producido de la liquidación, neto de Gastos y de la eventual contribución al Fondo de Reserva Impositivo, se distribuirá a prorrata entre todos los Beneficiarios de los VDF remanentes.</w:t>
      </w:r>
    </w:p>
    <w:bookmarkEnd w:id="122"/>
    <w:p w14:paraId="33FCC075"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02701276"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SECCIÓN III</w:t>
      </w:r>
    </w:p>
    <w:p w14:paraId="2080F70F"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ADMINISTRACIÓN. CUSTODIA.   </w:t>
      </w:r>
    </w:p>
    <w:p w14:paraId="0E92CB27"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30885356" w14:textId="117C32C0"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Artículo 3.1. Administrador</w:t>
      </w:r>
      <w:r w:rsidR="006E36BA"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lang w:val="es-AR"/>
        </w:rPr>
        <w:t>Dada la experiencia y conocimiento de la cartera fideicomitida que posee</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éste tiene dentro de las funciones que le son propias por este Contrato la tarea de administrar los Créditos (en tal rol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6E36BA"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A los fines del presente, deberá cumplir fielmente las obligaciones establecidas en la presente Sección con la diligencia de un buen hombre de negocios.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de los Créditos asume</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el deber de informar al Fiduciario todo hecho que pudiera afectar el normal cumplimiento de las funciones asignadas.</w:t>
      </w:r>
      <w:r w:rsidRPr="00506990">
        <w:rPr>
          <w:rFonts w:ascii="Times New Roman" w:hAnsi="Times New Roman" w:cs="Times New Roman"/>
          <w:iCs/>
          <w:color w:val="0D0D0D" w:themeColor="text1" w:themeTint="F2"/>
          <w:sz w:val="22"/>
          <w:szCs w:val="22"/>
        </w:rPr>
        <w:t xml:space="preserve"> </w:t>
      </w:r>
    </w:p>
    <w:p w14:paraId="78F1DE9C" w14:textId="77777777" w:rsidR="0050339C" w:rsidRPr="00506990" w:rsidRDefault="0050339C" w:rsidP="0050339C">
      <w:pPr>
        <w:tabs>
          <w:tab w:val="left" w:pos="7815"/>
        </w:tabs>
        <w:suppressAutoHyphens/>
        <w:autoSpaceDE w:val="0"/>
        <w:autoSpaceDN w:val="0"/>
        <w:adjustRightInd w:val="0"/>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ab/>
      </w:r>
    </w:p>
    <w:p w14:paraId="71F5F4BD" w14:textId="596A46AC" w:rsidR="0050339C" w:rsidRPr="00506990" w:rsidRDefault="0050339C" w:rsidP="0050339C">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Artículo 3.2. Custodia de los Documentos. </w:t>
      </w:r>
      <w:r w:rsidRPr="00506990">
        <w:rPr>
          <w:rFonts w:ascii="Times New Roman" w:hAnsi="Times New Roman" w:cs="Times New Roman"/>
          <w:bCs/>
          <w:iCs/>
          <w:color w:val="0D0D0D" w:themeColor="text1" w:themeTint="F2"/>
          <w:sz w:val="22"/>
          <w:szCs w:val="22"/>
          <w:lang w:val="es-AR"/>
        </w:rPr>
        <w:t>El Fiduciario ha delegado en Centibox S.A., sito en Av. Arijón 26 bis, de la ciudad de Rosario, la custodia de los Documentos Respaldatorios de los Créditos (“los Documentos”) en virtud del convenio suscripto entre el Fiduciario, l</w:t>
      </w:r>
      <w:r w:rsidR="006E36BA"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Fiduciante</w:t>
      </w:r>
      <w:r w:rsidR="006E36BA"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y el Agente de Custodia. Dichos Documentos Respaldatorios fueron entregados para su custodia </w:t>
      </w:r>
      <w:r w:rsidR="004B370E" w:rsidRPr="00506990">
        <w:rPr>
          <w:rFonts w:ascii="Times New Roman" w:hAnsi="Times New Roman" w:cs="Times New Roman"/>
          <w:bCs/>
          <w:iCs/>
          <w:color w:val="0D0D0D" w:themeColor="text1" w:themeTint="F2"/>
          <w:sz w:val="22"/>
          <w:szCs w:val="22"/>
          <w:lang w:val="es-AR"/>
        </w:rPr>
        <w:t xml:space="preserve">en </w:t>
      </w:r>
      <w:r w:rsidR="001126E3" w:rsidRPr="00506990">
        <w:rPr>
          <w:rFonts w:ascii="Times New Roman" w:hAnsi="Times New Roman" w:cs="Times New Roman"/>
          <w:bCs/>
          <w:iCs/>
          <w:color w:val="0D0D0D" w:themeColor="text1" w:themeTint="F2"/>
          <w:sz w:val="22"/>
          <w:szCs w:val="22"/>
          <w:lang w:val="es-AR"/>
        </w:rPr>
        <w:t xml:space="preserve">el domicilio del Agente de Custodia </w:t>
      </w:r>
      <w:r w:rsidRPr="00506990">
        <w:rPr>
          <w:rFonts w:ascii="Times New Roman" w:hAnsi="Times New Roman" w:cs="Times New Roman"/>
          <w:bCs/>
          <w:iCs/>
          <w:color w:val="0D0D0D" w:themeColor="text1" w:themeTint="F2"/>
          <w:sz w:val="22"/>
          <w:szCs w:val="22"/>
          <w:lang w:val="es-AR"/>
        </w:rPr>
        <w:t>en cajas debidamente cerradas y perfectamente identificadas y podrán ser rescatados en cualquier momento por el Fiduciario. Los Documentos Respaldatorios en custodia otorgan al Fiduciario todas las facultades suficientes y necesarias para el cobro de los Créditos y sus garantías. Cuando la designación de Agente de Custodia sea dejada sin efecto por cualquier causa, o cuando lo solicitare a su sólo criterio el Fiduciario, el Agente de Custodia entregará al Fiduciario los Documentos Resp</w:t>
      </w:r>
      <w:r w:rsidR="004B370E" w:rsidRPr="00506990">
        <w:rPr>
          <w:rFonts w:ascii="Times New Roman" w:hAnsi="Times New Roman" w:cs="Times New Roman"/>
          <w:bCs/>
          <w:iCs/>
          <w:color w:val="0D0D0D" w:themeColor="text1" w:themeTint="F2"/>
          <w:sz w:val="22"/>
          <w:szCs w:val="22"/>
          <w:lang w:val="es-AR"/>
        </w:rPr>
        <w:t>a</w:t>
      </w:r>
      <w:r w:rsidRPr="00506990">
        <w:rPr>
          <w:rFonts w:ascii="Times New Roman" w:hAnsi="Times New Roman" w:cs="Times New Roman"/>
          <w:bCs/>
          <w:iCs/>
          <w:color w:val="0D0D0D" w:themeColor="text1" w:themeTint="F2"/>
          <w:sz w:val="22"/>
          <w:szCs w:val="22"/>
          <w:lang w:val="es-AR"/>
        </w:rPr>
        <w:t>ldatorios dentro de las 48 horas de recibido el requerimiento pertinente. En tal supuesto el Fiduciario asumirá la Custodia de los Documentos la que podrá realizarla por sí o por intermedio de una entidad de custodia que pudiese designar a tal efecto.</w:t>
      </w:r>
      <w:r w:rsidRPr="00506990">
        <w:rPr>
          <w:rFonts w:ascii="Times New Roman" w:hAnsi="Times New Roman" w:cs="Times New Roman"/>
          <w:b/>
          <w:bCs/>
          <w:iCs/>
          <w:color w:val="0D0D0D" w:themeColor="text1" w:themeTint="F2"/>
          <w:sz w:val="22"/>
          <w:szCs w:val="22"/>
          <w:lang w:val="es-AR"/>
        </w:rPr>
        <w:t xml:space="preserve"> </w:t>
      </w:r>
      <w:r w:rsidR="006E36BA" w:rsidRPr="00506990">
        <w:rPr>
          <w:rFonts w:ascii="Times New Roman" w:hAnsi="Times New Roman" w:cs="Times New Roman"/>
          <w:bCs/>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 constituye</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en depositario de Documentos Adicionales de los Créditos en un espacio físico determinado dentro de sus oficinas, perfectamente identificados y diferenciados de los documentos correspondientes a bienes no fideicomitidos y de cualquiera otra documentación, y con las medidas de seguridad adecuadas de modo de evitar su alteración, pérdida, destrucción o sustracción y </w:t>
      </w:r>
      <w:r w:rsidRPr="00506990">
        <w:rPr>
          <w:rFonts w:ascii="Times New Roman" w:hAnsi="Times New Roman" w:cs="Times New Roman"/>
          <w:bCs/>
          <w:iCs/>
          <w:color w:val="0D0D0D" w:themeColor="text1" w:themeTint="F2"/>
          <w:sz w:val="22"/>
          <w:szCs w:val="22"/>
          <w:lang w:val="es-AR"/>
        </w:rPr>
        <w:t>deberán ser entregados a mero requerimiento del Fiduciario en cualquier momento que lo solicite</w:t>
      </w:r>
      <w:r w:rsidRPr="00506990">
        <w:rPr>
          <w:rFonts w:ascii="Times New Roman" w:hAnsi="Times New Roman" w:cs="Times New Roman"/>
          <w:iCs/>
          <w:color w:val="0D0D0D" w:themeColor="text1" w:themeTint="F2"/>
          <w:sz w:val="22"/>
          <w:szCs w:val="22"/>
          <w:lang w:val="es-AR"/>
        </w:rPr>
        <w:t>. Las obligaciones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como depositario de la Documentación Adicional de los Préstamos, serán válidas y exigibles durante toda la vigencia del presente Fideicomiso. </w:t>
      </w:r>
    </w:p>
    <w:p w14:paraId="03BAF06C" w14:textId="77777777" w:rsidR="0050339C" w:rsidRPr="00506990" w:rsidRDefault="0050339C" w:rsidP="0050339C">
      <w:pPr>
        <w:suppressAutoHyphens/>
        <w:rPr>
          <w:rFonts w:ascii="Times New Roman" w:hAnsi="Times New Roman" w:cs="Times New Roman"/>
          <w:b/>
          <w:bCs/>
          <w:iCs/>
          <w:color w:val="0D0D0D" w:themeColor="text1" w:themeTint="F2"/>
          <w:sz w:val="22"/>
          <w:szCs w:val="22"/>
          <w:lang w:val="es-AR"/>
        </w:rPr>
      </w:pPr>
    </w:p>
    <w:p w14:paraId="35A61928" w14:textId="5D262A58" w:rsidR="0050339C" w:rsidRPr="00506990" w:rsidRDefault="0050339C" w:rsidP="0050339C">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Artículo 3.3. Obligaciones del Fiduciario frente a</w:t>
      </w:r>
      <w:r w:rsidR="00F7400D"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Administrador</w:t>
      </w:r>
      <w:r w:rsidR="00F7400D" w:rsidRPr="00506990">
        <w:rPr>
          <w:rFonts w:ascii="Times New Roman" w:hAnsi="Times New Roman" w:cs="Times New Roman"/>
          <w:b/>
          <w:bCs/>
          <w:iCs/>
          <w:color w:val="0D0D0D" w:themeColor="text1" w:themeTint="F2"/>
          <w:sz w:val="22"/>
          <w:szCs w:val="22"/>
          <w:lang w:val="es-AR"/>
        </w:rPr>
        <w:t>es</w:t>
      </w:r>
      <w:r w:rsidRPr="00506990">
        <w:rPr>
          <w:rFonts w:ascii="Times New Roman" w:hAnsi="Times New Roman" w:cs="Times New Roman"/>
          <w:b/>
          <w:bCs/>
          <w:iCs/>
          <w:color w:val="0D0D0D" w:themeColor="text1" w:themeTint="F2"/>
          <w:sz w:val="22"/>
          <w:szCs w:val="22"/>
          <w:lang w:val="es-AR"/>
        </w:rPr>
        <w:t>.</w:t>
      </w:r>
      <w:r w:rsidRPr="00506990">
        <w:rPr>
          <w:rFonts w:ascii="Times New Roman" w:hAnsi="Times New Roman" w:cs="Times New Roman"/>
          <w:iCs/>
          <w:color w:val="0D0D0D" w:themeColor="text1" w:themeTint="F2"/>
          <w:sz w:val="22"/>
          <w:szCs w:val="22"/>
          <w:lang w:val="es-AR"/>
        </w:rPr>
        <w:t xml:space="preserve"> El Fiduciario firmará a solicitud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los documentos que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certifique</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que son necesarios o convenientes para permitirle cumplir con sus obligaciones conforme al presente. En su caso, el Fiduciario deberá entregar a</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los Documentos correspondientes a los Créditos que fuera necesario ejecutar.</w:t>
      </w:r>
    </w:p>
    <w:p w14:paraId="401FD6AB" w14:textId="6702870E" w:rsidR="0050339C" w:rsidRPr="00506990" w:rsidRDefault="0050339C" w:rsidP="0050339C">
      <w:pPr>
        <w:pStyle w:val="NormalWeb"/>
        <w:jc w:val="both"/>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3.4. Depósito de la Cobranza. </w:t>
      </w:r>
      <w:r w:rsidR="006E36BA" w:rsidRPr="00506990">
        <w:rPr>
          <w:rFonts w:ascii="Times New Roman" w:hAnsi="Times New Roman" w:cs="Times New Roman"/>
          <w:bCs/>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ha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celebrado un convenio con el Agente Recaudador por intermedio de cuál éste prestará, por cuenta y orden de</w:t>
      </w:r>
      <w:r w:rsidR="006E36B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el servicio de percepción de cobranza de la totalidad de los Créditos fideicomitidos. En el marco de dicho acuerdo, BAZAR </w:t>
      </w:r>
      <w:r w:rsidR="00F7400D" w:rsidRPr="00506990">
        <w:rPr>
          <w:rFonts w:ascii="Times New Roman" w:hAnsi="Times New Roman" w:cs="Times New Roman"/>
          <w:iCs/>
          <w:color w:val="0D0D0D" w:themeColor="text1" w:themeTint="F2"/>
          <w:sz w:val="22"/>
          <w:szCs w:val="22"/>
        </w:rPr>
        <w:t xml:space="preserve">y CONSUMO, </w:t>
      </w:r>
      <w:r w:rsidRPr="00506990">
        <w:rPr>
          <w:rFonts w:ascii="Times New Roman" w:hAnsi="Times New Roman" w:cs="Times New Roman"/>
          <w:iCs/>
          <w:color w:val="0D0D0D" w:themeColor="text1" w:themeTint="F2"/>
          <w:sz w:val="22"/>
          <w:szCs w:val="22"/>
        </w:rPr>
        <w:t>en su carácter de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delega</w:t>
      </w:r>
      <w:r w:rsidR="00F7400D"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en el Agente Recaudador la recaudación de la cobranza de los Créditos Fideicomitidos, excepto la de aquellos Créditos en Mora que se perciban por las gestiones judiciales y extrajudiciales que realice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Para cumplir con su obligación el Agente Recaudador, podrá celebrar convenios con Agentes Externos de Recaudación. TINSA se obliga por la rendición de la Cobranza efectuada  por los Agentes Externos de Recaudación de manera tal que si dichos agentes no le rindieran lo recaudado en tiempo y forma, TINSA debe transferir los fondos correspondientes a los Créditos Fideicomitidos. En oportunidad de emitir cada uno de los Fideicomiso, BAZAR </w:t>
      </w:r>
      <w:r w:rsidR="00915966" w:rsidRPr="00506990">
        <w:rPr>
          <w:rFonts w:ascii="Times New Roman" w:hAnsi="Times New Roman" w:cs="Times New Roman"/>
          <w:iCs/>
          <w:color w:val="0D0D0D" w:themeColor="text1" w:themeTint="F2"/>
          <w:sz w:val="22"/>
          <w:szCs w:val="22"/>
        </w:rPr>
        <w:t xml:space="preserve">y CONSUMO </w:t>
      </w:r>
      <w:r w:rsidRPr="00506990">
        <w:rPr>
          <w:rFonts w:ascii="Times New Roman" w:hAnsi="Times New Roman" w:cs="Times New Roman"/>
          <w:iCs/>
          <w:color w:val="0D0D0D" w:themeColor="text1" w:themeTint="F2"/>
          <w:sz w:val="22"/>
          <w:szCs w:val="22"/>
        </w:rPr>
        <w:t>comunica</w:t>
      </w:r>
      <w:r w:rsidR="00915966"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en forma fehaciente a TINSA tal circunstancia, informando además los datos del Fiduciario, datos de la Cuenta Fiduciaria y demás datos necesarios para que TINSA puede cumplir con sus obligaciones de Agente Recaudador. Recibida la nota TINSA deberá comunicar a BAZAR</w:t>
      </w:r>
      <w:r w:rsidR="00915966" w:rsidRPr="00506990">
        <w:rPr>
          <w:rFonts w:ascii="Times New Roman" w:hAnsi="Times New Roman" w:cs="Times New Roman"/>
          <w:iCs/>
          <w:color w:val="0D0D0D" w:themeColor="text1" w:themeTint="F2"/>
          <w:sz w:val="22"/>
          <w:szCs w:val="22"/>
        </w:rPr>
        <w:t xml:space="preserve"> y CONSUMO</w:t>
      </w:r>
      <w:r w:rsidRPr="00506990">
        <w:rPr>
          <w:rFonts w:ascii="Times New Roman" w:hAnsi="Times New Roman" w:cs="Times New Roman"/>
          <w:iCs/>
          <w:color w:val="0D0D0D" w:themeColor="text1" w:themeTint="F2"/>
          <w:sz w:val="22"/>
          <w:szCs w:val="22"/>
        </w:rPr>
        <w:t xml:space="preserve">, con copia al fiduciario, el alta de la Cuenta Fiduciaria en sus sistemas. </w:t>
      </w:r>
      <w:r w:rsidRPr="00506990">
        <w:rPr>
          <w:rFonts w:ascii="Times New Roman" w:hAnsi="Times New Roman" w:cs="Times New Roman"/>
          <w:color w:val="0D0D0D" w:themeColor="text1" w:themeTint="F2"/>
          <w:sz w:val="22"/>
          <w:szCs w:val="22"/>
        </w:rPr>
        <w:t>A los fines de poder identificar la cobranza correspondiente a Créditos fideicomitidos, al final de cada jornada el sistema que opera en cada uno de los agentes transmite información a los sistemas centrales de TINSA. Una vez recibida la información de todos los agentes, TINSA procesa los registros y, a primera hora del día siguiente, transmite información a BAZAR</w:t>
      </w:r>
      <w:r w:rsidR="00915966" w:rsidRPr="00506990">
        <w:rPr>
          <w:rFonts w:ascii="Times New Roman" w:hAnsi="Times New Roman" w:cs="Times New Roman"/>
          <w:color w:val="0D0D0D" w:themeColor="text1" w:themeTint="F2"/>
          <w:sz w:val="22"/>
          <w:szCs w:val="22"/>
        </w:rPr>
        <w:t xml:space="preserve"> y CONSUMO</w:t>
      </w:r>
      <w:r w:rsidRPr="00506990">
        <w:rPr>
          <w:rFonts w:ascii="Times New Roman" w:hAnsi="Times New Roman" w:cs="Times New Roman"/>
          <w:color w:val="0D0D0D" w:themeColor="text1" w:themeTint="F2"/>
          <w:sz w:val="22"/>
          <w:szCs w:val="22"/>
        </w:rPr>
        <w:t xml:space="preserve"> para que ésta</w:t>
      </w:r>
      <w:r w:rsidR="00915966"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proceda</w:t>
      </w:r>
      <w:r w:rsidR="00915966"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a imputar la cobranza y a informar</w:t>
      </w:r>
      <w:r w:rsidRPr="00506990">
        <w:rPr>
          <w:rFonts w:ascii="Times New Roman" w:hAnsi="Times New Roman" w:cs="Times New Roman"/>
          <w:snapToGrid w:val="0"/>
          <w:color w:val="0D0D0D" w:themeColor="text1" w:themeTint="F2"/>
          <w:sz w:val="22"/>
          <w:szCs w:val="22"/>
        </w:rPr>
        <w:t xml:space="preserve"> al día hábil siguiente los importes que correspondan transferir a la Cuenta Fiduciaria de cada uno de los respectivos fideicomisos por las cobranzas imputables a Créditos fideicomitidos y los importes que correspondan a créditos no fideicomitidos de titularidad de BAZAR</w:t>
      </w:r>
      <w:r w:rsidR="00915966" w:rsidRPr="00506990">
        <w:rPr>
          <w:rFonts w:ascii="Times New Roman" w:hAnsi="Times New Roman" w:cs="Times New Roman"/>
          <w:snapToGrid w:val="0"/>
          <w:color w:val="0D0D0D" w:themeColor="text1" w:themeTint="F2"/>
          <w:sz w:val="22"/>
          <w:szCs w:val="22"/>
        </w:rPr>
        <w:t xml:space="preserve"> y CONSUMO</w:t>
      </w:r>
      <w:r w:rsidRPr="00506990">
        <w:rPr>
          <w:rFonts w:ascii="Times New Roman" w:hAnsi="Times New Roman" w:cs="Times New Roman"/>
          <w:snapToGrid w:val="0"/>
          <w:color w:val="0D0D0D" w:themeColor="text1" w:themeTint="F2"/>
          <w:sz w:val="22"/>
          <w:szCs w:val="22"/>
        </w:rPr>
        <w:t>.</w:t>
      </w:r>
      <w:r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snapToGrid w:val="0"/>
          <w:color w:val="0D0D0D" w:themeColor="text1" w:themeTint="F2"/>
          <w:sz w:val="22"/>
          <w:szCs w:val="22"/>
        </w:rPr>
        <w:t>TINSA procederá a transferir a las Cuentas Fiduciarias correspondientes los fondos percibidos por Créditos fideicomitidos dentro del día hábil posterior a recibida la información de parte de BAZAR</w:t>
      </w:r>
      <w:r w:rsidR="00915966" w:rsidRPr="00506990">
        <w:rPr>
          <w:rFonts w:ascii="Times New Roman" w:hAnsi="Times New Roman" w:cs="Times New Roman"/>
          <w:snapToGrid w:val="0"/>
          <w:color w:val="0D0D0D" w:themeColor="text1" w:themeTint="F2"/>
          <w:sz w:val="22"/>
          <w:szCs w:val="22"/>
        </w:rPr>
        <w:t xml:space="preserve"> y CONSUMO</w:t>
      </w:r>
      <w:r w:rsidRPr="00506990">
        <w:rPr>
          <w:rFonts w:ascii="Times New Roman" w:hAnsi="Times New Roman" w:cs="Times New Roman"/>
          <w:snapToGrid w:val="0"/>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Según las obligaciones que emanan del convenio, TINSA</w:t>
      </w:r>
      <w:r w:rsidRPr="00506990">
        <w:rPr>
          <w:rFonts w:ascii="Times New Roman" w:hAnsi="Times New Roman" w:cs="Times New Roman"/>
          <w:iCs/>
          <w:color w:val="0D0D0D" w:themeColor="text1" w:themeTint="F2"/>
          <w:sz w:val="22"/>
          <w:szCs w:val="22"/>
        </w:rPr>
        <w:t xml:space="preserve"> deberá depositar directamente en las Cuentas Fiduciarias todo concepto recaudado que corresponda a cada Fideicomiso, dentro de los tres días de su percepción cuando la Cobranza sea percibida en forma directa por TINSA o a través de los Agentes Externos de Recaudación subcontratados por él. Sin perjuicio de lo expuesto, en virtud del Convenio, TINSA se obliga a depositar a cada Fideicomiso los fondos que le corresponden a la Cobranza percibida por los Agentes Externos de Recaudación dentro de los tres días de su percepción, aun cuando los mismos tengan transferencias pendientes. Por su parte, en el supuesto que existan Cobranzas percibidas por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 en virtud de las gestiones de Créditos en Mora realizadas conforme a lo establecido en el artículo 3.6- serán transferidas al día hábil siguiente de su percepción.</w:t>
      </w:r>
    </w:p>
    <w:p w14:paraId="207B2E5F" w14:textId="20F1AA99" w:rsidR="0050339C" w:rsidRPr="00506990" w:rsidRDefault="0050339C" w:rsidP="0050339C">
      <w:pPr>
        <w:suppressAutoHyphens/>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rPr>
        <w:t xml:space="preserve">Artículo 3.5. </w:t>
      </w:r>
      <w:r w:rsidRPr="00506990">
        <w:rPr>
          <w:rFonts w:ascii="Times New Roman" w:hAnsi="Times New Roman" w:cs="Times New Roman"/>
          <w:b/>
          <w:bCs/>
          <w:iCs/>
          <w:color w:val="0D0D0D" w:themeColor="text1" w:themeTint="F2"/>
          <w:sz w:val="22"/>
          <w:szCs w:val="22"/>
          <w:lang w:val="es-AR"/>
        </w:rPr>
        <w:t xml:space="preserve">Informe de Administración. </w:t>
      </w:r>
      <w:r w:rsidRPr="00506990">
        <w:rPr>
          <w:rFonts w:ascii="Times New Roman" w:hAnsi="Times New Roman" w:cs="Times New Roman"/>
          <w:bCs/>
          <w:iCs/>
          <w:color w:val="0D0D0D" w:themeColor="text1" w:themeTint="F2"/>
          <w:sz w:val="22"/>
          <w:szCs w:val="22"/>
          <w:lang w:val="es-AR"/>
        </w:rPr>
        <w:t>Conforme lo establecido por el artículo 25 del Título V, Capítulo IV de las NORMAS:</w:t>
      </w:r>
      <w:r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Cs/>
          <w:iCs/>
          <w:color w:val="0D0D0D" w:themeColor="text1" w:themeTint="F2"/>
          <w:sz w:val="22"/>
          <w:szCs w:val="22"/>
          <w:lang w:val="es-AR"/>
        </w:rPr>
        <w:t>(a) Diariamente l</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informarán al Fiduciario el importe de la Cobranzas percibida de los Créditos conforme al Anexo 3.5, (b) Mensualmente dentro de los 3 (tres) Días Hábiles de finalizado cada mes calendario desde la fecha de constitución del Fideicomiso, l</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remitirán al Fiduciario un detalle de la Cobranza (Informe Mensual de Cobranza), que contendrá la información necesaria para realizar la imputación de los pagos y el estado de la cobranza de los Créditos contra los Deudores conforme al Anexo 3.5.1. Este informe contendrá, sin que la enumeración pueda considerarse limitativa, número de sucursal, provincia de la sucursal, número de cliente, número de operación, número de cuota, fecha de vencimiento de la cuota, fecha de pago de la cuota, capital cobrado, interés cobrado, punitorios cobrados y total cobrado, (c) Dentro de los 15 (quince) Días Hábiles de terminado cada trimestre calendario desde la vigencia del Fideicomiso, en el supuesto de Créditos en gestión judicial, un informe de los abogados encargados de tal tarea respecto del estado y perspectivas de los juicios correspondientes (el "Informe del Estado de Juicios"),  y (d) En el tiempo y forma que se le solicitare, cualquier otra información o documento que el Fiduciario y/o el Agente de Control y Revisión razonablemente solicitaren.</w:t>
      </w:r>
    </w:p>
    <w:p w14:paraId="30AEBA98" w14:textId="77777777"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 </w:t>
      </w:r>
    </w:p>
    <w:p w14:paraId="3A392905" w14:textId="53B5A390"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 xml:space="preserve">Artículo 3.6. Gestión de Créditos en Mora.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tendrá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 su cargo la cobranza y la gestión extrajudicial y judicial de los Créditos (en tal rol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será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36BA"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de los Créditos y Agente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iniciar cualesquiera procedimientos necesarios o convenientes para exigir judicial y extrajudicialmente los pagos que corresponden a los clientes en mora, de acuerdo a la Sección IV - DESCRIPCIÓN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a las instrucciones que oportunamente formule el Fiduciario. Fracasada la gestión de cobranza extrajudicial,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iniciar la gestión judicial, salvo que concurran los siguientes requisitos: (a) se hayan cancelado íntegramente los VDF, (b) el monto de capital del Crédito en Mora no supere el 20% (veinte por ciento) del capital original del Crédito a la Fecha de Corte, y (c) considere inconveniente para el Fideicomiso Financiero la cobranza por dicha vía, en función de una desproporción entre el monto de la deuda y los costos inherentes a la cobranza judicial. En tal caso, el crédito se declara incobrable y se computa la pérdida consiguiente. </w:t>
      </w:r>
      <w:r w:rsidR="002A2B1C"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deberá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acreditar y el Fiduciario verificar el cumplimiento de los requisitos antes mencionados. </w:t>
      </w:r>
      <w:r w:rsidR="002A2B1C"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 obligado a iniciar el proceso de verificación de los Créditos que correspondan a Deudores concursados o declarados en quiebra, cuando considere que resulta antieconómico para el Fideicomiso, y el Fiduciario verifique que así sea.</w:t>
      </w:r>
    </w:p>
    <w:p w14:paraId="3DE76974" w14:textId="77777777" w:rsidR="0050339C" w:rsidRPr="00506990" w:rsidRDefault="0050339C" w:rsidP="0050339C">
      <w:pPr>
        <w:rPr>
          <w:rFonts w:ascii="Times New Roman" w:hAnsi="Times New Roman" w:cs="Times New Roman"/>
          <w:iCs/>
          <w:color w:val="0D0D0D" w:themeColor="text1" w:themeTint="F2"/>
          <w:sz w:val="22"/>
          <w:szCs w:val="22"/>
        </w:rPr>
      </w:pPr>
    </w:p>
    <w:p w14:paraId="71C5494D" w14:textId="7A50A500"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Artículo 3.7. Readquisición o Reemplazo de Créditos en mora.</w:t>
      </w:r>
      <w:r w:rsidRPr="00506990">
        <w:rPr>
          <w:rFonts w:ascii="Times New Roman" w:hAnsi="Times New Roman" w:cs="Times New Roman"/>
          <w:iCs/>
          <w:color w:val="0D0D0D" w:themeColor="text1" w:themeTint="F2"/>
          <w:sz w:val="22"/>
          <w:szCs w:val="22"/>
        </w:rPr>
        <w:t xml:space="preserve"> En caso de mora de cualquiera de los Deudores de los Créditos que integraren el Patrimonio Fideicomitido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podrá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optar alternativamente:</w:t>
      </w:r>
    </w:p>
    <w:p w14:paraId="3899F7B9" w14:textId="02D6DB1A"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(a) Reemplazarlo por otro crédito de características análogas o similares al Crédito en mora. La retrocesión y reemplazo deberá verificarse al valor contable de los Créditos en Mora a la fecha de sustitución. En ningún supuesto el valor del Crédito de reemplazo podrá ser inferior al 20% del saldo del valor nominal original del Crédito a ser reemplazado. En caso que a la fecha de sustitución de un crédito, el valor del crédito a sustituir fuere superior al valor del crédito que lo reemplace, la diferencia será abonada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en el acto de sustitución, ó</w:t>
      </w:r>
    </w:p>
    <w:p w14:paraId="05C14BA7" w14:textId="07A02FB8"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Readquirir bajo titularidad plena el crédito en mora de que se trate abonando al Fiduciario el Crédito al valor contable a la fecha de pago, correspondiente, formalizándose al momento de pago la readquisición de dicho crédito por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En ningún supuesto el valor de readquisición del Crédito podrá ser inferior al 20% del saldo del valor nominal original del Crédito a ser readquirido. Todos los costos, honorarios, gastos e impuestos relacionados con el reemplazo de créditos previsto en este artículo, estarán a exclusivo cargo de</w:t>
      </w:r>
      <w:r w:rsidR="006E36B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w:t>
      </w:r>
    </w:p>
    <w:p w14:paraId="637FF82B" w14:textId="27534CF6"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ningún caso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estará</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sustituir o readquirir Créditos en Mora.</w:t>
      </w:r>
    </w:p>
    <w:p w14:paraId="3F6073CB" w14:textId="77777777" w:rsidR="0050339C" w:rsidRPr="00506990" w:rsidRDefault="0050339C" w:rsidP="0050339C">
      <w:pPr>
        <w:rPr>
          <w:rFonts w:ascii="Times New Roman" w:hAnsi="Times New Roman" w:cs="Times New Roman"/>
          <w:b/>
          <w:bCs/>
          <w:iCs/>
          <w:color w:val="0D0D0D" w:themeColor="text1" w:themeTint="F2"/>
          <w:sz w:val="22"/>
          <w:szCs w:val="22"/>
        </w:rPr>
      </w:pPr>
    </w:p>
    <w:p w14:paraId="72471B58" w14:textId="04453ECD" w:rsidR="0050339C" w:rsidRPr="00506990" w:rsidRDefault="0050339C" w:rsidP="0050339C">
      <w:pPr>
        <w:spacing w:line="240" w:lineRule="atLeast"/>
        <w:rPr>
          <w:rFonts w:ascii="Times New Roman" w:hAnsi="Times New Roman" w:cs="Times New Roman"/>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Artículo 3.8. Remuneración de</w:t>
      </w:r>
      <w:r w:rsidR="00F7400D"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Administrador</w:t>
      </w:r>
      <w:r w:rsidR="00F7400D" w:rsidRPr="00506990">
        <w:rPr>
          <w:rFonts w:ascii="Times New Roman" w:hAnsi="Times New Roman" w:cs="Times New Roman"/>
          <w:b/>
          <w:bCs/>
          <w:iCs/>
          <w:color w:val="0D0D0D" w:themeColor="text1" w:themeTint="F2"/>
          <w:sz w:val="22"/>
          <w:szCs w:val="22"/>
          <w:lang w:val="es-AR"/>
        </w:rPr>
        <w:t>es</w:t>
      </w:r>
      <w:r w:rsidRPr="00506990">
        <w:rPr>
          <w:rFonts w:ascii="Times New Roman" w:hAnsi="Times New Roman" w:cs="Times New Roman"/>
          <w:b/>
          <w:bCs/>
          <w:iCs/>
          <w:color w:val="0D0D0D" w:themeColor="text1" w:themeTint="F2"/>
          <w:sz w:val="22"/>
          <w:szCs w:val="22"/>
          <w:lang w:val="es-AR"/>
        </w:rPr>
        <w:t xml:space="preserve"> y l</w:t>
      </w:r>
      <w:r w:rsidR="00F7400D"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Agente</w:t>
      </w:r>
      <w:r w:rsidR="00F7400D"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de Cobro y el Agente Recaudador.</w:t>
      </w:r>
      <w:r w:rsidRPr="00506990">
        <w:rPr>
          <w:rFonts w:ascii="Times New Roman" w:hAnsi="Times New Roman" w:cs="Times New Roman"/>
          <w:bCs/>
          <w:iCs/>
          <w:color w:val="0D0D0D" w:themeColor="text1" w:themeTint="F2"/>
          <w:sz w:val="22"/>
          <w:szCs w:val="22"/>
          <w:lang w:val="es-AR"/>
        </w:rPr>
        <w:t xml:space="preserve"> </w:t>
      </w:r>
      <w:r w:rsidR="00F7400D" w:rsidRPr="00506990">
        <w:rPr>
          <w:rFonts w:ascii="Times New Roman" w:hAnsi="Times New Roman" w:cs="Times New Roman"/>
          <w:bCs/>
          <w:iCs/>
          <w:color w:val="0D0D0D" w:themeColor="text1" w:themeTint="F2"/>
          <w:sz w:val="22"/>
          <w:szCs w:val="22"/>
          <w:lang w:val="es-AR"/>
        </w:rPr>
        <w:t>Los</w:t>
      </w:r>
      <w:r w:rsidRPr="00506990">
        <w:rPr>
          <w:rFonts w:ascii="Times New Roman" w:hAnsi="Times New Roman" w:cs="Times New Roman"/>
          <w:bCs/>
          <w:iCs/>
          <w:color w:val="0D0D0D" w:themeColor="text1" w:themeTint="F2"/>
          <w:sz w:val="22"/>
          <w:szCs w:val="22"/>
          <w:lang w:val="es-AR"/>
        </w:rPr>
        <w:t xml:space="preserv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tendrá derecho a cobrar por su gestión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de los Créditos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de </w:t>
      </w:r>
      <w:r w:rsidR="00D17C16" w:rsidRPr="00506990">
        <w:rPr>
          <w:rFonts w:ascii="Times New Roman" w:hAnsi="Times New Roman" w:cs="Times New Roman"/>
          <w:bCs/>
          <w:iCs/>
          <w:color w:val="0D0D0D" w:themeColor="text1" w:themeTint="F2"/>
          <w:sz w:val="22"/>
          <w:szCs w:val="22"/>
          <w:lang w:val="es-AR"/>
        </w:rPr>
        <w:t>los Créditos</w:t>
      </w:r>
      <w:r w:rsidRPr="00506990">
        <w:rPr>
          <w:rFonts w:ascii="Times New Roman" w:hAnsi="Times New Roman" w:cs="Times New Roman"/>
          <w:bCs/>
          <w:iCs/>
          <w:color w:val="0D0D0D" w:themeColor="text1" w:themeTint="F2"/>
          <w:sz w:val="22"/>
          <w:szCs w:val="22"/>
          <w:lang w:val="es-AR"/>
        </w:rPr>
        <w:t>, una comisión equivalente de hasta el 0,9% más IVA del flujo de fondos de la Cobranza percibida en forma mensual, pagadera dentro de los diez (10) Días Hábiles del mes calendario siguiente. No obstante, mientras la función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sea ejercida por Bazar Avenida S.A.</w:t>
      </w:r>
      <w:r w:rsidR="00F7400D" w:rsidRPr="00506990">
        <w:rPr>
          <w:rFonts w:ascii="Times New Roman" w:hAnsi="Times New Roman" w:cs="Times New Roman"/>
          <w:bCs/>
          <w:iCs/>
          <w:color w:val="0D0D0D" w:themeColor="text1" w:themeTint="F2"/>
          <w:sz w:val="22"/>
          <w:szCs w:val="22"/>
          <w:lang w:val="es-AR"/>
        </w:rPr>
        <w:t xml:space="preserve"> y Consumo S.A.</w:t>
      </w:r>
      <w:r w:rsidRPr="00506990">
        <w:rPr>
          <w:rFonts w:ascii="Times New Roman" w:hAnsi="Times New Roman" w:cs="Times New Roman"/>
          <w:bCs/>
          <w:iCs/>
          <w:color w:val="0D0D0D" w:themeColor="text1" w:themeTint="F2"/>
          <w:sz w:val="22"/>
          <w:szCs w:val="22"/>
          <w:lang w:val="es-AR"/>
        </w:rPr>
        <w:t xml:space="preserve"> ést</w:t>
      </w:r>
      <w:r w:rsidR="00F7400D"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renuncia</w:t>
      </w:r>
      <w:r w:rsidR="00F7400D" w:rsidRPr="00506990">
        <w:rPr>
          <w:rFonts w:ascii="Times New Roman" w:hAnsi="Times New Roman" w:cs="Times New Roman"/>
          <w:bCs/>
          <w:iCs/>
          <w:color w:val="0D0D0D" w:themeColor="text1" w:themeTint="F2"/>
          <w:sz w:val="22"/>
          <w:szCs w:val="22"/>
          <w:lang w:val="es-AR"/>
        </w:rPr>
        <w:t>n</w:t>
      </w:r>
      <w:r w:rsidRPr="00506990">
        <w:rPr>
          <w:rFonts w:ascii="Times New Roman" w:hAnsi="Times New Roman" w:cs="Times New Roman"/>
          <w:bCs/>
          <w:iCs/>
          <w:color w:val="0D0D0D" w:themeColor="text1" w:themeTint="F2"/>
          <w:sz w:val="22"/>
          <w:szCs w:val="22"/>
          <w:lang w:val="es-AR"/>
        </w:rPr>
        <w:t xml:space="preserve"> a su percepción. Por su parte TINSA S.A. en su carácter de Agente Recaudador percibirá una comisión del 1,2% de la Cobranza percibida, con un máximo de $ 30 (pesos treinta) por factura. No obstante, mientras la función de Administrador</w:t>
      </w:r>
      <w:r w:rsidR="00F7400D" w:rsidRPr="00506990">
        <w:rPr>
          <w:rFonts w:ascii="Times New Roman" w:hAnsi="Times New Roman" w:cs="Times New Roman"/>
          <w:bCs/>
          <w:iCs/>
          <w:color w:val="0D0D0D" w:themeColor="text1" w:themeTint="F2"/>
          <w:sz w:val="22"/>
          <w:szCs w:val="22"/>
          <w:lang w:val="es-AR"/>
        </w:rPr>
        <w:t>es</w:t>
      </w:r>
      <w:r w:rsidRPr="00506990">
        <w:rPr>
          <w:rFonts w:ascii="Times New Roman" w:hAnsi="Times New Roman" w:cs="Times New Roman"/>
          <w:bCs/>
          <w:iCs/>
          <w:color w:val="0D0D0D" w:themeColor="text1" w:themeTint="F2"/>
          <w:sz w:val="22"/>
          <w:szCs w:val="22"/>
          <w:lang w:val="es-AR"/>
        </w:rPr>
        <w:t xml:space="preserve"> y Agente</w:t>
      </w:r>
      <w:r w:rsidR="00F7400D"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de Cobro sea ejercida por Bazar Avenida S.A. </w:t>
      </w:r>
      <w:r w:rsidR="00F7400D" w:rsidRPr="00506990">
        <w:rPr>
          <w:rFonts w:ascii="Times New Roman" w:hAnsi="Times New Roman" w:cs="Times New Roman"/>
          <w:bCs/>
          <w:iCs/>
          <w:color w:val="0D0D0D" w:themeColor="text1" w:themeTint="F2"/>
          <w:sz w:val="22"/>
          <w:szCs w:val="22"/>
          <w:lang w:val="es-AR"/>
        </w:rPr>
        <w:t xml:space="preserve">y Consumo S.A. </w:t>
      </w:r>
      <w:r w:rsidRPr="00506990">
        <w:rPr>
          <w:rFonts w:ascii="Times New Roman" w:hAnsi="Times New Roman" w:cs="Times New Roman"/>
          <w:bCs/>
          <w:iCs/>
          <w:color w:val="0D0D0D" w:themeColor="text1" w:themeTint="F2"/>
          <w:sz w:val="22"/>
          <w:szCs w:val="22"/>
          <w:lang w:val="es-AR"/>
        </w:rPr>
        <w:t>la comisión será afrontada por l</w:t>
      </w:r>
      <w:r w:rsidR="006E36BA" w:rsidRPr="00506990">
        <w:rPr>
          <w:rFonts w:ascii="Times New Roman" w:hAnsi="Times New Roman" w:cs="Times New Roman"/>
          <w:bCs/>
          <w:iCs/>
          <w:color w:val="0D0D0D" w:themeColor="text1" w:themeTint="F2"/>
          <w:sz w:val="22"/>
          <w:szCs w:val="22"/>
          <w:lang w:val="es-AR"/>
        </w:rPr>
        <w:t>os</w:t>
      </w:r>
      <w:r w:rsidRPr="00506990">
        <w:rPr>
          <w:rFonts w:ascii="Times New Roman" w:hAnsi="Times New Roman" w:cs="Times New Roman"/>
          <w:bCs/>
          <w:iCs/>
          <w:color w:val="0D0D0D" w:themeColor="text1" w:themeTint="F2"/>
          <w:sz w:val="22"/>
          <w:szCs w:val="22"/>
          <w:lang w:val="es-AR"/>
        </w:rPr>
        <w:t xml:space="preserve"> Fiduciante</w:t>
      </w:r>
      <w:r w:rsidR="006E36BA" w:rsidRPr="00506990">
        <w:rPr>
          <w:rFonts w:ascii="Times New Roman" w:hAnsi="Times New Roman" w:cs="Times New Roman"/>
          <w:bCs/>
          <w:iCs/>
          <w:color w:val="0D0D0D" w:themeColor="text1" w:themeTint="F2"/>
          <w:sz w:val="22"/>
          <w:szCs w:val="22"/>
          <w:lang w:val="es-AR"/>
        </w:rPr>
        <w:t>s</w:t>
      </w:r>
      <w:r w:rsidRPr="00506990">
        <w:rPr>
          <w:rFonts w:ascii="Times New Roman" w:hAnsi="Times New Roman" w:cs="Times New Roman"/>
          <w:bCs/>
          <w:iCs/>
          <w:color w:val="0D0D0D" w:themeColor="text1" w:themeTint="F2"/>
          <w:sz w:val="22"/>
          <w:szCs w:val="22"/>
          <w:lang w:val="es-AR"/>
        </w:rPr>
        <w:t xml:space="preserve"> y por lo tanto no afectará los recursos del Fideicomiso.</w:t>
      </w:r>
    </w:p>
    <w:p w14:paraId="2CF0EEB0" w14:textId="77777777" w:rsidR="0050339C" w:rsidRPr="00506990" w:rsidRDefault="0050339C" w:rsidP="0050339C">
      <w:pPr>
        <w:widowControl w:val="0"/>
        <w:suppressLineNumbers/>
        <w:suppressAutoHyphens/>
        <w:spacing w:line="240" w:lineRule="atLeast"/>
        <w:rPr>
          <w:rFonts w:ascii="Times New Roman" w:hAnsi="Times New Roman" w:cs="Times New Roman"/>
          <w:bCs/>
          <w:iCs/>
          <w:color w:val="0D0D0D" w:themeColor="text1" w:themeTint="F2"/>
          <w:sz w:val="22"/>
          <w:szCs w:val="22"/>
          <w:lang w:val="es-AR"/>
        </w:rPr>
      </w:pPr>
    </w:p>
    <w:p w14:paraId="3201A92F" w14:textId="7A0EE4B1"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3.9. Revocación de</w:t>
      </w:r>
      <w:r w:rsidR="00F7400D"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F7400D"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F7400D"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w:t>
      </w:r>
      <w:r w:rsidRPr="00506990">
        <w:rPr>
          <w:rFonts w:ascii="Times New Roman" w:hAnsi="Times New Roman" w:cs="Times New Roman"/>
          <w:b/>
          <w:bCs/>
          <w:iCs/>
          <w:color w:val="0D0D0D" w:themeColor="text1" w:themeTint="F2"/>
          <w:sz w:val="22"/>
          <w:szCs w:val="22"/>
          <w:lang w:val="es-AR"/>
        </w:rPr>
        <w:t>y el Agente Recaudador</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El Fiduciario podrá, revocar la designación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del Agente Recaudador, sin que ello otorgue derecho a indemnización alguna, cuando ocurra cualquiera de estos hechos: (a) existan irregularidades en las funciones de recaudación y cobranza de los Créditos o la Cobranza no sea depositada en modo, tiempo y lugar de acuerdo a lo pactado en el presente Contrato la Cobranza de los Créditos fideicomitidos por parte del Agente Recaudador y/o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según corresponda; (b) cualquiera de ellos modificare fundamentalmente su objeto social y ello implicaré la imposibilidad de continuar las tareas encomendadas por éste Contrato; (c) no brindaren al Fiduciario la información correspondiente y necesaria, en el tiempo acordado en el presente Contrato, que impida y/o dificulte al Fiduciario cumplir con la carga informativa que le es propia frente a los Beneficiarios; (d) no otorgaren en tiempo oportuno los actos públicos y/o privados que le fueran requeridos por el Fiduciario para cumplir con la finalidad del Fideicomiso; (e) fuera decretado un embargo, inhibición, o cualquier otra medida cautelar por un monto acumulado superior al veinte por ciento (20%) del </w:t>
      </w:r>
      <w:r w:rsidR="00BA3CC4" w:rsidRPr="00506990">
        <w:rPr>
          <w:rFonts w:ascii="Times New Roman" w:hAnsi="Times New Roman" w:cs="Times New Roman"/>
          <w:iCs/>
          <w:color w:val="0D0D0D" w:themeColor="text1" w:themeTint="F2"/>
          <w:sz w:val="22"/>
          <w:szCs w:val="22"/>
        </w:rPr>
        <w:t>V</w:t>
      </w:r>
      <w:r w:rsidRPr="00506990">
        <w:rPr>
          <w:rFonts w:ascii="Times New Roman" w:hAnsi="Times New Roman" w:cs="Times New Roman"/>
          <w:iCs/>
          <w:color w:val="0D0D0D" w:themeColor="text1" w:themeTint="F2"/>
          <w:sz w:val="22"/>
          <w:szCs w:val="22"/>
        </w:rPr>
        <w:t xml:space="preserve">alor </w:t>
      </w:r>
      <w:r w:rsidR="00BA3CC4" w:rsidRPr="00506990">
        <w:rPr>
          <w:rFonts w:ascii="Times New Roman" w:hAnsi="Times New Roman" w:cs="Times New Roman"/>
          <w:iCs/>
          <w:color w:val="0D0D0D" w:themeColor="text1" w:themeTint="F2"/>
          <w:sz w:val="22"/>
          <w:szCs w:val="22"/>
        </w:rPr>
        <w:t xml:space="preserve">Fideicomitido </w:t>
      </w:r>
      <w:r w:rsidRPr="00506990">
        <w:rPr>
          <w:rFonts w:ascii="Times New Roman" w:hAnsi="Times New Roman" w:cs="Times New Roman"/>
          <w:iCs/>
          <w:color w:val="0D0D0D" w:themeColor="text1" w:themeTint="F2"/>
          <w:sz w:val="22"/>
          <w:szCs w:val="22"/>
        </w:rPr>
        <w:t>de los Créditos, y dichas medidas cautelares o definitivas no fueran levantadas en el plazo de diez (10) Días Hábiles; (f) fuera solicitada la quiebra de cualquiera de ellos, y la misma no fuera desistida, rechazada o levantada en el término de diez (10) Días Hábiles de ser notificado; (g) cualquiera de ellos fuera declarado en quiebra; (h) les fuera protestada por falta de pago o intimado el pago de una letra de cambio, pagaré o factura de crédito, o si le fueren rechazados cheques por falta de fondos, y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de los Créditos o el Agente Recaudador según corresponda no pagara las sumas adeudadas en el plazo de  cinco (5) Días Hábiles; (i) cualquiera de ellos figurare en la Central de Riesgo del BCRA en situación irregular (clasificaciones 4 o 5); (j) En su caso, la Calificadora de Riesgo emitiera una nota o dictamen u opinión desfavorable sobre la actuación de</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o sobre  el Agente Recaudador y/o redujeran la calificación de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como consecuencia de la actuación de los mismos; (k) La CNV o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4A686B"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xml:space="preserve"> emitieran una nota, dictamen, resolución u opinión desfavorable sobre la actuación de cualquiera de ellos, o sugirieran o solicitaran el cambio de alguno de ellos. </w:t>
      </w:r>
      <w:r w:rsidR="00F7400D"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el Agente Recaudador, se obligan a informar al Fiduciario, en forma fehaciente, a más tardar el Día Hábil siguiente al de haber tomado conocimiento por cualquier medio, el acaecimiento de cualquiera de las situaciones antes detalladas. El incumplimiento de esta obligación dará inmediato derecho al Fiduciario de removerlos  y designar a uno nuevo en su reemplazo, excepto que acredite en forma fehaciente que tales causales han cesado de existir. </w:t>
      </w:r>
    </w:p>
    <w:p w14:paraId="04C44259" w14:textId="28686405"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No obstante lo establecido en el párrafo anterior, el Fiduciario se reserva el derecho de remover a</w:t>
      </w:r>
      <w:r w:rsidR="00F7400D"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y/o el Agente Recaudador en cualquier momento,  sin invocación de causa y sin derecho a indemnización alguna. Sin perjuicio de ello,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de los Créditos y el Agente Recaudador deberán prestar su mayor colaboración para que dicha función sea debidamente asumida y llevada a cabo por la/s entidad/es que fueran designadas en su reemplazo.</w:t>
      </w:r>
    </w:p>
    <w:p w14:paraId="783214BD"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p>
    <w:p w14:paraId="345290A5" w14:textId="47D1E843"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Artículo 3.10. Sustitución de</w:t>
      </w:r>
      <w:r w:rsidR="00F7400D"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l</w:t>
      </w:r>
      <w:r w:rsidR="00F7400D" w:rsidRPr="00506990">
        <w:rPr>
          <w:rFonts w:ascii="Times New Roman" w:hAnsi="Times New Roman" w:cs="Times New Roman"/>
          <w:b/>
          <w:iCs/>
          <w:color w:val="0D0D0D" w:themeColor="text1" w:themeTint="F2"/>
          <w:sz w:val="22"/>
          <w:szCs w:val="22"/>
          <w:lang w:val="es-AR"/>
        </w:rPr>
        <w:t>os</w:t>
      </w:r>
      <w:r w:rsidRPr="00506990">
        <w:rPr>
          <w:rFonts w:ascii="Times New Roman" w:hAnsi="Times New Roman" w:cs="Times New Roman"/>
          <w:b/>
          <w:iCs/>
          <w:color w:val="0D0D0D" w:themeColor="text1" w:themeTint="F2"/>
          <w:sz w:val="22"/>
          <w:szCs w:val="22"/>
          <w:lang w:val="es-AR"/>
        </w:rPr>
        <w:t xml:space="preserve"> Administrador</w:t>
      </w:r>
      <w:r w:rsidR="00F7400D" w:rsidRPr="00506990">
        <w:rPr>
          <w:rFonts w:ascii="Times New Roman" w:hAnsi="Times New Roman" w:cs="Times New Roman"/>
          <w:b/>
          <w:iCs/>
          <w:color w:val="0D0D0D" w:themeColor="text1" w:themeTint="F2"/>
          <w:sz w:val="22"/>
          <w:szCs w:val="22"/>
          <w:lang w:val="es-AR"/>
        </w:rPr>
        <w:t>es</w:t>
      </w:r>
      <w:r w:rsidRPr="00506990">
        <w:rPr>
          <w:rFonts w:ascii="Times New Roman" w:hAnsi="Times New Roman" w:cs="Times New Roman"/>
          <w:b/>
          <w:iCs/>
          <w:color w:val="0D0D0D" w:themeColor="text1" w:themeTint="F2"/>
          <w:sz w:val="22"/>
          <w:szCs w:val="22"/>
          <w:lang w:val="es-AR"/>
        </w:rPr>
        <w:t xml:space="preserve"> y Agente</w:t>
      </w:r>
      <w:r w:rsidR="00F7400D" w:rsidRPr="00506990">
        <w:rPr>
          <w:rFonts w:ascii="Times New Roman" w:hAnsi="Times New Roman" w:cs="Times New Roman"/>
          <w:b/>
          <w:iCs/>
          <w:color w:val="0D0D0D" w:themeColor="text1" w:themeTint="F2"/>
          <w:sz w:val="22"/>
          <w:szCs w:val="22"/>
          <w:lang w:val="es-AR"/>
        </w:rPr>
        <w:t>s</w:t>
      </w:r>
      <w:r w:rsidRPr="00506990">
        <w:rPr>
          <w:rFonts w:ascii="Times New Roman" w:hAnsi="Times New Roman" w:cs="Times New Roman"/>
          <w:b/>
          <w:iCs/>
          <w:color w:val="0D0D0D" w:themeColor="text1" w:themeTint="F2"/>
          <w:sz w:val="22"/>
          <w:szCs w:val="22"/>
          <w:lang w:val="es-AR"/>
        </w:rPr>
        <w:t xml:space="preserve"> de Cobro de los Créditos</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b/>
          <w:iCs/>
          <w:color w:val="0D0D0D" w:themeColor="text1" w:themeTint="F2"/>
          <w:sz w:val="22"/>
          <w:szCs w:val="22"/>
        </w:rPr>
        <w:t>y del Agente Recaudador</w:t>
      </w:r>
      <w:r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En cualquier supuesto en el cual el Fiduciario deba reemplazar al</w:t>
      </w:r>
      <w:r w:rsidR="00F7400D" w:rsidRPr="00506990">
        <w:rPr>
          <w:rFonts w:ascii="Times New Roman" w:hAnsi="Times New Roman" w:cs="Times New Roman"/>
          <w:iCs/>
          <w:color w:val="0D0D0D" w:themeColor="text1" w:themeTint="F2"/>
          <w:sz w:val="22"/>
          <w:szCs w:val="22"/>
          <w:lang w:val="es-AR"/>
        </w:rPr>
        <w:t>/a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w:t>
      </w:r>
      <w:r w:rsidRPr="00506990">
        <w:rPr>
          <w:rFonts w:ascii="Times New Roman" w:hAnsi="Times New Roman" w:cs="Times New Roman"/>
          <w:iCs/>
          <w:color w:val="0D0D0D" w:themeColor="text1" w:themeTint="F2"/>
          <w:sz w:val="22"/>
          <w:szCs w:val="22"/>
        </w:rPr>
        <w:t xml:space="preserve"> el Agente Recaudador</w:t>
      </w:r>
      <w:r w:rsidRPr="00506990">
        <w:rPr>
          <w:rFonts w:ascii="Times New Roman" w:hAnsi="Times New Roman" w:cs="Times New Roman"/>
          <w:iCs/>
          <w:color w:val="0D0D0D" w:themeColor="text1" w:themeTint="F2"/>
          <w:sz w:val="22"/>
          <w:szCs w:val="22"/>
          <w:lang w:val="es-AR"/>
        </w:rPr>
        <w:t>, designará un nuevo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 </w:t>
      </w:r>
      <w:r w:rsidRPr="00506990">
        <w:rPr>
          <w:rFonts w:ascii="Times New Roman" w:hAnsi="Times New Roman" w:cs="Times New Roman"/>
          <w:iCs/>
          <w:color w:val="0D0D0D" w:themeColor="text1" w:themeTint="F2"/>
          <w:sz w:val="22"/>
          <w:szCs w:val="22"/>
        </w:rPr>
        <w:t>un nuevo Agente Recaudador</w:t>
      </w:r>
      <w:r w:rsidRPr="00506990">
        <w:rPr>
          <w:rFonts w:ascii="Times New Roman" w:hAnsi="Times New Roman" w:cs="Times New Roman"/>
          <w:iCs/>
          <w:color w:val="0D0D0D" w:themeColor="text1" w:themeTint="F2"/>
          <w:sz w:val="22"/>
          <w:szCs w:val="22"/>
          <w:lang w:val="es-AR"/>
        </w:rPr>
        <w:t xml:space="preserve"> según corresponda de entre por lo menos tres (3) entidades que hubieran sido listados a tal fin, ponderando para la elección la experiencia acreditada, la capacidad de gestión y la retribución pretendida que en caso de exceder la indicada en el artículo 3.8 deberá percibir una retribución de mercado conforme surja por compulsa entre por lo menos dos entidades de reconocido prestigio y experiencia en la materia. Todos los gastos relativos a la sustitución del</w:t>
      </w:r>
      <w:r w:rsidR="00F7400D" w:rsidRPr="00506990">
        <w:rPr>
          <w:rFonts w:ascii="Times New Roman" w:hAnsi="Times New Roman" w:cs="Times New Roman"/>
          <w:iCs/>
          <w:color w:val="0D0D0D" w:themeColor="text1" w:themeTint="F2"/>
          <w:sz w:val="22"/>
          <w:szCs w:val="22"/>
          <w:lang w:val="es-AR"/>
        </w:rPr>
        <w:t>/de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w:t>
      </w:r>
      <w:r w:rsidRPr="00506990">
        <w:rPr>
          <w:rFonts w:ascii="Times New Roman" w:hAnsi="Times New Roman" w:cs="Times New Roman"/>
          <w:iCs/>
          <w:color w:val="0D0D0D" w:themeColor="text1" w:themeTint="F2"/>
          <w:sz w:val="22"/>
          <w:szCs w:val="22"/>
        </w:rPr>
        <w:t xml:space="preserve"> del Agente Recaudador</w:t>
      </w:r>
      <w:r w:rsidRPr="00506990">
        <w:rPr>
          <w:rFonts w:ascii="Times New Roman" w:hAnsi="Times New Roman" w:cs="Times New Roman"/>
          <w:iCs/>
          <w:color w:val="0D0D0D" w:themeColor="text1" w:themeTint="F2"/>
          <w:sz w:val="22"/>
          <w:szCs w:val="22"/>
          <w:lang w:val="es-AR"/>
        </w:rPr>
        <w:t>, incluyendo la notificación a los deudores y los Agentes Externos de Recaudación serán con cargo al Fideicomiso, salvo culpa, dolo o renuncia intempestiva del</w:t>
      </w:r>
      <w:r w:rsidR="00F7400D" w:rsidRPr="00506990">
        <w:rPr>
          <w:rFonts w:ascii="Times New Roman" w:hAnsi="Times New Roman" w:cs="Times New Roman"/>
          <w:iCs/>
          <w:color w:val="0D0D0D" w:themeColor="text1" w:themeTint="F2"/>
          <w:sz w:val="22"/>
          <w:szCs w:val="22"/>
          <w:lang w:val="es-AR"/>
        </w:rPr>
        <w:t>/de los</w:t>
      </w:r>
      <w:r w:rsidRPr="00506990">
        <w:rPr>
          <w:rFonts w:ascii="Times New Roman" w:hAnsi="Times New Roman" w:cs="Times New Roman"/>
          <w:iCs/>
          <w:color w:val="0D0D0D" w:themeColor="text1" w:themeTint="F2"/>
          <w:sz w:val="22"/>
          <w:szCs w:val="22"/>
          <w:lang w:val="es-AR"/>
        </w:rPr>
        <w:t xml:space="preserve"> Administrador</w:t>
      </w:r>
      <w:r w:rsidR="00F7400D"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o del Agente Recaudador. El administrador sustituto de los Créditos o la entidad que sea designada en carácter de agente recaudador sustituto adoptará todos los medios que, a criterio del Fiduciario, sean necesario para la notificación fehaciente a los deudores, ya sea mediante el envío de cartas documento, notificación a los deudores mediante publicación en la AIF y, durante cinco (5) Días Hábiles de avisos en los sistemas de información de los mercados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emitidos bajo el presente Fideicomiso Financiero o publicaciones en diarios de gran circulación.  El administrador sustituto de los Créditos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lang w:val="es-AR"/>
        </w:rPr>
        <w:t>o la entidad que sea designada en carácter de agente recaudador sustituto, al asumir su rol, deberá cumplir con todas las obligaciones y ejercer todos los derechos establecidos por la sola virtualidad de este Contrato respecto de</w:t>
      </w:r>
      <w:r w:rsidR="006E2BC0"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2BC0"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Administrador</w:t>
      </w:r>
      <w:r w:rsidR="006E2BC0" w:rsidRPr="00506990">
        <w:rPr>
          <w:rFonts w:ascii="Times New Roman" w:hAnsi="Times New Roman" w:cs="Times New Roman"/>
          <w:iCs/>
          <w:color w:val="0D0D0D" w:themeColor="text1" w:themeTint="F2"/>
          <w:sz w:val="22"/>
          <w:szCs w:val="22"/>
          <w:lang w:val="es-AR"/>
        </w:rPr>
        <w:t>es</w:t>
      </w:r>
      <w:r w:rsidRPr="00506990">
        <w:rPr>
          <w:rFonts w:ascii="Times New Roman" w:hAnsi="Times New Roman" w:cs="Times New Roman"/>
          <w:iCs/>
          <w:color w:val="0D0D0D" w:themeColor="text1" w:themeTint="F2"/>
          <w:sz w:val="22"/>
          <w:szCs w:val="22"/>
          <w:lang w:val="es-AR"/>
        </w:rPr>
        <w:t xml:space="preserve"> y Agente</w:t>
      </w:r>
      <w:r w:rsidR="006E2BC0"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de Cobro de los Créditos y deberá contar con capacidad de gestión y organización administrativa propia y adecuada para prestar el respectivo servicio y deberá </w:t>
      </w:r>
      <w:r w:rsidRPr="00506990">
        <w:rPr>
          <w:rFonts w:ascii="Times New Roman" w:hAnsi="Times New Roman" w:cs="Times New Roman"/>
          <w:bCs/>
          <w:iCs/>
          <w:color w:val="0D0D0D" w:themeColor="text1" w:themeTint="F2"/>
          <w:sz w:val="22"/>
          <w:szCs w:val="22"/>
          <w:lang w:val="es-AR"/>
        </w:rPr>
        <w:t>informar de inmediato al Fiduciario, en su caso, cualquier hecho relevante que afecte o pudiera afectar el ejercicio de las funciones que le corresponden en virtud del presente Contrato.</w:t>
      </w:r>
    </w:p>
    <w:p w14:paraId="5E83D8B1" w14:textId="77777777" w:rsidR="0050339C" w:rsidRPr="00506990" w:rsidRDefault="0050339C" w:rsidP="0050339C">
      <w:pPr>
        <w:widowControl w:val="0"/>
        <w:tabs>
          <w:tab w:val="left" w:pos="2552"/>
          <w:tab w:val="left" w:pos="7088"/>
        </w:tabs>
        <w:suppressAutoHyphens/>
        <w:rPr>
          <w:rFonts w:ascii="Times New Roman" w:hAnsi="Times New Roman" w:cs="Times New Roman"/>
          <w:iCs/>
          <w:color w:val="0D0D0D" w:themeColor="text1" w:themeTint="F2"/>
          <w:sz w:val="22"/>
          <w:szCs w:val="22"/>
        </w:rPr>
      </w:pPr>
    </w:p>
    <w:p w14:paraId="040FD517" w14:textId="00331CA9" w:rsidR="0050339C" w:rsidRPr="00506990" w:rsidRDefault="0050339C" w:rsidP="0050339C">
      <w:pPr>
        <w:rPr>
          <w:rFonts w:ascii="Times New Roman" w:eastAsia="Arial Unicode MS"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3.11. Declaración especial de</w:t>
      </w:r>
      <w:r w:rsidR="006E2BC0"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6E2BC0"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6E2BC0"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6E2BC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r w:rsidRPr="0098446E">
        <w:rPr>
          <w:rFonts w:ascii="Times New Roman" w:hAnsi="Times New Roman" w:cs="Times New Roman"/>
          <w:bCs/>
          <w:iCs/>
          <w:color w:val="0D0D0D" w:themeColor="text1" w:themeTint="F2"/>
          <w:sz w:val="22"/>
          <w:szCs w:val="22"/>
          <w:lang w:val="es-AR"/>
        </w:rPr>
        <w:t xml:space="preserve">. </w:t>
      </w:r>
      <w:r w:rsidR="006E2BC0" w:rsidRPr="0098446E">
        <w:rPr>
          <w:rFonts w:ascii="Times New Roman" w:hAnsi="Times New Roman" w:cs="Times New Roman"/>
          <w:bCs/>
          <w:iCs/>
          <w:color w:val="0D0D0D" w:themeColor="text1" w:themeTint="F2"/>
          <w:sz w:val="22"/>
          <w:szCs w:val="22"/>
          <w:lang w:val="es-AR"/>
        </w:rPr>
        <w:t>Los</w:t>
      </w:r>
      <w:r w:rsidRPr="0098446E">
        <w:rPr>
          <w:rFonts w:ascii="Times New Roman" w:hAnsi="Times New Roman" w:cs="Times New Roman"/>
          <w:bCs/>
          <w:iCs/>
          <w:color w:val="0D0D0D" w:themeColor="text1" w:themeTint="F2"/>
          <w:sz w:val="22"/>
          <w:szCs w:val="22"/>
          <w:lang w:val="es-AR"/>
        </w:rPr>
        <w:t xml:space="preserve">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declara</w:t>
      </w:r>
      <w:r w:rsidR="006E2BC0"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y reconoce</w:t>
      </w:r>
      <w:r w:rsidR="00463985"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como condición esencial de este Contrato Suplementario en lo que a esta Sección refiere tanto respecto de sus funciones como de las que asume el Agente Recaudador, que (a) la función que se reserva como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de los Créditos y las que asume el Agente Recaudador deben ser cumplida con escrupulosidad, y con la diligencia del buen hombre de negocios que obra en base a la confianza depositada en ellos por parte del Fiduciario y los Beneficiarios; (b) que el incumplimiento de las obligaciones inherentes a la funciones asignadas pueden causar perjuicios graves e irreparables a los Beneficiarios, y al mercado de capitales y el público inversor en su conjunto; (c) que la retención o desviación de los fondos provenientes de la Cobranza constituye el delito de administración fraudulenta (art. 173 inc. 6 del Código Penal), consideraciones todas estas que justifican las facultades reconocidas al Fiduciario en los artículos siguientes, en miras al cumplimiento del objeto de este Fideicomiso y el interés de los Beneficiarios; (d) que l</w:t>
      </w:r>
      <w:r w:rsidR="006E2BC0" w:rsidRPr="0098446E">
        <w:rPr>
          <w:rFonts w:ascii="Times New Roman" w:hAnsi="Times New Roman" w:cs="Times New Roman"/>
          <w:bCs/>
          <w:iCs/>
          <w:color w:val="0D0D0D" w:themeColor="text1" w:themeTint="F2"/>
          <w:sz w:val="22"/>
          <w:szCs w:val="22"/>
          <w:lang w:val="es-AR"/>
        </w:rPr>
        <w:t>os</w:t>
      </w:r>
      <w:r w:rsidRPr="0098446E">
        <w:rPr>
          <w:rFonts w:ascii="Times New Roman" w:hAnsi="Times New Roman" w:cs="Times New Roman"/>
          <w:bCs/>
          <w:iCs/>
          <w:color w:val="0D0D0D" w:themeColor="text1" w:themeTint="F2"/>
          <w:sz w:val="22"/>
          <w:szCs w:val="22"/>
          <w:lang w:val="es-AR"/>
        </w:rPr>
        <w:t xml:space="preserve"> Administrador</w:t>
      </w:r>
      <w:r w:rsidR="006E2BC0" w:rsidRPr="0098446E">
        <w:rPr>
          <w:rFonts w:ascii="Times New Roman" w:hAnsi="Times New Roman" w:cs="Times New Roman"/>
          <w:bCs/>
          <w:iCs/>
          <w:color w:val="0D0D0D" w:themeColor="text1" w:themeTint="F2"/>
          <w:sz w:val="22"/>
          <w:szCs w:val="22"/>
          <w:lang w:val="es-AR"/>
        </w:rPr>
        <w:t>es</w:t>
      </w:r>
      <w:r w:rsidRPr="0098446E">
        <w:rPr>
          <w:rFonts w:ascii="Times New Roman" w:hAnsi="Times New Roman" w:cs="Times New Roman"/>
          <w:bCs/>
          <w:iCs/>
          <w:color w:val="0D0D0D" w:themeColor="text1" w:themeTint="F2"/>
          <w:sz w:val="22"/>
          <w:szCs w:val="22"/>
          <w:lang w:val="es-AR"/>
        </w:rPr>
        <w:t xml:space="preserve"> y Agente</w:t>
      </w:r>
      <w:r w:rsidR="006E2BC0" w:rsidRPr="0098446E">
        <w:rPr>
          <w:rFonts w:ascii="Times New Roman" w:hAnsi="Times New Roman" w:cs="Times New Roman"/>
          <w:bCs/>
          <w:iCs/>
          <w:color w:val="0D0D0D" w:themeColor="text1" w:themeTint="F2"/>
          <w:sz w:val="22"/>
          <w:szCs w:val="22"/>
          <w:lang w:val="es-AR"/>
        </w:rPr>
        <w:t>s</w:t>
      </w:r>
      <w:r w:rsidRPr="0098446E">
        <w:rPr>
          <w:rFonts w:ascii="Times New Roman" w:hAnsi="Times New Roman" w:cs="Times New Roman"/>
          <w:bCs/>
          <w:iCs/>
          <w:color w:val="0D0D0D" w:themeColor="text1" w:themeTint="F2"/>
          <w:sz w:val="22"/>
          <w:szCs w:val="22"/>
          <w:lang w:val="es-AR"/>
        </w:rPr>
        <w:t xml:space="preserve"> de Cobro se encuentra</w:t>
      </w:r>
      <w:r w:rsidR="006E2BC0" w:rsidRPr="0098446E">
        <w:rPr>
          <w:rFonts w:ascii="Times New Roman" w:hAnsi="Times New Roman" w:cs="Times New Roman"/>
          <w:bCs/>
          <w:iCs/>
          <w:color w:val="0D0D0D" w:themeColor="text1" w:themeTint="F2"/>
          <w:sz w:val="22"/>
          <w:szCs w:val="22"/>
          <w:lang w:val="es-AR"/>
        </w:rPr>
        <w:t>n</w:t>
      </w:r>
      <w:r w:rsidRPr="0098446E">
        <w:rPr>
          <w:rFonts w:ascii="Times New Roman" w:hAnsi="Times New Roman" w:cs="Times New Roman"/>
          <w:bCs/>
          <w:iCs/>
          <w:color w:val="0D0D0D" w:themeColor="text1" w:themeTint="F2"/>
          <w:sz w:val="22"/>
          <w:szCs w:val="22"/>
          <w:lang w:val="es-AR"/>
        </w:rPr>
        <w:t xml:space="preserve"> en concurso preventivo, </w:t>
      </w:r>
      <w:r w:rsidR="006E2BC0" w:rsidRPr="0098446E">
        <w:rPr>
          <w:rFonts w:ascii="Times New Roman" w:hAnsi="Times New Roman" w:cs="Times New Roman"/>
          <w:bCs/>
          <w:iCs/>
          <w:color w:val="0D0D0D" w:themeColor="text1" w:themeTint="F2"/>
          <w:sz w:val="22"/>
          <w:szCs w:val="22"/>
          <w:lang w:val="es-AR"/>
        </w:rPr>
        <w:t xml:space="preserve">Bazar Avenida S.A. </w:t>
      </w:r>
      <w:r w:rsidRPr="0098446E">
        <w:rPr>
          <w:rFonts w:ascii="Times New Roman" w:hAnsi="Times New Roman" w:cs="Times New Roman"/>
          <w:bCs/>
          <w:iCs/>
          <w:color w:val="0D0D0D" w:themeColor="text1" w:themeTint="F2"/>
          <w:sz w:val="22"/>
          <w:szCs w:val="22"/>
          <w:lang w:val="es-AR"/>
        </w:rPr>
        <w:t xml:space="preserve">con acuerdo concursal homologado mediante resolución judicial N° 549 del 26/08/2016 y no registra atrasos en el pago del mismo. Con fecha 7 de octubre de 2013 mediante Resolución Judicial Nro. 73.6 se dispuso el levantamiento de la inhibición general de bienes trabada sobre el patrimonio de la sociedad. </w:t>
      </w:r>
      <w:r w:rsidR="006E2BC0" w:rsidRPr="0098446E">
        <w:rPr>
          <w:rFonts w:ascii="Times New Roman" w:hAnsi="Times New Roman" w:cs="Times New Roman"/>
          <w:bCs/>
          <w:iCs/>
          <w:color w:val="0D0D0D" w:themeColor="text1" w:themeTint="F2"/>
          <w:sz w:val="22"/>
          <w:szCs w:val="22"/>
          <w:lang w:val="es-AR"/>
        </w:rPr>
        <w:t xml:space="preserve">Respecto </w:t>
      </w:r>
      <w:r w:rsidR="00463985" w:rsidRPr="0098446E">
        <w:rPr>
          <w:rFonts w:ascii="Times New Roman" w:hAnsi="Times New Roman" w:cs="Times New Roman"/>
          <w:bCs/>
          <w:iCs/>
          <w:color w:val="0D0D0D" w:themeColor="text1" w:themeTint="F2"/>
          <w:sz w:val="22"/>
          <w:szCs w:val="22"/>
          <w:lang w:val="es-AR"/>
        </w:rPr>
        <w:t>d</w:t>
      </w:r>
      <w:r w:rsidR="006E2BC0" w:rsidRPr="0098446E">
        <w:rPr>
          <w:rFonts w:ascii="Times New Roman" w:hAnsi="Times New Roman" w:cs="Times New Roman"/>
          <w:bCs/>
          <w:iCs/>
          <w:color w:val="0D0D0D" w:themeColor="text1" w:themeTint="F2"/>
          <w:sz w:val="22"/>
          <w:szCs w:val="22"/>
          <w:lang w:val="es-AR"/>
        </w:rPr>
        <w:t xml:space="preserve">el concurso </w:t>
      </w:r>
      <w:r w:rsidR="00463985" w:rsidRPr="0098446E">
        <w:rPr>
          <w:rFonts w:ascii="Times New Roman" w:hAnsi="Times New Roman" w:cs="Times New Roman"/>
          <w:bCs/>
          <w:iCs/>
          <w:color w:val="0D0D0D" w:themeColor="text1" w:themeTint="F2"/>
          <w:sz w:val="22"/>
          <w:szCs w:val="22"/>
          <w:lang w:val="es-AR"/>
        </w:rPr>
        <w:t xml:space="preserve">de </w:t>
      </w:r>
      <w:r w:rsidR="006E2BC0" w:rsidRPr="0098446E">
        <w:rPr>
          <w:rFonts w:ascii="Times New Roman" w:hAnsi="Times New Roman" w:cs="Times New Roman"/>
          <w:bCs/>
          <w:iCs/>
          <w:color w:val="0D0D0D" w:themeColor="text1" w:themeTint="F2"/>
          <w:sz w:val="22"/>
          <w:szCs w:val="22"/>
          <w:lang w:val="es-AR"/>
        </w:rPr>
        <w:t xml:space="preserve">Consumo S.A., </w:t>
      </w:r>
      <w:r w:rsidR="00463985" w:rsidRPr="0098446E">
        <w:rPr>
          <w:rFonts w:ascii="Times New Roman" w:hAnsi="Times New Roman" w:cs="Times New Roman"/>
          <w:bCs/>
          <w:iCs/>
          <w:color w:val="0D0D0D" w:themeColor="text1" w:themeTint="F2"/>
          <w:sz w:val="22"/>
          <w:szCs w:val="22"/>
          <w:lang w:val="es-AR"/>
        </w:rPr>
        <w:t xml:space="preserve">el referido concurso fue iniciado en fecha 29 de diciembre de 2009, y con fecha 13 de mayo de 2013 se dictó resolución homologatoria de la propuesta de acuerdo preventivo oportunamente presentada y consentida por las mayorías </w:t>
      </w:r>
      <w:r w:rsidR="006E2BC0" w:rsidRPr="0098446E">
        <w:rPr>
          <w:rFonts w:ascii="Times New Roman" w:hAnsi="Times New Roman" w:cs="Times New Roman"/>
          <w:bCs/>
          <w:iCs/>
          <w:color w:val="0D0D0D" w:themeColor="text1" w:themeTint="F2"/>
          <w:sz w:val="22"/>
          <w:szCs w:val="22"/>
          <w:lang w:val="es-AR"/>
        </w:rPr>
        <w:t>y no registra atrasos en el pago del mismo</w:t>
      </w:r>
      <w:r w:rsidR="00FA1C54" w:rsidRPr="0098446E">
        <w:rPr>
          <w:rFonts w:ascii="Times New Roman" w:hAnsi="Times New Roman" w:cs="Times New Roman"/>
          <w:bCs/>
          <w:iCs/>
          <w:color w:val="0D0D0D" w:themeColor="text1" w:themeTint="F2"/>
          <w:sz w:val="22"/>
          <w:szCs w:val="22"/>
          <w:lang w:val="es-AR"/>
        </w:rPr>
        <w:t xml:space="preserve">. </w:t>
      </w:r>
      <w:r w:rsidR="00355608" w:rsidRPr="0098446E">
        <w:rPr>
          <w:rFonts w:ascii="Times New Roman" w:hAnsi="Times New Roman" w:cs="Times New Roman"/>
          <w:bCs/>
          <w:iCs/>
          <w:color w:val="0D0D0D" w:themeColor="text1" w:themeTint="F2"/>
          <w:sz w:val="22"/>
          <w:szCs w:val="22"/>
          <w:lang w:val="es-AR"/>
        </w:rPr>
        <w:t xml:space="preserve">Adicionalmente, con fecha 7 de octubre de 2013 (Resolución N°726, Folio 300 T.33), se dispuso el levantamiento de la inhibición general de bienes trabada sobre el patrimonio de la sociedad. La propuesta concursal </w:t>
      </w:r>
      <w:r w:rsidR="00FA1C54" w:rsidRPr="0098446E">
        <w:rPr>
          <w:rFonts w:ascii="Times New Roman" w:hAnsi="Times New Roman" w:cs="Times New Roman"/>
          <w:bCs/>
          <w:iCs/>
          <w:color w:val="0D0D0D" w:themeColor="text1" w:themeTint="F2"/>
          <w:sz w:val="22"/>
          <w:szCs w:val="22"/>
          <w:lang w:val="es-AR"/>
        </w:rPr>
        <w:t xml:space="preserve">de cada Fiduciante </w:t>
      </w:r>
      <w:r w:rsidR="00355608" w:rsidRPr="0098446E">
        <w:rPr>
          <w:rFonts w:ascii="Times New Roman" w:hAnsi="Times New Roman" w:cs="Times New Roman"/>
          <w:bCs/>
          <w:iCs/>
          <w:color w:val="0D0D0D" w:themeColor="text1" w:themeTint="F2"/>
          <w:sz w:val="22"/>
          <w:szCs w:val="22"/>
          <w:lang w:val="es-AR"/>
        </w:rPr>
        <w:t xml:space="preserve">no limita en general el derecho de los </w:t>
      </w:r>
      <w:r w:rsidR="00FA1C54" w:rsidRPr="0098446E">
        <w:rPr>
          <w:rFonts w:ascii="Times New Roman" w:hAnsi="Times New Roman" w:cs="Times New Roman"/>
          <w:bCs/>
          <w:iCs/>
          <w:color w:val="0D0D0D" w:themeColor="text1" w:themeTint="F2"/>
          <w:sz w:val="22"/>
          <w:szCs w:val="22"/>
          <w:lang w:val="es-AR"/>
        </w:rPr>
        <w:t xml:space="preserve">mismos </w:t>
      </w:r>
      <w:r w:rsidR="00355608" w:rsidRPr="0098446E">
        <w:rPr>
          <w:rFonts w:ascii="Times New Roman" w:hAnsi="Times New Roman" w:cs="Times New Roman"/>
          <w:bCs/>
          <w:iCs/>
          <w:color w:val="0D0D0D" w:themeColor="text1" w:themeTint="F2"/>
          <w:sz w:val="22"/>
          <w:szCs w:val="22"/>
          <w:lang w:val="es-AR"/>
        </w:rPr>
        <w:t xml:space="preserve">de disponer de activos no registrables como son los créditos que </w:t>
      </w:r>
      <w:r w:rsidR="00FA1C54" w:rsidRPr="0098446E">
        <w:rPr>
          <w:rFonts w:ascii="Times New Roman" w:hAnsi="Times New Roman" w:cs="Times New Roman"/>
          <w:bCs/>
          <w:iCs/>
          <w:color w:val="0D0D0D" w:themeColor="text1" w:themeTint="F2"/>
          <w:sz w:val="22"/>
          <w:szCs w:val="22"/>
          <w:lang w:val="es-AR"/>
        </w:rPr>
        <w:t xml:space="preserve">aquellos </w:t>
      </w:r>
      <w:r w:rsidR="00355608" w:rsidRPr="0098446E">
        <w:rPr>
          <w:rFonts w:ascii="Times New Roman" w:hAnsi="Times New Roman" w:cs="Times New Roman"/>
          <w:bCs/>
          <w:iCs/>
          <w:color w:val="0D0D0D" w:themeColor="text1" w:themeTint="F2"/>
          <w:sz w:val="22"/>
          <w:szCs w:val="22"/>
          <w:lang w:val="es-AR"/>
        </w:rPr>
        <w:t>origina</w:t>
      </w:r>
      <w:r w:rsidR="00FA1C54" w:rsidRPr="0098446E">
        <w:rPr>
          <w:rFonts w:ascii="Times New Roman" w:hAnsi="Times New Roman" w:cs="Times New Roman"/>
          <w:bCs/>
          <w:iCs/>
          <w:color w:val="0D0D0D" w:themeColor="text1" w:themeTint="F2"/>
          <w:sz w:val="22"/>
          <w:szCs w:val="22"/>
          <w:lang w:val="es-AR"/>
        </w:rPr>
        <w:t>n</w:t>
      </w:r>
      <w:r w:rsidR="00355608" w:rsidRPr="0098446E">
        <w:rPr>
          <w:rFonts w:ascii="Times New Roman" w:hAnsi="Times New Roman" w:cs="Times New Roman"/>
          <w:bCs/>
          <w:iCs/>
          <w:color w:val="0D0D0D" w:themeColor="text1" w:themeTint="F2"/>
          <w:sz w:val="22"/>
          <w:szCs w:val="22"/>
          <w:lang w:val="es-AR"/>
        </w:rPr>
        <w:t xml:space="preserve"> así como la administración de los mismos, debiendo para ello informar al </w:t>
      </w:r>
      <w:r w:rsidR="00FA1C54" w:rsidRPr="0098446E">
        <w:rPr>
          <w:rFonts w:ascii="Times New Roman" w:hAnsi="Times New Roman" w:cs="Times New Roman"/>
          <w:bCs/>
          <w:iCs/>
          <w:color w:val="0D0D0D" w:themeColor="text1" w:themeTint="F2"/>
          <w:sz w:val="22"/>
          <w:szCs w:val="22"/>
          <w:lang w:val="es-AR"/>
        </w:rPr>
        <w:t xml:space="preserve">respectivo </w:t>
      </w:r>
      <w:r w:rsidR="00355608" w:rsidRPr="0098446E">
        <w:rPr>
          <w:rFonts w:ascii="Times New Roman" w:hAnsi="Times New Roman" w:cs="Times New Roman"/>
          <w:bCs/>
          <w:iCs/>
          <w:color w:val="0D0D0D" w:themeColor="text1" w:themeTint="F2"/>
          <w:sz w:val="22"/>
          <w:szCs w:val="22"/>
          <w:lang w:val="es-AR"/>
        </w:rPr>
        <w:t>comité de acreedores</w:t>
      </w:r>
      <w:r w:rsidR="00FA1C54" w:rsidRPr="0098446E">
        <w:rPr>
          <w:rFonts w:ascii="Times New Roman" w:hAnsi="Times New Roman" w:cs="Times New Roman"/>
          <w:bCs/>
          <w:iCs/>
          <w:color w:val="0D0D0D" w:themeColor="text1" w:themeTint="F2"/>
          <w:sz w:val="22"/>
          <w:szCs w:val="22"/>
          <w:lang w:val="es-AR"/>
        </w:rPr>
        <w:t xml:space="preserve">. </w:t>
      </w:r>
      <w:r w:rsidR="00355608" w:rsidRPr="00506990">
        <w:rPr>
          <w:rFonts w:ascii="Times New Roman" w:hAnsi="Times New Roman" w:cs="Times New Roman"/>
          <w:iCs/>
          <w:color w:val="0D0D0D" w:themeColor="text1" w:themeTint="F2"/>
          <w:sz w:val="22"/>
          <w:szCs w:val="22"/>
        </w:rPr>
        <w:t xml:space="preserve">Con </w:t>
      </w:r>
      <w:r w:rsidR="00355608" w:rsidRPr="000579E7">
        <w:rPr>
          <w:rFonts w:ascii="Times New Roman" w:hAnsi="Times New Roman" w:cs="Times New Roman"/>
          <w:iCs/>
          <w:color w:val="0D0D0D" w:themeColor="text1" w:themeTint="F2"/>
          <w:sz w:val="22"/>
          <w:szCs w:val="22"/>
        </w:rPr>
        <w:t xml:space="preserve">fecha </w:t>
      </w:r>
      <w:r w:rsidR="00441662" w:rsidRPr="0098446E">
        <w:rPr>
          <w:rFonts w:ascii="Times New Roman" w:hAnsi="Times New Roman" w:cs="Times New Roman"/>
          <w:iCs/>
          <w:color w:val="0D0D0D" w:themeColor="text1" w:themeTint="F2"/>
          <w:sz w:val="22"/>
          <w:szCs w:val="22"/>
        </w:rPr>
        <w:t>27</w:t>
      </w:r>
      <w:r w:rsidR="00355608" w:rsidRPr="0098446E">
        <w:rPr>
          <w:rFonts w:ascii="Times New Roman" w:hAnsi="Times New Roman" w:cs="Times New Roman"/>
          <w:iCs/>
          <w:color w:val="0D0D0D" w:themeColor="text1" w:themeTint="F2"/>
          <w:sz w:val="22"/>
          <w:szCs w:val="22"/>
        </w:rPr>
        <w:t xml:space="preserve"> de </w:t>
      </w:r>
      <w:r w:rsidR="00441662">
        <w:rPr>
          <w:rFonts w:ascii="Times New Roman" w:hAnsi="Times New Roman" w:cs="Times New Roman"/>
          <w:iCs/>
          <w:color w:val="0D0D0D" w:themeColor="text1" w:themeTint="F2"/>
          <w:sz w:val="22"/>
          <w:szCs w:val="22"/>
        </w:rPr>
        <w:t>noviembre</w:t>
      </w:r>
      <w:r w:rsidR="00780DEA" w:rsidRPr="0098446E">
        <w:rPr>
          <w:rFonts w:ascii="Times New Roman" w:hAnsi="Times New Roman" w:cs="Times New Roman"/>
          <w:iCs/>
          <w:color w:val="0D0D0D" w:themeColor="text1" w:themeTint="F2"/>
          <w:sz w:val="22"/>
          <w:szCs w:val="22"/>
        </w:rPr>
        <w:t xml:space="preserve"> </w:t>
      </w:r>
      <w:r w:rsidR="00355608" w:rsidRPr="0098446E">
        <w:rPr>
          <w:rFonts w:ascii="Times New Roman" w:hAnsi="Times New Roman" w:cs="Times New Roman"/>
          <w:iCs/>
          <w:color w:val="0D0D0D" w:themeColor="text1" w:themeTint="F2"/>
          <w:sz w:val="22"/>
          <w:szCs w:val="22"/>
        </w:rPr>
        <w:t>de 2019</w:t>
      </w:r>
      <w:r w:rsidR="00355608" w:rsidRPr="00780DEA">
        <w:rPr>
          <w:rFonts w:ascii="Times New Roman" w:hAnsi="Times New Roman" w:cs="Times New Roman"/>
          <w:iCs/>
          <w:color w:val="0D0D0D" w:themeColor="text1" w:themeTint="F2"/>
          <w:sz w:val="22"/>
          <w:szCs w:val="22"/>
        </w:rPr>
        <w:t xml:space="preserve"> fue</w:t>
      </w:r>
      <w:r w:rsidR="00355608" w:rsidRPr="00506990">
        <w:rPr>
          <w:rFonts w:ascii="Times New Roman" w:hAnsi="Times New Roman" w:cs="Times New Roman"/>
          <w:iCs/>
          <w:color w:val="0D0D0D" w:themeColor="text1" w:themeTint="F2"/>
          <w:sz w:val="22"/>
          <w:szCs w:val="22"/>
        </w:rPr>
        <w:t xml:space="preserve"> notificado el comité de acreedores y hasta la fecha no se ha recibido notificación alguna. Es dable destacar que el Comité de Acreedores no tiene obligación de expedirse, ni brindar ninguna autorización al respecto.</w:t>
      </w:r>
      <w:r w:rsidR="00355608" w:rsidRPr="00506990">
        <w:rPr>
          <w:rFonts w:ascii="Times New Roman" w:hAnsi="Times New Roman" w:cs="Times New Roman"/>
          <w:iCs/>
          <w:color w:val="0D0D0D" w:themeColor="text1" w:themeTint="F2"/>
          <w:sz w:val="20"/>
          <w:szCs w:val="20"/>
        </w:rPr>
        <w:t xml:space="preserve"> </w:t>
      </w:r>
      <w:r w:rsidR="00355608" w:rsidRPr="00506990">
        <w:rPr>
          <w:rFonts w:ascii="Times New Roman" w:hAnsi="Times New Roman" w:cs="Times New Roman"/>
          <w:iCs/>
          <w:color w:val="0D0D0D" w:themeColor="text1" w:themeTint="F2"/>
          <w:sz w:val="22"/>
          <w:szCs w:val="22"/>
        </w:rPr>
        <w:t xml:space="preserve">A la fecha no existen en las actuaciones judiciales presentación alguna por parte de los acreedores concursales verificados denunciando o haciendo saber la falta de pago al acuerdo homologado. </w:t>
      </w:r>
    </w:p>
    <w:p w14:paraId="5B4EDDD0" w14:textId="77777777" w:rsidR="004C44BA" w:rsidRDefault="004C44BA" w:rsidP="0050339C">
      <w:pPr>
        <w:rPr>
          <w:rFonts w:ascii="Times New Roman" w:hAnsi="Times New Roman" w:cs="Times New Roman"/>
          <w:b/>
          <w:bCs/>
          <w:iCs/>
          <w:color w:val="0D0D0D" w:themeColor="text1" w:themeTint="F2"/>
          <w:sz w:val="22"/>
          <w:szCs w:val="22"/>
        </w:rPr>
      </w:pPr>
    </w:p>
    <w:p w14:paraId="6E6E907F" w14:textId="541C2B86"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3.12. Facultades de inspección. </w:t>
      </w:r>
      <w:r w:rsidRPr="00506990">
        <w:rPr>
          <w:rFonts w:ascii="Times New Roman" w:hAnsi="Times New Roman" w:cs="Times New Roman"/>
          <w:iCs/>
          <w:color w:val="0D0D0D" w:themeColor="text1" w:themeTint="F2"/>
          <w:sz w:val="22"/>
          <w:szCs w:val="22"/>
        </w:rPr>
        <w:t>El Fiduciario podrá constituirse - por intermedio de las personas que a su sólo criterio determine- en cualquier momento en que lo considere conveniente y mediando aviso previo de dos (2) Días Hábiles, en el domicilio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en el domicilio del Agente Recaudador, o en los lugares en donde éstos lleven a cabo las tareas que por éste Contrato Suplementario asumen, en horarios y días hábiles, a efectos de constatar el debido cumplimiento de las obligaciones asumidas. A tales fines, 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 el Agente Recaudador se obligan a prestar toda la colaboración que el Fiduciario como las personas que éste designe le solicite, incluyendo la puesta a disposición de toda la documentación relacionada con la Cobranza y administración de los Créditos, sin que esto implique entorpecimiento de las tareas habituales y cotidianas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y/o del Agente Recaudador ni obste a la adopción de otras medidas conforme al artículo 3.11.</w:t>
      </w:r>
    </w:p>
    <w:p w14:paraId="22AA515D" w14:textId="77777777" w:rsidR="0050339C" w:rsidRPr="00506990" w:rsidRDefault="0050339C" w:rsidP="0050339C">
      <w:pP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w:t>
      </w:r>
    </w:p>
    <w:p w14:paraId="7B002370" w14:textId="1EDED1AC"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Artículo 3.13. Revocación u otras medidas acerca de</w:t>
      </w:r>
      <w:r w:rsidR="006E2BC0" w:rsidRPr="00506990">
        <w:rPr>
          <w:rFonts w:ascii="Times New Roman" w:hAnsi="Times New Roman" w:cs="Times New Roman"/>
          <w:b/>
          <w:bCs/>
          <w:iCs/>
          <w:color w:val="0D0D0D" w:themeColor="text1" w:themeTint="F2"/>
          <w:sz w:val="22"/>
          <w:szCs w:val="22"/>
        </w:rPr>
        <w:t xml:space="preserve"> </w:t>
      </w:r>
      <w:r w:rsidRPr="00506990">
        <w:rPr>
          <w:rFonts w:ascii="Times New Roman" w:hAnsi="Times New Roman" w:cs="Times New Roman"/>
          <w:b/>
          <w:bCs/>
          <w:iCs/>
          <w:color w:val="0D0D0D" w:themeColor="text1" w:themeTint="F2"/>
          <w:sz w:val="22"/>
          <w:szCs w:val="22"/>
        </w:rPr>
        <w:t>l</w:t>
      </w:r>
      <w:r w:rsidR="006E2BC0" w:rsidRPr="00506990">
        <w:rPr>
          <w:rFonts w:ascii="Times New Roman" w:hAnsi="Times New Roman" w:cs="Times New Roman"/>
          <w:b/>
          <w:bCs/>
          <w:iCs/>
          <w:color w:val="0D0D0D" w:themeColor="text1" w:themeTint="F2"/>
          <w:sz w:val="22"/>
          <w:szCs w:val="22"/>
        </w:rPr>
        <w:t>os</w:t>
      </w:r>
      <w:r w:rsidRPr="00506990">
        <w:rPr>
          <w:rFonts w:ascii="Times New Roman" w:hAnsi="Times New Roman" w:cs="Times New Roman"/>
          <w:b/>
          <w:bCs/>
          <w:iCs/>
          <w:color w:val="0D0D0D" w:themeColor="text1" w:themeTint="F2"/>
          <w:sz w:val="22"/>
          <w:szCs w:val="22"/>
        </w:rPr>
        <w:t xml:space="preserve"> Administrador</w:t>
      </w:r>
      <w:r w:rsidR="006E2BC0" w:rsidRPr="00506990">
        <w:rPr>
          <w:rFonts w:ascii="Times New Roman" w:hAnsi="Times New Roman" w:cs="Times New Roman"/>
          <w:b/>
          <w:bCs/>
          <w:iCs/>
          <w:color w:val="0D0D0D" w:themeColor="text1" w:themeTint="F2"/>
          <w:sz w:val="22"/>
          <w:szCs w:val="22"/>
        </w:rPr>
        <w:t>es</w:t>
      </w:r>
      <w:r w:rsidRPr="00506990">
        <w:rPr>
          <w:rFonts w:ascii="Times New Roman" w:hAnsi="Times New Roman" w:cs="Times New Roman"/>
          <w:b/>
          <w:bCs/>
          <w:iCs/>
          <w:color w:val="0D0D0D" w:themeColor="text1" w:themeTint="F2"/>
          <w:sz w:val="22"/>
          <w:szCs w:val="22"/>
        </w:rPr>
        <w:t xml:space="preserve"> y Agente</w:t>
      </w:r>
      <w:r w:rsidR="006E2BC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 de los Créditos</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b/>
          <w:iCs/>
          <w:color w:val="0D0D0D" w:themeColor="text1" w:themeTint="F2"/>
          <w:sz w:val="22"/>
          <w:szCs w:val="22"/>
        </w:rPr>
        <w:t>y del Agente Recaudador</w:t>
      </w:r>
      <w:r w:rsidRPr="00506990">
        <w:rPr>
          <w:rFonts w:ascii="Times New Roman" w:hAnsi="Times New Roman" w:cs="Times New Roman"/>
          <w:b/>
          <w:bCs/>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Cuando a juicio del Fiduciario la verificación de cualquiera de los supuestos previstos en el artículo 3.9 no hiciera necesaria o conveniente la remoción del mismo, el Fiduciario podrá adoptar cualquiera de las siguientes medidas, alternativa o acumulativamente: (a) Designar un veedor en las oficinas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6E2BC0"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Recaudador, y/o en cualesquiera de sus locales en los que se verifiquen tareas de Cobranza de los Créditos, eventualmente con facultades para disponer medidas relativas a la Cobranza de los Créditos, su contabilización y rendición de la Cobranza que sin causar perjuicio a</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al Agente Recaudador, a criterio del Fiduciario sean convenientes para el interés de los Beneficiarios; (b) Reducir el plazo o periodicidad para la rendición de la Cobranza si fuera posible (c) Disponer que la gestión de Cobranza de los créditos en mora esté a cargo en forma total o parcial de terceros. Las medidas señaladas en los puntos a) y b) de este apartado podrán ser adoptadas alternativa o acumuladamente en cualquier momento por el Fiduciario cuando lo considerase necesario para un mejor desempeño del Fideicomiso. Los gastos derivados de cualquiera de las medidas señaladas en este apartado serán con cargo al Fideicomiso, salvo culpa o dolo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del Agente Recaudador declarada dicha conducta como tal por resolución firme de tribunal competente. </w:t>
      </w:r>
    </w:p>
    <w:p w14:paraId="4F5C8AE7" w14:textId="65D29BA2" w:rsidR="0050339C" w:rsidRPr="00506990" w:rsidRDefault="0050339C" w:rsidP="0050339C">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el caso que el Fiduciario detecte a su sólo criterio incumplimientos en la función de</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y/o del Agente Recaudador que no hayan podido subsanarse – o que existan dudas razonables acerca de que puedan subsanarse - con las medidas anteriormente descriptas, y aun cuando se inicie el procedimiento de remoción de</w:t>
      </w:r>
      <w:r w:rsidR="006E2BC0"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y/o el Agente Recaudador, o l</w:t>
      </w:r>
      <w:r w:rsidR="006E2BC0"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2BC0"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y/o el Agente Recaudador imposibilitaran u obstaculizaran el cumplimiento de las funciones asignadas al veedor conforme el apartado (a) precedente, el Fiduciario podrá solicitar a un juez competente (i) el nombramiento de un veedor o de un co-administrador, y/o (ii)  el dictado de medidas de no innovar respecto a los procedimientos de cobranza de créditos o disponibilidad de fondos. Tales medidas podrán ser solicitadas sobre la base de un informe del Agente de Control y Revisión que acredite los incumplimientos, sin que sea exigible contracautela salvo la caución juratoria, y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no tendrá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derecho a oponerse a ellas en tanto no acredite fehacientemente que de su parte no han existido los incumplimientos invocados o que la medida es desproporcionada.</w:t>
      </w:r>
    </w:p>
    <w:p w14:paraId="2C49ACA4"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2170D88F" w14:textId="7106040F" w:rsidR="0050339C" w:rsidRPr="00506990" w:rsidRDefault="0050339C" w:rsidP="0050339C">
      <w:pPr>
        <w:widowControl w:val="0"/>
        <w:suppressAutoHyphens/>
        <w:rPr>
          <w:rFonts w:ascii="Times New Roman" w:eastAsia="Arial Unicode MS"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3.14. Agente de Control y Revisión. </w:t>
      </w:r>
      <w:r w:rsidRPr="00506990">
        <w:rPr>
          <w:rFonts w:ascii="Times New Roman" w:hAnsi="Times New Roman" w:cs="Times New Roman"/>
          <w:color w:val="0D0D0D" w:themeColor="text1" w:themeTint="F2"/>
          <w:sz w:val="22"/>
          <w:szCs w:val="22"/>
        </w:rPr>
        <w:t xml:space="preserve">Daniel H. Zubillaga, en carácter de titular, y </w:t>
      </w:r>
      <w:r w:rsidR="004241F8" w:rsidRPr="00506990">
        <w:rPr>
          <w:rFonts w:ascii="Times New Roman" w:hAnsi="Times New Roman" w:cs="Times New Roman"/>
          <w:color w:val="0D0D0D" w:themeColor="text1" w:themeTint="F2"/>
          <w:sz w:val="22"/>
          <w:szCs w:val="22"/>
        </w:rPr>
        <w:t>Víctor Lamberti</w:t>
      </w:r>
      <w:r w:rsidRPr="00506990">
        <w:rPr>
          <w:rFonts w:ascii="Times New Roman" w:hAnsi="Times New Roman" w:cs="Times New Roman"/>
          <w:color w:val="0D0D0D" w:themeColor="text1" w:themeTint="F2"/>
          <w:sz w:val="22"/>
          <w:szCs w:val="22"/>
        </w:rPr>
        <w:t>, en carácter de Suplente, ambos miembros de Zubillaga &amp; Asociados S.A-</w:t>
      </w:r>
      <w:r w:rsidRPr="00506990">
        <w:rPr>
          <w:rFonts w:ascii="Times New Roman" w:hAnsi="Times New Roman" w:cs="Times New Roman"/>
          <w:iCs/>
          <w:color w:val="0D0D0D" w:themeColor="text1" w:themeTint="F2"/>
          <w:sz w:val="22"/>
          <w:szCs w:val="22"/>
        </w:rPr>
        <w:t>, o la persona o personas que el Fiduciario designe, actuará como Agente de Control y Revisión de la cartera transferida al Fideicomiso. Adicionalmente a estar matriculado en el Consejo Profesional de Ciencias Económicas de la Prov. de Santa Fe, se encuentra matriculado en el Consejo Profesional de Ciencias Económicas de la Ciudad de Buenos Aires (“CPCECABA”), con una antigüedad no inferior a 5 años. A tales efectos recibirá mensualmente de</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o del Fiduciario información en soporte magnético acerca de las carteras de Créditos y de los fondos acreditados en las cuentas de recaudación. Con dicha información remitirá al Fiduciario un informe con periodicidad mensual sobre: (i) el estado de atrasos de los Créditos y (ii) respecto de la cartera de Crédito, comparación de la cobranza real contra la cobranza teórica. </w:t>
      </w:r>
      <w:r w:rsidR="00C34ED3" w:rsidRPr="00506990">
        <w:rPr>
          <w:rFonts w:ascii="Times New Roman" w:hAnsi="Times New Roman" w:cs="Times New Roman"/>
          <w:iCs/>
          <w:color w:val="0D0D0D"/>
          <w:sz w:val="22"/>
          <w:szCs w:val="22"/>
          <w:shd w:val="clear" w:color="auto" w:fill="FFFFFF"/>
        </w:rPr>
        <w:t>El Agente de Control y Revisión tendrá derecho a cobrar en concepto de honorarios por su función un monto que podrá fijarse en hasta la suma de $ 22.000.- (pesos veintid</w:t>
      </w:r>
      <w:r w:rsidR="007C6FA9" w:rsidRPr="00506990">
        <w:rPr>
          <w:rFonts w:ascii="Times New Roman" w:hAnsi="Times New Roman" w:cs="Times New Roman"/>
          <w:iCs/>
          <w:color w:val="0D0D0D"/>
          <w:sz w:val="22"/>
          <w:szCs w:val="22"/>
          <w:shd w:val="clear" w:color="auto" w:fill="FFFFFF"/>
        </w:rPr>
        <w:t>ó</w:t>
      </w:r>
      <w:r w:rsidR="00C34ED3" w:rsidRPr="00506990">
        <w:rPr>
          <w:rFonts w:ascii="Times New Roman" w:hAnsi="Times New Roman" w:cs="Times New Roman"/>
          <w:iCs/>
          <w:color w:val="0D0D0D"/>
          <w:sz w:val="22"/>
          <w:szCs w:val="22"/>
          <w:shd w:val="clear" w:color="auto" w:fill="FFFFFF"/>
        </w:rPr>
        <w:t xml:space="preserve">s mil) mensuales más IVA hasta febrero </w:t>
      </w:r>
      <w:r w:rsidR="007C6FA9" w:rsidRPr="00506990">
        <w:rPr>
          <w:rFonts w:ascii="Times New Roman" w:hAnsi="Times New Roman" w:cs="Times New Roman"/>
          <w:iCs/>
          <w:color w:val="0D0D0D"/>
          <w:sz w:val="22"/>
          <w:szCs w:val="22"/>
          <w:shd w:val="clear" w:color="auto" w:fill="FFFFFF"/>
        </w:rPr>
        <w:t xml:space="preserve">de </w:t>
      </w:r>
      <w:r w:rsidR="00C34ED3" w:rsidRPr="00506990">
        <w:rPr>
          <w:rFonts w:ascii="Times New Roman" w:hAnsi="Times New Roman" w:cs="Times New Roman"/>
          <w:iCs/>
          <w:color w:val="0D0D0D"/>
          <w:sz w:val="22"/>
          <w:szCs w:val="22"/>
          <w:shd w:val="clear" w:color="auto" w:fill="FFFFFF"/>
        </w:rPr>
        <w:t xml:space="preserve">2020. A partir de marzo y hasta agosto </w:t>
      </w:r>
      <w:r w:rsidR="007C6FA9" w:rsidRPr="00506990">
        <w:rPr>
          <w:rFonts w:ascii="Times New Roman" w:hAnsi="Times New Roman" w:cs="Times New Roman"/>
          <w:iCs/>
          <w:color w:val="0D0D0D"/>
          <w:sz w:val="22"/>
          <w:szCs w:val="22"/>
          <w:shd w:val="clear" w:color="auto" w:fill="FFFFFF"/>
        </w:rPr>
        <w:t xml:space="preserve">de </w:t>
      </w:r>
      <w:r w:rsidR="00C34ED3" w:rsidRPr="00506990">
        <w:rPr>
          <w:rFonts w:ascii="Times New Roman" w:hAnsi="Times New Roman" w:cs="Times New Roman"/>
          <w:iCs/>
          <w:color w:val="0D0D0D"/>
          <w:sz w:val="22"/>
          <w:szCs w:val="22"/>
          <w:shd w:val="clear" w:color="auto" w:fill="FFFFFF"/>
        </w:rPr>
        <w:t>2020 los honorarios se fijarán en hasta la suma de $28.000.- (pesos veintiocho mil) más IVA. </w:t>
      </w:r>
      <w:r w:rsidR="00C34ED3" w:rsidRPr="00506990">
        <w:rPr>
          <w:rFonts w:ascii="Times New Roman" w:hAnsi="Times New Roman" w:cs="Times New Roman"/>
          <w:bCs/>
          <w:iCs/>
          <w:color w:val="000000"/>
          <w:sz w:val="22"/>
          <w:szCs w:val="22"/>
          <w:shd w:val="clear" w:color="auto" w:fill="FFFFFF"/>
        </w:rPr>
        <w:t>Para los meses siguientes los honorarios se fijarán de común acuerdo entre las partes</w:t>
      </w:r>
      <w:r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color w:val="0D0D0D" w:themeColor="text1" w:themeTint="F2"/>
          <w:sz w:val="22"/>
          <w:szCs w:val="22"/>
        </w:rPr>
        <w:t>Dichos informes contarán con firma certificada por el C.P.C.E.C.A.B.A y los mismos estarán disponibles en las oficinas del Fiduciario</w:t>
      </w:r>
      <w:r w:rsidR="003E181B" w:rsidRPr="00506990">
        <w:rPr>
          <w:rFonts w:ascii="Times New Roman" w:hAnsi="Times New Roman" w:cs="Times New Roman"/>
          <w:color w:val="0D0D0D" w:themeColor="text1" w:themeTint="F2"/>
          <w:sz w:val="22"/>
          <w:szCs w:val="22"/>
        </w:rPr>
        <w:t xml:space="preserve"> y se publicarán</w:t>
      </w:r>
      <w:r w:rsidR="0025597D">
        <w:rPr>
          <w:rFonts w:ascii="Times New Roman" w:hAnsi="Times New Roman" w:cs="Times New Roman"/>
          <w:color w:val="0D0D0D" w:themeColor="text1" w:themeTint="F2"/>
          <w:sz w:val="22"/>
          <w:szCs w:val="22"/>
        </w:rPr>
        <w:t xml:space="preserve"> según corresponda por </w:t>
      </w:r>
      <w:r w:rsidR="003E181B" w:rsidRPr="00506990">
        <w:rPr>
          <w:rFonts w:ascii="Times New Roman" w:hAnsi="Times New Roman" w:cs="Times New Roman"/>
          <w:color w:val="0D0D0D" w:themeColor="text1" w:themeTint="F2"/>
          <w:sz w:val="22"/>
          <w:szCs w:val="22"/>
        </w:rPr>
        <w:t>el Fiduciario</w:t>
      </w:r>
      <w:r w:rsidR="00C43D39" w:rsidRPr="00506990">
        <w:rPr>
          <w:rFonts w:ascii="Times New Roman" w:hAnsi="Times New Roman" w:cs="Times New Roman"/>
          <w:color w:val="0D0D0D" w:themeColor="text1" w:themeTint="F2"/>
          <w:sz w:val="22"/>
          <w:szCs w:val="22"/>
        </w:rPr>
        <w:t xml:space="preserve">, </w:t>
      </w:r>
      <w:r w:rsidR="001F5659" w:rsidRPr="00506990">
        <w:rPr>
          <w:rFonts w:ascii="Times New Roman" w:eastAsia="Arial Unicode MS" w:hAnsi="Times New Roman" w:cs="Times New Roman"/>
          <w:noProof/>
          <w:color w:val="0D0D0D" w:themeColor="text1" w:themeTint="F2"/>
          <w:sz w:val="22"/>
          <w:szCs w:val="22"/>
        </w:rPr>
        <w:t>en un plazo de 15 días hábiles de finalizado el mes al que corresponda el informe,</w:t>
      </w:r>
      <w:r w:rsidR="001F5659" w:rsidRPr="00506990">
        <w:rPr>
          <w:rFonts w:ascii="Times New Roman" w:hAnsi="Times New Roman" w:cs="Times New Roman"/>
          <w:color w:val="0D0D0D" w:themeColor="text1" w:themeTint="F2"/>
          <w:sz w:val="22"/>
          <w:szCs w:val="22"/>
        </w:rPr>
        <w:t xml:space="preserve"> </w:t>
      </w:r>
      <w:r w:rsidR="00C43D39" w:rsidRPr="00506990">
        <w:rPr>
          <w:rFonts w:ascii="Times New Roman" w:hAnsi="Times New Roman" w:cs="Times New Roman"/>
          <w:color w:val="0D0D0D" w:themeColor="text1" w:themeTint="F2"/>
          <w:sz w:val="22"/>
          <w:szCs w:val="22"/>
        </w:rPr>
        <w:t>de conformid</w:t>
      </w:r>
      <w:r w:rsidR="00C43D39" w:rsidRPr="00506990">
        <w:rPr>
          <w:rFonts w:ascii="Times New Roman" w:hAnsi="Times New Roman" w:cs="Times New Roman"/>
          <w:iCs/>
          <w:color w:val="0D0D0D" w:themeColor="text1" w:themeTint="F2"/>
          <w:sz w:val="22"/>
          <w:szCs w:val="22"/>
        </w:rPr>
        <w:t>ad con lo dispuesto en el art. 28 de, Capítulo IV del Título V de las NORMA</w:t>
      </w:r>
      <w:r w:rsidR="00C43D39" w:rsidRPr="00780DEA">
        <w:rPr>
          <w:rFonts w:ascii="Times New Roman" w:hAnsi="Times New Roman" w:cs="Times New Roman"/>
          <w:iCs/>
          <w:color w:val="0D0D0D" w:themeColor="text1" w:themeTint="F2"/>
          <w:sz w:val="22"/>
          <w:szCs w:val="22"/>
        </w:rPr>
        <w:t>S</w:t>
      </w:r>
      <w:r w:rsidRPr="00780DEA">
        <w:rPr>
          <w:rFonts w:ascii="Times New Roman" w:hAnsi="Times New Roman" w:cs="Times New Roman"/>
          <w:iCs/>
          <w:color w:val="0D0D0D" w:themeColor="text1" w:themeTint="F2"/>
          <w:sz w:val="22"/>
          <w:szCs w:val="22"/>
        </w:rPr>
        <w:t>.</w:t>
      </w:r>
    </w:p>
    <w:p w14:paraId="0130BCA5" w14:textId="77777777" w:rsidR="0050339C" w:rsidRPr="00506990" w:rsidRDefault="0050339C" w:rsidP="0050339C">
      <w:pPr>
        <w:widowControl w:val="0"/>
        <w:suppressAutoHyphens/>
        <w:rPr>
          <w:rFonts w:ascii="Times New Roman" w:hAnsi="Times New Roman" w:cs="Times New Roman"/>
          <w:iCs/>
          <w:color w:val="0D0D0D" w:themeColor="text1" w:themeTint="F2"/>
          <w:sz w:val="22"/>
          <w:szCs w:val="22"/>
        </w:rPr>
      </w:pPr>
    </w:p>
    <w:p w14:paraId="45C1BF7C" w14:textId="77777777" w:rsidR="0050339C" w:rsidRPr="00506990" w:rsidRDefault="0050339C" w:rsidP="0050339C">
      <w:pPr>
        <w:widowControl w:val="0"/>
        <w:tabs>
          <w:tab w:val="left" w:pos="7088"/>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3.15. Funciones y Obligaciones del Agente de Control y Revisión. </w:t>
      </w:r>
      <w:r w:rsidRPr="00506990">
        <w:rPr>
          <w:rFonts w:ascii="Times New Roman" w:hAnsi="Times New Roman" w:cs="Times New Roman"/>
          <w:color w:val="0D0D0D" w:themeColor="text1" w:themeTint="F2"/>
          <w:sz w:val="22"/>
          <w:szCs w:val="22"/>
        </w:rPr>
        <w:t>El Agente de Control y Revisión asume las siguientes funciones y obligaciones:</w:t>
      </w:r>
    </w:p>
    <w:p w14:paraId="34DBE512" w14:textId="7777777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Realizará la revisión y control de los activos transferidos al Fideicomiso y de los recursos recibidos y su posterior aplicación;</w:t>
      </w:r>
    </w:p>
    <w:p w14:paraId="72EFAD7E" w14:textId="1AAD076F"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 xml:space="preserve">Controlará los flujos de fondos provenientes de la cobranza y (ii) realizará la comparación de la Cobranza real contra la Cobranza teórica y su impacto en el pago de los servicios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z w:val="22"/>
          <w:szCs w:val="22"/>
        </w:rPr>
        <w:t>. Respecto de los pagos, los controlará y los comparará con el cuadro teórico de pagos;</w:t>
      </w:r>
    </w:p>
    <w:p w14:paraId="6FDF9F53" w14:textId="5D695226" w:rsidR="0050339C" w:rsidRPr="00506990" w:rsidRDefault="007C6FA9"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R</w:t>
      </w:r>
      <w:r w:rsidR="0050339C" w:rsidRPr="00506990">
        <w:rPr>
          <w:rFonts w:ascii="Times New Roman" w:hAnsi="Times New Roman" w:cs="Times New Roman"/>
          <w:color w:val="0D0D0D" w:themeColor="text1" w:themeTint="F2"/>
          <w:sz w:val="22"/>
          <w:szCs w:val="22"/>
        </w:rPr>
        <w:t>ecibirá mensualmente de</w:t>
      </w:r>
      <w:r w:rsidR="002A2B1C" w:rsidRPr="00506990">
        <w:rPr>
          <w:rFonts w:ascii="Times New Roman" w:hAnsi="Times New Roman" w:cs="Times New Roman"/>
          <w:color w:val="0D0D0D" w:themeColor="text1" w:themeTint="F2"/>
          <w:sz w:val="22"/>
          <w:szCs w:val="22"/>
        </w:rPr>
        <w:t xml:space="preserve"> </w:t>
      </w:r>
      <w:r w:rsidR="0050339C" w:rsidRPr="00506990">
        <w:rPr>
          <w:rFonts w:ascii="Times New Roman" w:hAnsi="Times New Roman" w:cs="Times New Roman"/>
          <w:color w:val="0D0D0D" w:themeColor="text1" w:themeTint="F2"/>
          <w:sz w:val="22"/>
          <w:szCs w:val="22"/>
        </w:rPr>
        <w:t>l</w:t>
      </w:r>
      <w:r w:rsidR="002A2B1C" w:rsidRPr="00506990">
        <w:rPr>
          <w:rFonts w:ascii="Times New Roman" w:hAnsi="Times New Roman" w:cs="Times New Roman"/>
          <w:color w:val="0D0D0D" w:themeColor="text1" w:themeTint="F2"/>
          <w:sz w:val="22"/>
          <w:szCs w:val="22"/>
        </w:rPr>
        <w:t>os</w:t>
      </w:r>
      <w:r w:rsidR="0050339C" w:rsidRPr="00506990">
        <w:rPr>
          <w:rFonts w:ascii="Times New Roman" w:hAnsi="Times New Roman" w:cs="Times New Roman"/>
          <w:color w:val="0D0D0D" w:themeColor="text1" w:themeTint="F2"/>
          <w:sz w:val="22"/>
          <w:szCs w:val="22"/>
        </w:rPr>
        <w:t xml:space="preserve"> Administrador</w:t>
      </w:r>
      <w:r w:rsidR="002A2B1C" w:rsidRPr="00506990">
        <w:rPr>
          <w:rFonts w:ascii="Times New Roman" w:hAnsi="Times New Roman" w:cs="Times New Roman"/>
          <w:color w:val="0D0D0D" w:themeColor="text1" w:themeTint="F2"/>
          <w:sz w:val="22"/>
          <w:szCs w:val="22"/>
        </w:rPr>
        <w:t>es</w:t>
      </w:r>
      <w:r w:rsidR="0050339C" w:rsidRPr="00506990">
        <w:rPr>
          <w:rFonts w:ascii="Times New Roman" w:hAnsi="Times New Roman" w:cs="Times New Roman"/>
          <w:color w:val="0D0D0D" w:themeColor="text1" w:themeTint="F2"/>
          <w:sz w:val="22"/>
          <w:szCs w:val="22"/>
        </w:rPr>
        <w:t xml:space="preserve"> información en soporte magnético acerca de la Cartera de Créditos y de los fondos acreditados en las cuentas de recaudación y verificará el cumplimiento de los plazos de la rendición, dispuestos por la normativa vigente;</w:t>
      </w:r>
    </w:p>
    <w:p w14:paraId="70F02A5C" w14:textId="3C907887" w:rsidR="0050339C" w:rsidRPr="00506990" w:rsidRDefault="0050339C" w:rsidP="00270AFD">
      <w:pPr>
        <w:widowControl w:val="0"/>
        <w:numPr>
          <w:ilvl w:val="0"/>
          <w:numId w:val="3"/>
        </w:numPr>
        <w:tabs>
          <w:tab w:val="left" w:pos="7088"/>
        </w:tabs>
        <w:suppressAutoHyphens/>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rPr>
        <w:t>Controlará los niveles de mora, niveles de cobranza y cualquier otro parámetro financiero que se establezca en el desarrollo del Fideicomiso Financiero;</w:t>
      </w:r>
    </w:p>
    <w:p w14:paraId="3F3D4B64" w14:textId="6DD57DC0" w:rsidR="0050339C" w:rsidRPr="00506990" w:rsidRDefault="007C6FA9" w:rsidP="00270AFD">
      <w:pPr>
        <w:widowControl w:val="0"/>
        <w:numPr>
          <w:ilvl w:val="0"/>
          <w:numId w:val="3"/>
        </w:numPr>
        <w:tabs>
          <w:tab w:val="left" w:pos="7088"/>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color w:val="0D0D0D" w:themeColor="text1" w:themeTint="F2"/>
          <w:sz w:val="22"/>
          <w:szCs w:val="22"/>
        </w:rPr>
        <w:t>R</w:t>
      </w:r>
      <w:r w:rsidR="0050339C" w:rsidRPr="00506990">
        <w:rPr>
          <w:rFonts w:ascii="Times New Roman" w:hAnsi="Times New Roman" w:cs="Times New Roman"/>
          <w:color w:val="0D0D0D" w:themeColor="text1" w:themeTint="F2"/>
          <w:sz w:val="22"/>
          <w:szCs w:val="22"/>
        </w:rPr>
        <w:t>emitirá al Fiduciario un informe con periodicidad mensual sobre el estado de atrasos de la Cartera.</w:t>
      </w:r>
    </w:p>
    <w:p w14:paraId="61C2954E" w14:textId="77777777" w:rsidR="007073F9" w:rsidRPr="00506990" w:rsidRDefault="007073F9" w:rsidP="00047454">
      <w:pPr>
        <w:widowControl w:val="0"/>
        <w:tabs>
          <w:tab w:val="left" w:pos="7088"/>
        </w:tabs>
        <w:suppressAutoHyphens/>
        <w:rPr>
          <w:rFonts w:ascii="Times New Roman" w:hAnsi="Times New Roman" w:cs="Times New Roman"/>
          <w:b/>
          <w:bCs/>
          <w:iCs/>
          <w:color w:val="0D0D0D" w:themeColor="text1" w:themeTint="F2"/>
          <w:sz w:val="22"/>
          <w:szCs w:val="22"/>
        </w:rPr>
      </w:pPr>
    </w:p>
    <w:p w14:paraId="40AFB248" w14:textId="5BA990F5" w:rsidR="00275EAF" w:rsidRPr="00506990" w:rsidRDefault="0050339C" w:rsidP="0050339C">
      <w:pPr>
        <w:keepNext/>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3.16.  Renuncia y/o revocación del Agente de Control y Revisión.</w:t>
      </w:r>
      <w:r w:rsidRPr="00506990">
        <w:rPr>
          <w:rFonts w:ascii="Times New Roman" w:hAnsi="Times New Roman" w:cs="Times New Roman"/>
          <w:iCs/>
          <w:color w:val="0D0D0D" w:themeColor="text1" w:themeTint="F2"/>
          <w:sz w:val="22"/>
          <w:szCs w:val="22"/>
        </w:rPr>
        <w:t xml:space="preserve"> Corresponderá al Fiduciario remover al Agente de Control y Revisión, sin derecho de éste a indemnización alguna, cuando ocurra cualquiera de estos hechos a su respecto: (a) no brindare al Fiduciario en tiempo y forma la información que está a su cargo proveer, de manera que se impida y/o dificulte al Fiduciario cumplir con la carga informativa que le es propia frente a los Beneficiarios y a las entidades de control y no subsanare el incumplimiento dentro del término que el Fiduciario especifique en la intimación pertinente; (b) se decretare su quiebra. El nuevo Agente de Control y Revisión será designado por el Fiduciario, de común acuerdo con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ponderando para la elección la experiencia acreditada, la capacidad de gestión, la retribución pretendida, y teniendo en consideración las NORMAS de la CNV y su designación será comunicada a la CNV </w:t>
      </w:r>
      <w:r w:rsidRPr="00506990">
        <w:rPr>
          <w:rFonts w:ascii="Times New Roman" w:hAnsi="Times New Roman" w:cs="Times New Roman"/>
          <w:iCs/>
          <w:color w:val="0D0D0D" w:themeColor="text1" w:themeTint="F2"/>
          <w:sz w:val="22"/>
          <w:szCs w:val="22"/>
          <w:lang w:val="es-AR"/>
        </w:rPr>
        <w:t>mediante la publicación de un aviso en la AIF</w:t>
      </w:r>
      <w:r w:rsidRPr="00506990">
        <w:rPr>
          <w:rFonts w:ascii="Times New Roman" w:hAnsi="Times New Roman" w:cs="Times New Roman"/>
          <w:iCs/>
          <w:color w:val="0D0D0D" w:themeColor="text1" w:themeTint="F2"/>
          <w:sz w:val="22"/>
          <w:szCs w:val="22"/>
        </w:rPr>
        <w:t>. El Fiduciario procederá de igual modo, en caso de renuncia del Agente de Control y Revisión designado.</w:t>
      </w:r>
      <w:r w:rsidRPr="00506990">
        <w:rPr>
          <w:rFonts w:ascii="Times New Roman" w:hAnsi="Times New Roman" w:cs="Times New Roman"/>
          <w:color w:val="0D0D0D" w:themeColor="text1" w:themeTint="F2"/>
          <w:sz w:val="22"/>
          <w:szCs w:val="22"/>
        </w:rPr>
        <w:t xml:space="preserve"> Los gastos de designación de un nuevo Agente de Control y Revisión estarán a cargo del Fideicomiso</w:t>
      </w:r>
      <w:r w:rsidR="00275EAF" w:rsidRPr="00506990">
        <w:rPr>
          <w:rFonts w:ascii="Times New Roman" w:hAnsi="Times New Roman" w:cs="Times New Roman"/>
          <w:color w:val="0D0D0D" w:themeColor="text1" w:themeTint="F2"/>
          <w:sz w:val="22"/>
          <w:szCs w:val="22"/>
        </w:rPr>
        <w:t>.</w:t>
      </w:r>
    </w:p>
    <w:p w14:paraId="2F575D22" w14:textId="25C69B01" w:rsidR="00275EAF" w:rsidRPr="00506990" w:rsidRDefault="00275EAF" w:rsidP="0050339C">
      <w:pPr>
        <w:keepNext/>
        <w:suppressAutoHyphens/>
        <w:rPr>
          <w:rFonts w:ascii="Times New Roman" w:hAnsi="Times New Roman" w:cs="Times New Roman"/>
          <w:b/>
          <w:bCs/>
          <w:iCs/>
          <w:color w:val="0D0D0D" w:themeColor="text1" w:themeTint="F2"/>
          <w:sz w:val="22"/>
          <w:szCs w:val="22"/>
        </w:rPr>
      </w:pPr>
    </w:p>
    <w:p w14:paraId="6E4A1F0C" w14:textId="7181934C"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3.17. Modificación de artículos de la presente Sección. </w:t>
      </w:r>
      <w:r w:rsidR="006E36BA" w:rsidRPr="00506990">
        <w:rPr>
          <w:rFonts w:ascii="Times New Roman" w:hAnsi="Times New Roman" w:cs="Times New Roman"/>
          <w:bCs/>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l</w:t>
      </w:r>
      <w:r w:rsidR="006E36BA"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6E36BA"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y el Fiduciario con consentimiento de la CNV, podrán acordar modificaciones  de la presente sección para (a) imponer otras obligaciones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2A2B1C"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(b) modificar el contenido de los informes de cobranza con la finalidad de lograr un mejor cumplimiento de la  administración y cobranza de los Créditos, y (c) adoptar otras medidas protectoras de los Créditos y su Cobranza con la finalidad de lograr un mejor cumplimiento de la administración y cobranza de los Créditos, en tanto ello no altere los derechos de los Beneficiarios y/o, en su caso, no afecte la calificación de riesgo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 En todo otro supuesto se requerirá el consentimiento de la Asamblea de los Beneficiarios y la pertinente autorización de la CNV en los términos de las Cláusulas Trigésimo Tercera y Trigésimo quinta del Contrato Marco</w:t>
      </w:r>
      <w:r w:rsidR="001126E3" w:rsidRPr="00506990">
        <w:rPr>
          <w:rFonts w:ascii="Times New Roman" w:hAnsi="Times New Roman" w:cs="Times New Roman"/>
          <w:iCs/>
          <w:color w:val="0D0D0D" w:themeColor="text1" w:themeTint="F2"/>
          <w:sz w:val="22"/>
          <w:szCs w:val="22"/>
        </w:rPr>
        <w:t>, y conforme a lo dispuesto en los artículos 50 y 51 del Capítulo IV del Título V de las NORMAS (N. T. 2013 y mod.)</w:t>
      </w:r>
      <w:r w:rsidRPr="00506990">
        <w:rPr>
          <w:rFonts w:ascii="Times New Roman" w:hAnsi="Times New Roman" w:cs="Times New Roman"/>
          <w:iCs/>
          <w:color w:val="0D0D0D" w:themeColor="text1" w:themeTint="F2"/>
          <w:sz w:val="22"/>
          <w:szCs w:val="22"/>
        </w:rPr>
        <w:t>.</w:t>
      </w:r>
    </w:p>
    <w:p w14:paraId="3B7D6EA3" w14:textId="77777777" w:rsidR="0066683E" w:rsidRPr="00506990" w:rsidRDefault="0066683E" w:rsidP="0050339C">
      <w:pPr>
        <w:keepNext/>
        <w:suppressAutoHyphens/>
        <w:rPr>
          <w:rFonts w:ascii="Times New Roman" w:hAnsi="Times New Roman" w:cs="Times New Roman"/>
          <w:iCs/>
          <w:color w:val="0D0D0D" w:themeColor="text1" w:themeTint="F2"/>
          <w:sz w:val="22"/>
          <w:szCs w:val="22"/>
        </w:rPr>
      </w:pPr>
    </w:p>
    <w:p w14:paraId="3F537DCF" w14:textId="12FCCC17" w:rsidR="0066683E" w:rsidRPr="00506990" w:rsidRDefault="0066683E"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sz w:val="22"/>
          <w:szCs w:val="22"/>
        </w:rPr>
        <w:t xml:space="preserve">3.18. Asambleas. </w:t>
      </w:r>
      <w:r w:rsidRPr="00506990">
        <w:rPr>
          <w:rFonts w:ascii="Times New Roman" w:hAnsi="Times New Roman" w:cs="Times New Roman"/>
          <w:sz w:val="22"/>
          <w:szCs w:val="22"/>
        </w:rPr>
        <w:t>Cuando el Fiduciario lo considere necesario, o lo solicite la CNV, o l</w:t>
      </w:r>
      <w:r w:rsidR="006E36BA" w:rsidRPr="00506990">
        <w:rPr>
          <w:rFonts w:ascii="Times New Roman" w:hAnsi="Times New Roman" w:cs="Times New Roman"/>
          <w:sz w:val="22"/>
          <w:szCs w:val="22"/>
        </w:rPr>
        <w:t>os</w:t>
      </w:r>
      <w:r w:rsidRPr="00506990">
        <w:rPr>
          <w:rFonts w:ascii="Times New Roman" w:hAnsi="Times New Roman" w:cs="Times New Roman"/>
          <w:sz w:val="22"/>
          <w:szCs w:val="22"/>
        </w:rPr>
        <w:t xml:space="preserve"> Fiduciante</w:t>
      </w:r>
      <w:r w:rsidR="006E36BA" w:rsidRPr="00506990">
        <w:rPr>
          <w:rFonts w:ascii="Times New Roman" w:hAnsi="Times New Roman" w:cs="Times New Roman"/>
          <w:sz w:val="22"/>
          <w:szCs w:val="22"/>
        </w:rPr>
        <w:t>s</w:t>
      </w:r>
      <w:r w:rsidRPr="00506990">
        <w:rPr>
          <w:rFonts w:ascii="Times New Roman" w:hAnsi="Times New Roman" w:cs="Times New Roman"/>
          <w:sz w:val="22"/>
          <w:szCs w:val="22"/>
        </w:rPr>
        <w:t xml:space="preserve"> en su caso, o Beneficiarios que representen por lo menos el 5% (cinco por ciento) del valor nominal no cancelado en circulación de Valores Fiduciarios, convocará a una Asamblea de Beneficiarios de cualquier Serie y/o Clase en cualquier momento, para dar o recibir cualquier solicitud, autorización, notificación, consentimiento, renuncia u otra acción. La convocatoria deberá ser realizada por el Fiduciario dentro de los quince (15) Días Hábiles de recibida la solicitud. Las asambleas se celebrarán en la ciudad de Rosario, en la fecha que el Fiduciario determine, y serán presididas por un funcionario autorizado del Fiduciario. La convocatoria a asamblea deberá ser notificada con no menos de diez (10) días ni más de treinta (30) días corridos de anticipación a la fecha fijada, durante tres días hábiles consecutivos, mediante publicaciones en la AIF y en los sistemas de información de los mercados autorizados donde listen los Valores Fiduciarios y/o en un diario de circulación general y/o en el Boletín Oficial de la República Argentina. Para la constitución de la asamblea ordinaria (a efectos de que exprese su voluntad una Mayoría Ordinaria de Beneficiarios) en primera convocatoria, el quórum será de titulares que tengan o representen la mayoría del valor nominal de los Valores Fiduciarios en circulación o los de una Serie o Clase determinada. En segunda convocatoria el quórum se constituirá cualquiera sea el número de Beneficiarios presentes. Las decisiones en ambos casos se adoptarán por mayoría absoluta de los votos presentes. En la Asamblea Extraordinaria (a efectos de que exprese su voluntad una Mayoría Extraordinaria de Beneficiarios), el quórum en primera convocatoria quedará constituido con la presencia de Beneficiarios que representen el 60 % (sesenta por ciento) de los títulos en circulación o los de una Serie o Clase determinada. En segunda convocatoria el quórum será del 30% (treinta por ciento), computado sobre la misma base que para la primera convocatoria. Las resoluciones deberán ser aprobadas, según corresponda en cada caso particular por la mayoría absoluta de los votos presentes, las tres cuartas partes de los votos o unanimidad. El llamado en primera y segunda convocatoria se podrá realizar simultáneamente, pero la asamblea en segunda convocatoria deberá tener lugar por lo menos una hora después de la fijada para la primera. Por cada unidad de la moneda de emisión, de valor nominal de los Valores Fiduciarios, salvo que en el Contrato Suplementario se estipule de otro modo, corresponderá un voto. En todas las cuestiones no contempladas por el presente, las asambleas se regirán por las disposiciones pertinentes de la Ley General de Sociedades aplicables a las asambleas ordinarias de sociedades anónimas. Las decisiones adoptadas por los Beneficiarios deberán ser publicadas en la A.I.F.</w:t>
      </w:r>
    </w:p>
    <w:p w14:paraId="22D50D37" w14:textId="77777777" w:rsidR="0066683E" w:rsidRPr="00506990" w:rsidRDefault="0066683E" w:rsidP="0050339C">
      <w:pPr>
        <w:keepNext/>
        <w:suppressAutoHyphens/>
        <w:rPr>
          <w:rFonts w:ascii="Times New Roman" w:hAnsi="Times New Roman" w:cs="Times New Roman"/>
          <w:iCs/>
          <w:color w:val="0D0D0D" w:themeColor="text1" w:themeTint="F2"/>
          <w:sz w:val="22"/>
          <w:szCs w:val="22"/>
        </w:rPr>
      </w:pPr>
    </w:p>
    <w:p w14:paraId="3414E22F" w14:textId="3F5F6C48"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3.19. Prescindencia de la Asamblea. </w:t>
      </w:r>
      <w:r w:rsidRPr="00506990">
        <w:rPr>
          <w:rFonts w:ascii="Times New Roman" w:hAnsi="Times New Roman" w:cs="Times New Roman"/>
          <w:color w:val="000000"/>
          <w:sz w:val="22"/>
          <w:szCs w:val="22"/>
          <w:lang w:val="es-AR" w:eastAsia="es-AR"/>
        </w:rPr>
        <w:t xml:space="preserve">Podrá prescindirse de la Asamblea de Beneficiarios si para adoptar cualquier resolución que fuera de su competencia el Fiduciario obtuviere el consentimiento (a) por la unanimidad de Beneficiarios, o (b) en tanto no se requiera unanimidad, por la Mayoría Ordinaria o Extraordinaria de Beneficiarios – según sea pertinente -, respecto de todos los Valores Fiduciarios en circulación o los de una Serie o Clase determinada que corresponda, según la decisión a adoptar. A tal fin se deberá seguir el siguiente procedimiento: </w:t>
      </w:r>
    </w:p>
    <w:p w14:paraId="2035EAFC"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1) </w:t>
      </w:r>
      <w:r w:rsidRPr="00506990">
        <w:rPr>
          <w:rFonts w:ascii="Times New Roman" w:hAnsi="Times New Roman" w:cs="Times New Roman"/>
          <w:color w:val="000000"/>
          <w:sz w:val="22"/>
          <w:szCs w:val="22"/>
          <w:lang w:val="es-AR" w:eastAsia="es-AR"/>
        </w:rPr>
        <w:t xml:space="preserve">El Fiduciario remitirá a cada Beneficiario registrado al Día Hábil Bursátil anterior, por medio fehaciente escrito dirigido al domicilio registrado o denunciado al Fiduciario, o registrado ante Caja de Valores S.A., una nota (la “Solicitud de Consentimiento”) que deberá incluir (i) una descripción pormenorizada de las circunstancias del caso, (ii) en su caso, su evaluación y el modo en que dicha circunstancias afectarían al Fideicomiso, (iii) una recomendación, si la tuviere, respecto del curso de acción a seguir y, en su caso, el texto de la modificación o adición a introducir en el Contrato Suplementario, (iv) los recaudos indicados en el punto 2) siguiente a efectos de manifestar su voluntad, y (v) la advertencia que el silencio, transcurridos diez (10) Días Hábiles de la recepción de la nota (o el plazo mayor que indique el Fiduciario), importará disconformidad con la recomendación, si la hubiere. Junto con la remisión de las Solicitudes de Consentimiento, el Fiduciario deberá publicarla en la AIF y en los boletines informativos de los mercados autorizados donde listen los Valores Fiduciarios para conocimiento público. </w:t>
      </w:r>
    </w:p>
    <w:p w14:paraId="4F848B14"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b/>
          <w:bCs/>
          <w:color w:val="000000"/>
          <w:sz w:val="22"/>
          <w:szCs w:val="22"/>
          <w:lang w:val="es-AR" w:eastAsia="es-AR"/>
        </w:rPr>
        <w:t xml:space="preserve">2) </w:t>
      </w:r>
      <w:r w:rsidRPr="00506990">
        <w:rPr>
          <w:rFonts w:ascii="Times New Roman" w:hAnsi="Times New Roman" w:cs="Times New Roman"/>
          <w:color w:val="000000"/>
          <w:sz w:val="22"/>
          <w:szCs w:val="22"/>
          <w:lang w:val="es-AR" w:eastAsia="es-AR"/>
        </w:rPr>
        <w:t xml:space="preserve">Los Beneficiarios deberán contestar por carta documento o instrumento con intervención notarial -según indique el Fiduciario, dentro de los diez (10) Días Hábiles de recibida la nota del Fiduciario, o dentro del plazo mayor que el Fiduciario indique. El silencio importará una respuesta negativa a la recomendación, si la hubiere. El Fiduciario deberá verificar que exista consentimiento de la mayoría requerida de Beneficiarios registrados a la fecha de vencimiento del plazo correspondiente, conforme a los registros de Caja de Valores S.A. </w:t>
      </w:r>
    </w:p>
    <w:p w14:paraId="2AD86DB0"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En ningún caso se considerará que en virtud de tal recomendación, el Fiduciario y/o los Beneficiarios de que se trate serán responsables por las consecuencias que deriven del curso de acción resuelto por la mayoría exigible de Beneficiarios. </w:t>
      </w:r>
    </w:p>
    <w:p w14:paraId="34901297" w14:textId="77777777" w:rsidR="0066683E" w:rsidRPr="00506990" w:rsidRDefault="0066683E" w:rsidP="00047454">
      <w:pPr>
        <w:autoSpaceDE w:val="0"/>
        <w:autoSpaceDN w:val="0"/>
        <w:adjustRightInd w:val="0"/>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El Fiduciario deberá poner en conocimiento de la Calificadoras y de la Comisión Nacional de Valores, en su caso, las decisiones adoptadas por los Beneficiarios conforme a la presente cláusula.</w:t>
      </w:r>
    </w:p>
    <w:p w14:paraId="4BF4B03C" w14:textId="1625EC45" w:rsidR="0066683E" w:rsidRPr="00506990" w:rsidRDefault="0066683E" w:rsidP="0066683E">
      <w:pPr>
        <w:autoSpaceDE w:val="0"/>
        <w:autoSpaceDN w:val="0"/>
        <w:adjustRightInd w:val="0"/>
        <w:jc w:val="left"/>
        <w:rPr>
          <w:rFonts w:ascii="Times New Roman" w:hAnsi="Times New Roman" w:cs="Times New Roman"/>
          <w:color w:val="000000"/>
          <w:sz w:val="22"/>
          <w:szCs w:val="22"/>
          <w:lang w:val="es-AR" w:eastAsia="es-AR"/>
        </w:rPr>
      </w:pPr>
      <w:r w:rsidRPr="00506990">
        <w:rPr>
          <w:rFonts w:ascii="Times New Roman" w:hAnsi="Times New Roman" w:cs="Times New Roman"/>
          <w:color w:val="000000"/>
          <w:sz w:val="22"/>
          <w:szCs w:val="22"/>
          <w:lang w:val="es-AR" w:eastAsia="es-AR"/>
        </w:rPr>
        <w:t xml:space="preserve"> </w:t>
      </w:r>
    </w:p>
    <w:p w14:paraId="6268C6A1" w14:textId="2CD507C0" w:rsidR="0066683E" w:rsidRPr="00506990" w:rsidRDefault="0066683E" w:rsidP="0066683E">
      <w:pPr>
        <w:keepNext/>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00000"/>
          <w:sz w:val="22"/>
          <w:szCs w:val="22"/>
          <w:lang w:val="es-AR" w:eastAsia="es-AR"/>
        </w:rPr>
        <w:t xml:space="preserve">3.20. Posibilidad de renuncia del Fiduciario frente a decisiones de la Asamblea de Beneficiarios. </w:t>
      </w:r>
      <w:r w:rsidRPr="00506990">
        <w:rPr>
          <w:rFonts w:ascii="Times New Roman" w:hAnsi="Times New Roman" w:cs="Times New Roman"/>
          <w:color w:val="000000"/>
          <w:sz w:val="22"/>
          <w:szCs w:val="22"/>
          <w:lang w:val="es-AR" w:eastAsia="es-AR"/>
        </w:rPr>
        <w:t>Las Asambleas de Beneficiarios serán presididas por un funcionario autorizado del Fiduciario, quien tendrá derecho de voz como tal, pero no derecho de voto. La Sociedad Fiduciaria podrá renunciar fundado en causales razonables y objetivas, cuando no estuviere de acuerdo con cualquier resolución que haya adoptado la Asamblea de Beneficiarios o los Beneficiarios por alguno de los medios alternativos previstos en el art. 3.19, debiendo declarar su voluntad en tal sentido a</w:t>
      </w:r>
      <w:r w:rsidR="002A2B1C" w:rsidRPr="00506990">
        <w:rPr>
          <w:rFonts w:ascii="Times New Roman" w:hAnsi="Times New Roman" w:cs="Times New Roman"/>
          <w:color w:val="000000"/>
          <w:sz w:val="22"/>
          <w:szCs w:val="22"/>
          <w:lang w:val="es-AR" w:eastAsia="es-AR"/>
        </w:rPr>
        <w:t xml:space="preserve"> </w:t>
      </w:r>
      <w:r w:rsidRPr="00506990">
        <w:rPr>
          <w:rFonts w:ascii="Times New Roman" w:hAnsi="Times New Roman" w:cs="Times New Roman"/>
          <w:color w:val="000000"/>
          <w:sz w:val="22"/>
          <w:szCs w:val="22"/>
          <w:lang w:val="es-AR" w:eastAsia="es-AR"/>
        </w:rPr>
        <w:t>l</w:t>
      </w:r>
      <w:r w:rsidR="002A2B1C" w:rsidRPr="00506990">
        <w:rPr>
          <w:rFonts w:ascii="Times New Roman" w:hAnsi="Times New Roman" w:cs="Times New Roman"/>
          <w:color w:val="000000"/>
          <w:sz w:val="22"/>
          <w:szCs w:val="22"/>
          <w:lang w:val="es-AR" w:eastAsia="es-AR"/>
        </w:rPr>
        <w:t>os</w:t>
      </w:r>
      <w:r w:rsidRPr="00506990">
        <w:rPr>
          <w:rFonts w:ascii="Times New Roman" w:hAnsi="Times New Roman" w:cs="Times New Roman"/>
          <w:color w:val="000000"/>
          <w:sz w:val="22"/>
          <w:szCs w:val="22"/>
          <w:lang w:val="es-AR" w:eastAsia="es-AR"/>
        </w:rPr>
        <w:t xml:space="preserve"> Fiduciante</w:t>
      </w:r>
      <w:r w:rsidR="002A2B1C" w:rsidRPr="00506990">
        <w:rPr>
          <w:rFonts w:ascii="Times New Roman" w:hAnsi="Times New Roman" w:cs="Times New Roman"/>
          <w:color w:val="000000"/>
          <w:sz w:val="22"/>
          <w:szCs w:val="22"/>
          <w:lang w:val="es-AR" w:eastAsia="es-AR"/>
        </w:rPr>
        <w:t>s</w:t>
      </w:r>
      <w:r w:rsidRPr="00506990">
        <w:rPr>
          <w:rFonts w:ascii="Times New Roman" w:hAnsi="Times New Roman" w:cs="Times New Roman"/>
          <w:color w:val="000000"/>
          <w:sz w:val="22"/>
          <w:szCs w:val="22"/>
          <w:lang w:val="es-AR" w:eastAsia="es-AR"/>
        </w:rPr>
        <w:t xml:space="preserve"> en un plazo máximo de diez días de clausurada la Asamblea y simultáneamente iniciar los procedimientos para la designación del Fiduciario sustituto.</w:t>
      </w:r>
    </w:p>
    <w:p w14:paraId="2C9603E0" w14:textId="77777777" w:rsidR="0050339C" w:rsidRPr="00506990" w:rsidRDefault="0050339C" w:rsidP="0050339C">
      <w:pPr>
        <w:keepNext/>
        <w:suppressAutoHyphens/>
        <w:rPr>
          <w:rFonts w:ascii="Times New Roman" w:hAnsi="Times New Roman" w:cs="Times New Roman"/>
          <w:b/>
          <w:bCs/>
          <w:iCs/>
          <w:color w:val="0D0D0D" w:themeColor="text1" w:themeTint="F2"/>
          <w:sz w:val="22"/>
          <w:szCs w:val="22"/>
        </w:rPr>
      </w:pPr>
    </w:p>
    <w:p w14:paraId="121F6D3D" w14:textId="77777777" w:rsidR="0050339C" w:rsidRPr="00506990" w:rsidRDefault="0050339C" w:rsidP="0050339C">
      <w:pPr>
        <w:keepNext/>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bCs/>
          <w:iCs/>
          <w:color w:val="0D0D0D" w:themeColor="text1" w:themeTint="F2"/>
          <w:sz w:val="22"/>
          <w:szCs w:val="22"/>
        </w:rPr>
        <w:t>MISCELÁNEAS</w:t>
      </w:r>
    </w:p>
    <w:p w14:paraId="5AAE6DDD" w14:textId="77777777" w:rsidR="0050339C" w:rsidRPr="00506990" w:rsidRDefault="0050339C" w:rsidP="0050339C">
      <w:pPr>
        <w:keepNext/>
        <w:suppressAutoHyphens/>
        <w:rPr>
          <w:rFonts w:ascii="Times New Roman" w:hAnsi="Times New Roman" w:cs="Times New Roman"/>
          <w:b/>
          <w:iCs/>
          <w:color w:val="0D0D0D" w:themeColor="text1" w:themeTint="F2"/>
          <w:sz w:val="22"/>
          <w:szCs w:val="22"/>
        </w:rPr>
      </w:pPr>
    </w:p>
    <w:p w14:paraId="70B993AB" w14:textId="072E3D0A"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iCs/>
          <w:color w:val="0D0D0D" w:themeColor="text1" w:themeTint="F2"/>
          <w:sz w:val="22"/>
          <w:szCs w:val="22"/>
        </w:rPr>
        <w:t>Artículo 4.1.- Declaraciones y Garantías.</w:t>
      </w:r>
      <w:r w:rsidRPr="00506990">
        <w:rPr>
          <w:rFonts w:ascii="Times New Roman" w:hAnsi="Times New Roman" w:cs="Times New Roman"/>
          <w:iCs/>
          <w:color w:val="0D0D0D" w:themeColor="text1" w:themeTint="F2"/>
          <w:sz w:val="22"/>
          <w:szCs w:val="22"/>
        </w:rPr>
        <w:t xml:space="preserve"> </w:t>
      </w:r>
      <w:r w:rsidR="006E36BA"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iCs/>
          <w:color w:val="0D0D0D" w:themeColor="text1" w:themeTint="F2"/>
          <w:sz w:val="22"/>
          <w:szCs w:val="22"/>
        </w:rPr>
        <w:t xml:space="preserve"> Fiduciante</w:t>
      </w:r>
      <w:r w:rsidR="006E36BA"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declara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y garantiza</w:t>
      </w:r>
      <w:r w:rsidR="006E36BA"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que: </w:t>
      </w:r>
    </w:p>
    <w:p w14:paraId="1A6305E7" w14:textId="291F389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(a) La formalización y cumplimiento de este Contrato Suplementario, y de los actos que son su consecuencia se encuentran dentro de sus facultades y objeto social, y que para su debida formalización y cumplimiento no se requiere de autorización alguna por parte de cualquier órgano o autoridad, excepto por las autorizaciones de oferta pública y listado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rPr>
        <w:t>;</w:t>
      </w:r>
    </w:p>
    <w:p w14:paraId="63E62F48" w14:textId="12E078E3"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(b) Además del acuerdo concursal homologado, no está pendiente ni es inminente según su leal saber y entender ninguna acción ante los tribunales, organismos gubernamentales o árbitros y ningún proceso que afecte a</w:t>
      </w:r>
      <w:r w:rsidR="002A2B1C"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pueda tener un efecto adverso y significativo sobre su situación financiera o sus operaciones, o que pueda afectar la validez o exigibilidad de este Contrato Suplementario; y que especialmente no se han dado, ni es previsible que se den en el futuro inmediato, ninguna de las circunstancias indicadas en el artículo 3.9. </w:t>
      </w:r>
    </w:p>
    <w:p w14:paraId="10B0B81F"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(c) En su caso, ha otorgado los Créditos dentro de sus facultades, de acuerdo con los estatutos y leyes que le son aplicables, en el curso de operaciones normales;</w:t>
      </w:r>
    </w:p>
    <w:p w14:paraId="6694445E"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(d) Es titular irrestricto y tiene la libre disponibilidad de los Créditos;</w:t>
      </w:r>
    </w:p>
    <w:p w14:paraId="610FB272"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 Los Créditos se encuentran en plena vigencia y validez y se encuentran libres de todo gravamen y afectación de cualquier naturaleza;</w:t>
      </w:r>
    </w:p>
    <w:p w14:paraId="323DB9A0"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(f) Los Créditos constituyen obligaciones válidas de moneda nacional;</w:t>
      </w:r>
    </w:p>
    <w:p w14:paraId="0506EC6C"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 (g) Los fondos / bienes objeto del Contrato de Fideicomiso tienen su origen en actividades lícitas, comprometiéndose a suministrar toda información por ustedes requerida para dar cumplimiento a las normas del BCRA y demás entes de contralor aplicables, así como también aquellas relacionadas con la Prevención del Lavado de Dinero y Financiamiento del Terrorismo (ley 25.246 y modificatorias).</w:t>
      </w:r>
    </w:p>
    <w:p w14:paraId="75A88EAC"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p>
    <w:p w14:paraId="5E765977" w14:textId="54FF9681"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Artículo 4.2. Condiciones previas a la colocación de los Valores </w:t>
      </w:r>
      <w:r w:rsidR="00D37CD5" w:rsidRPr="00B43F7C">
        <w:rPr>
          <w:rFonts w:ascii="Times New Roman" w:hAnsi="Times New Roman" w:cs="Times New Roman"/>
          <w:b/>
          <w:iCs/>
          <w:color w:val="0D0D0D" w:themeColor="text1" w:themeTint="F2"/>
          <w:sz w:val="22"/>
          <w:szCs w:val="22"/>
          <w:lang w:val="es-AR"/>
        </w:rPr>
        <w:t xml:space="preserve">de Deuda </w:t>
      </w:r>
      <w:r w:rsidR="00D8176F" w:rsidRPr="00506990">
        <w:rPr>
          <w:rFonts w:ascii="Times New Roman" w:eastAsia="Times New Roman" w:hAnsi="Times New Roman" w:cs="Times New Roman"/>
          <w:b/>
          <w:color w:val="0D0D0D" w:themeColor="text1" w:themeTint="F2"/>
          <w:sz w:val="22"/>
          <w:szCs w:val="22"/>
          <w:lang w:val="es-AR"/>
        </w:rPr>
        <w:t>Fiduciari</w:t>
      </w:r>
      <w:r w:rsidR="00D37CD5" w:rsidRPr="00506990">
        <w:rPr>
          <w:rFonts w:ascii="Times New Roman" w:eastAsia="Times New Roman" w:hAnsi="Times New Roman" w:cs="Times New Roman"/>
          <w:b/>
          <w:color w:val="0D0D0D" w:themeColor="text1" w:themeTint="F2"/>
          <w:sz w:val="22"/>
          <w:szCs w:val="22"/>
          <w:lang w:val="es-AR"/>
        </w:rPr>
        <w:t>a</w:t>
      </w:r>
      <w:r w:rsidR="00D8176F" w:rsidRPr="00506990">
        <w:rPr>
          <w:rFonts w:ascii="Times New Roman" w:eastAsia="Times New Roman" w:hAnsi="Times New Roman" w:cs="Times New Roman"/>
          <w:b/>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en el mercado.</w:t>
      </w:r>
      <w:r w:rsidRPr="00506990">
        <w:rPr>
          <w:rFonts w:ascii="Times New Roman" w:hAnsi="Times New Roman" w:cs="Times New Roman"/>
          <w:iCs/>
          <w:color w:val="0D0D0D" w:themeColor="text1" w:themeTint="F2"/>
          <w:sz w:val="22"/>
          <w:szCs w:val="22"/>
          <w:lang w:val="es-AR"/>
        </w:rPr>
        <w:t xml:space="preserve"> Todas las obligaciones del Fiduciario bajo el presente Contrato, incluyendo la obligación de colocar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en el mercado, están sujetas a las siguientes condiciones previas:</w:t>
      </w:r>
    </w:p>
    <w:p w14:paraId="7D53032B" w14:textId="5114EE5D"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ab/>
        <w:t>a la exactitud de la totalidad de las declaraciones y garantías por parte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consignadas en el presente Contrato; </w:t>
      </w:r>
    </w:p>
    <w:p w14:paraId="74AD79C3"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(b)</w:t>
      </w:r>
      <w:r w:rsidRPr="00506990">
        <w:rPr>
          <w:rFonts w:ascii="Times New Roman" w:hAnsi="Times New Roman" w:cs="Times New Roman"/>
          <w:iCs/>
          <w:color w:val="0D0D0D" w:themeColor="text1" w:themeTint="F2"/>
          <w:sz w:val="22"/>
          <w:szCs w:val="22"/>
          <w:lang w:val="es-AR"/>
        </w:rPr>
        <w:tab/>
        <w:t xml:space="preserve">la transferencia correspondiente de los Bienes Fideicomitidos al Fideicomiso mediante el endoso sin recurso de los pagarés correspondientes, la entrega de los Documentos Respaldatorios de Crédito al Custodio de los documentos, más la entrega al Fiduciario de un archivo electrónico con el detalle de los créditos cedidos al presente fideicomiso conforme al artículo 1.2; </w:t>
      </w:r>
    </w:p>
    <w:p w14:paraId="3E251278" w14:textId="6C3DB9AA"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ab/>
        <w:t xml:space="preserve">que la CNV otorgue la autorización de oferta pública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a ser emitidos y no se hayan iniciado procedimientos a efectos de suspender la oferta pública por parte de la CNV; y </w:t>
      </w:r>
    </w:p>
    <w:p w14:paraId="2F425D56" w14:textId="170890B1" w:rsidR="0050339C" w:rsidRPr="00506990" w:rsidRDefault="0050339C" w:rsidP="0050339C">
      <w:pPr>
        <w:keepNext/>
        <w:suppressAutoHyphens/>
        <w:rPr>
          <w:rFonts w:ascii="Times New Roman" w:hAnsi="Times New Roman" w:cs="Times New Roman"/>
          <w:iCs/>
          <w:color w:val="0D0D0D" w:themeColor="text1" w:themeTint="F2"/>
          <w:sz w:val="22"/>
          <w:szCs w:val="22"/>
          <w:lang w:val="x-none"/>
        </w:rPr>
      </w:pPr>
      <w:r w:rsidRPr="00506990">
        <w:rPr>
          <w:rFonts w:ascii="Times New Roman" w:hAnsi="Times New Roman" w:cs="Times New Roman"/>
          <w:iCs/>
          <w:color w:val="0D0D0D" w:themeColor="text1" w:themeTint="F2"/>
          <w:sz w:val="22"/>
          <w:szCs w:val="22"/>
          <w:lang w:val="x-none"/>
        </w:rPr>
        <w:t>(</w:t>
      </w:r>
      <w:r w:rsidRPr="00506990">
        <w:rPr>
          <w:rFonts w:ascii="Times New Roman" w:hAnsi="Times New Roman" w:cs="Times New Roman"/>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x-none"/>
        </w:rPr>
        <w:t xml:space="preserve">) </w:t>
      </w:r>
      <w:r w:rsidRPr="00506990">
        <w:rPr>
          <w:rFonts w:ascii="Times New Roman" w:hAnsi="Times New Roman" w:cs="Times New Roman"/>
          <w:iCs/>
          <w:color w:val="0D0D0D" w:themeColor="text1" w:themeTint="F2"/>
          <w:sz w:val="22"/>
          <w:szCs w:val="22"/>
          <w:lang w:val="x-none"/>
        </w:rPr>
        <w:tab/>
        <w:t xml:space="preserve">que no ocurra ninguno de los eventos detallados a continuación que, según la opinión razonable del Fiduciario, haga imposible la colocación de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x-none"/>
        </w:rPr>
        <w:t>:</w:t>
      </w:r>
    </w:p>
    <w:p w14:paraId="20037A9F" w14:textId="77777777" w:rsidR="0050339C" w:rsidRPr="00506990" w:rsidRDefault="0050339C" w:rsidP="00270AFD">
      <w:pPr>
        <w:keepNext/>
        <w:numPr>
          <w:ilvl w:val="0"/>
          <w:numId w:val="24"/>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evento que signifique un posible cambio en, o que afecte particularmente en forma significativa, a razonable criterio del Fiduciario, los Bienes Fideicomitidos;</w:t>
      </w:r>
    </w:p>
    <w:p w14:paraId="4083D917" w14:textId="77777777" w:rsidR="0050339C" w:rsidRPr="00506990" w:rsidRDefault="0050339C" w:rsidP="00270AFD">
      <w:pPr>
        <w:keepNext/>
        <w:numPr>
          <w:ilvl w:val="0"/>
          <w:numId w:val="24"/>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evento que signifique un posible cambio en, o que afecte particularmente en forma significativa la extensión, vigencia y validez del Fideicomiso;</w:t>
      </w:r>
    </w:p>
    <w:p w14:paraId="1D2C0B18" w14:textId="253F4E11" w:rsidR="0050339C" w:rsidRPr="00506990" w:rsidRDefault="0050339C" w:rsidP="00270AFD">
      <w:pPr>
        <w:keepNext/>
        <w:numPr>
          <w:ilvl w:val="0"/>
          <w:numId w:val="24"/>
        </w:num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suspensión o limitación significativa de las operaciones de valores negociables en general en el MAV y/o en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en cualquier mercado donde, en caso de solicitarse autorización pertinente, vayan a ser listados los Valores </w:t>
      </w:r>
      <w:r w:rsidR="00D37CD5" w:rsidRPr="00B43F7C">
        <w:rPr>
          <w:rFonts w:ascii="Times New Roman" w:hAnsi="Times New Roman" w:cs="Times New Roman"/>
          <w:iCs/>
          <w:color w:val="0D0D0D" w:themeColor="text1" w:themeTint="F2"/>
          <w:sz w:val="22"/>
          <w:szCs w:val="22"/>
          <w:lang w:val="es-AR"/>
        </w:rPr>
        <w:t xml:space="preserve">de Deuda </w:t>
      </w:r>
      <w:r w:rsidR="00D8176F"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o cualquier fijación de precios mínimos para la realización de operaciones en cualquiera de dichas entidades.</w:t>
      </w:r>
    </w:p>
    <w:p w14:paraId="3DB252FD"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7D268162" w14:textId="44DBDB64"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En caso que no se hubiere dado cumplimiento, a entera satisfacción del Fiduciario, a todas y cada una de las condiciones previas mencionadas anteriormente, o las mismas no hubieran sido dispensadas total o parcialmente por el Fiduciario, y el Contrato de Fideicomiso ya se hubiere firmado, el Fiduciario no tendrá obligación de colocar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y el presente Contrato de Fideicomiso se resolverá de pleno derecho, sin necesidad de intimación previa ni constitución en mora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quedando a salvo el derecho del Fiduciario a reclamar a</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los daños y perjuicios en caso que la imposibilidad de llevar adelante la colocación de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sea imputable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sin que ello genere indemnización, cargo, gasto o responsabilidad alguna del Fiduciario, salvo culpa o dolo de su parte y/o de sus agentes por quienes deba responder, calificada dicha conducta como tal por sentencia judicial firme y definitiva emanada de autoridad judicial competente. </w:t>
      </w:r>
    </w:p>
    <w:p w14:paraId="493E85C3" w14:textId="13E86255"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Sin perjuicio de lo expuesto en el párrafo anterior, el presente Contrato mantendrá plena vigencia para el supuesto que hubieran celebrado </w:t>
      </w:r>
      <w:r w:rsidR="004A191C"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ontratos de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nderwriting en firme con adelanto de precio donde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nderwriters se hubiesen comprometido a adquirir VDF que no hubieran sido adquiridos por el público a la finalización del Período de Colocación y adelantado los fondos correspondientes al precio de dicha suscripción. En tal supuesto los Bienes Fideicomitidos quedarán afectados a la total cancelación de los valores </w:t>
      </w:r>
      <w:r w:rsidR="00DB3D15" w:rsidRPr="00506990">
        <w:rPr>
          <w:rFonts w:ascii="Times New Roman" w:hAnsi="Times New Roman" w:cs="Times New Roman"/>
          <w:iCs/>
          <w:color w:val="0D0D0D" w:themeColor="text1" w:themeTint="F2"/>
          <w:sz w:val="22"/>
          <w:szCs w:val="22"/>
          <w:lang w:val="es-AR"/>
        </w:rPr>
        <w:t>f</w:t>
      </w:r>
      <w:r w:rsidR="00DB3D15" w:rsidRPr="00506990">
        <w:rPr>
          <w:rFonts w:ascii="Times New Roman" w:eastAsia="Times New Roman" w:hAnsi="Times New Roman" w:cs="Times New Roman"/>
          <w:color w:val="0D0D0D" w:themeColor="text1" w:themeTint="F2"/>
          <w:sz w:val="22"/>
          <w:szCs w:val="22"/>
          <w:lang w:val="es-AR"/>
        </w:rPr>
        <w:t>iduciarios</w:t>
      </w:r>
      <w:r w:rsidRPr="00506990">
        <w:rPr>
          <w:rFonts w:ascii="Times New Roman" w:hAnsi="Times New Roman" w:cs="Times New Roman"/>
          <w:iCs/>
          <w:color w:val="0D0D0D" w:themeColor="text1" w:themeTint="F2"/>
          <w:sz w:val="22"/>
          <w:szCs w:val="22"/>
          <w:lang w:val="es-AR"/>
        </w:rPr>
        <w:t xml:space="preserve"> privados que se hubiesen emitido en las condiciones comprometidas por el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 y hasta tanto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nderwriters no hubiesen sido desobligados en su totalidad por 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w:t>
      </w:r>
    </w:p>
    <w:p w14:paraId="7E9E58BC" w14:textId="5E26BB6B"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Todos los costos, gastos y honorarios razonables, según la liquidación que el Fiduciario deberá notificar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que se hubieren generado o puedan generarse con motivo del Fideicomiso y la resolución del Contrato de Fideicomiso, serán a cargo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salvo culpa o dolo del Fiduciario y/o de sus agentes por quienes deba responder, calificada dicha conducta como tal por sentencia judicial firme y definitiva emanada de autoridad judicial competente.</w:t>
      </w:r>
    </w:p>
    <w:p w14:paraId="1BBF2EC4"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1071E275" w14:textId="5511051C"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Artículo 4.3. Obligación de</w:t>
      </w:r>
      <w:r w:rsidR="006E36BA" w:rsidRPr="00506990">
        <w:rPr>
          <w:rFonts w:ascii="Times New Roman" w:hAnsi="Times New Roman" w:cs="Times New Roman"/>
          <w:b/>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l</w:t>
      </w:r>
      <w:r w:rsidR="006E36BA" w:rsidRPr="00506990">
        <w:rPr>
          <w:rFonts w:ascii="Times New Roman" w:hAnsi="Times New Roman" w:cs="Times New Roman"/>
          <w:b/>
          <w:iCs/>
          <w:color w:val="0D0D0D" w:themeColor="text1" w:themeTint="F2"/>
          <w:sz w:val="22"/>
          <w:szCs w:val="22"/>
          <w:lang w:val="es-AR"/>
        </w:rPr>
        <w:t>os</w:t>
      </w:r>
      <w:r w:rsidRPr="00506990">
        <w:rPr>
          <w:rFonts w:ascii="Times New Roman" w:hAnsi="Times New Roman" w:cs="Times New Roman"/>
          <w:b/>
          <w:iCs/>
          <w:color w:val="0D0D0D" w:themeColor="text1" w:themeTint="F2"/>
          <w:sz w:val="22"/>
          <w:szCs w:val="22"/>
          <w:lang w:val="es-AR"/>
        </w:rPr>
        <w:t xml:space="preserve"> Fiduciante</w:t>
      </w:r>
      <w:r w:rsidR="006E36BA" w:rsidRPr="00506990">
        <w:rPr>
          <w:rFonts w:ascii="Times New Roman" w:hAnsi="Times New Roman" w:cs="Times New Roman"/>
          <w:b/>
          <w:iCs/>
          <w:color w:val="0D0D0D" w:themeColor="text1" w:themeTint="F2"/>
          <w:sz w:val="22"/>
          <w:szCs w:val="22"/>
          <w:lang w:val="es-AR"/>
        </w:rPr>
        <w:t>s</w:t>
      </w:r>
      <w:r w:rsidRPr="00506990">
        <w:rPr>
          <w:rFonts w:ascii="Times New Roman" w:hAnsi="Times New Roman" w:cs="Times New Roman"/>
          <w:b/>
          <w:iCs/>
          <w:color w:val="0D0D0D" w:themeColor="text1" w:themeTint="F2"/>
          <w:sz w:val="22"/>
          <w:szCs w:val="22"/>
          <w:lang w:val="es-AR"/>
        </w:rPr>
        <w:t xml:space="preserve"> de indemnizar y mantener indemne:</w:t>
      </w:r>
      <w:r w:rsidRPr="00506990">
        <w:rPr>
          <w:rFonts w:ascii="Times New Roman" w:hAnsi="Times New Roman" w:cs="Times New Roman"/>
          <w:iCs/>
          <w:color w:val="0D0D0D" w:themeColor="text1" w:themeTint="F2"/>
          <w:sz w:val="22"/>
          <w:szCs w:val="22"/>
          <w:lang w:val="es-AR"/>
        </w:rPr>
        <w:t>(</w:t>
      </w:r>
      <w:r w:rsidRPr="00506990">
        <w:rPr>
          <w:rFonts w:ascii="Times New Roman" w:hAnsi="Times New Roman" w:cs="Times New Roman"/>
          <w:b/>
          <w:iCs/>
          <w:color w:val="0D0D0D" w:themeColor="text1" w:themeTint="F2"/>
          <w:sz w:val="22"/>
          <w:szCs w:val="22"/>
          <w:lang w:val="es-AR"/>
        </w:rPr>
        <w:t xml:space="preserve">a) </w:t>
      </w:r>
      <w:r w:rsidR="006E36BA"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mantendrá</w:t>
      </w:r>
      <w:r w:rsidR="006E36BA"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indemne al Fiduciario, y a cada uno de sus funcionarios, directores, accionistas, gerentes, empleados, representantes, sus personas controlantes, controladas, sujetos de control común, vinculadas, afiliadas, subsidiarias, y al Fideicomiso según fuera el caso, (cada uno, una “Parte indemnizada”) contra toda pérdida, responsabilidad, obligación, gasto razonable, Impuestos, multa, acciones, daños y perjuicios incluyendo pero sin limitar cualquier sentencia, laudo, acuerdo, comisiones, honorarios razonables de abogado y otras costas y gastos incurridos en relación con la defensa de cualquier acción presente o de posible iniciación, proceso o demanda judicial, sufrido con motivo de la celebración y cumplimiento de este Contrato, a menos que tales responsabilidades, obligaciones, gastos razonables, Impuestos, multas, acciones, daños y perjuicios se hayan originado por culpa o dolo del Fiduciario o de una Parte indemnizada, que procuren obtener dicha indemnización. Las obligaciones de</w:t>
      </w:r>
      <w:r w:rsidR="006E36BA"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6E36BA"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6E36BA"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bajo este artículo continuarán vigentes luego de su renuncia o remoción como Administradores de los Créditos y la extinción de las demás disposiciones de este Contrato</w:t>
      </w:r>
    </w:p>
    <w:p w14:paraId="7C096064"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(b)</w:t>
      </w:r>
      <w:r w:rsidRPr="00506990">
        <w:rPr>
          <w:rFonts w:ascii="Times New Roman" w:hAnsi="Times New Roman" w:cs="Times New Roman"/>
          <w:iCs/>
          <w:color w:val="0D0D0D" w:themeColor="text1" w:themeTint="F2"/>
          <w:sz w:val="22"/>
          <w:szCs w:val="22"/>
          <w:lang w:val="es-AR"/>
        </w:rPr>
        <w:t xml:space="preserve">La presente  se mantendrá en vigencia hasta la prescripción de las acciones para reclamar los pagos debidos por los conceptos antes mencionados, aun cuando la prescripción de dichas acciones opere con posterioridad al vencimiento del plazo de vigencia del Fideicomiso o su efectiva liquidación y aún ante un supuesto de renuncia o remoción del Fiduciario. </w:t>
      </w:r>
    </w:p>
    <w:p w14:paraId="0EC3DDE2" w14:textId="21ED3E34"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 El Fiduciario, por cuenta propia o de la Parte indemnizada de que se trate, notificará tan pronto como sea posible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y a los Beneficiarios, mediante la publicación de un aviso en la AIF y en los sistemas de información de los mercado</w:t>
      </w:r>
      <w:r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lang w:val="es-AR"/>
        </w:rPr>
        <w:t xml:space="preserve">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sobre cualquier responsabilidad, daño y/o reclamo conforme la presente cláusula, actual o potencial, y suministrará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a la mayor brevedad posible, toda la información y una copia de toda la documentación en poder del Fiduciario relativas al supuesto previsto en la presente cláusula que cualquier Parte indemnizada razonablemente considere que podría llegar a generar la obligación de indemnidad a su favor conforme el inciso (a) anterior;</w:t>
      </w:r>
    </w:p>
    <w:p w14:paraId="0B23DCD4" w14:textId="35BC992F"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sidDel="008343AF">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b/>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 xml:space="preserve">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tendrá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derecho a asumir la defensa de la Parte indemnizada de que se trate (incluyendo la contratación de los asesores legales de dicha Parte indemnizada por sí o por dicha Parte indemnizada) contra cualquier responsabilidad, daño y/o reclamo conforme al inciso (a) y, de así notificarlo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al Fiduciario, por cuenta propia o de la Parte indemnizada de que se trate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suministrará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 la brevedad al Fiduciario, por cuenta propia o de la Parte indemnizada de que se trate, toda la información acerca de la defensa de dicha Parte indemnizada que en cualquier momento durante el transcurso de la misma el Fiduciario, por cuenta propia o de la Parte indemnizada de que se trate, solicite a</w:t>
      </w:r>
      <w:r w:rsidR="002A2B1C"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2A2B1C"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2A2B1C"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La contratación de los asesores legales deberá ser aprobada por el Fiduciario, quien no podrá denegar dicha aprobación en forma irrazonable. Si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hubieran asumido la defensa de la Parte indemnizada, la estrategia de cualquier pleito o procedimiento relevante deberá ser acordada con el Fiduciario;</w:t>
      </w:r>
    </w:p>
    <w:p w14:paraId="79DB6D8E" w14:textId="7AA113CC"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(e)</w:t>
      </w:r>
      <w:r w:rsidRPr="00506990">
        <w:rPr>
          <w:rFonts w:ascii="Times New Roman" w:hAnsi="Times New Roman" w:cs="Times New Roman"/>
          <w:iCs/>
          <w:color w:val="0D0D0D" w:themeColor="text1" w:themeTint="F2"/>
          <w:sz w:val="22"/>
          <w:szCs w:val="22"/>
          <w:lang w:val="es-AR"/>
        </w:rPr>
        <w:t xml:space="preserve"> Si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(i) hubiera</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asumido la defensa de la Parte indemnizada de que se trate conforme al inciso (a) de este artículo y dicha defensa hubiera resultado en una sentencia o resolución definitiva adversa a dicha Parte indemnizada o (ii) hubiera asumido la defensa de la Parte indemnizada de que se trate conforme al inciso (a) y posteriormente hubiera desistido de continuar con dicha defensa hasta la obtención de una sentencia o resolución definitiva o (iii) no hubiera asumido la defensa de la Parte indemnizada de que se trate conforme a este artículo, entonces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abonará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al Fiduciario todas las sumas que el Fiduciario, por cuenta propia o de la Parte indemnizada de que se trate, le requiera mediante una notificación dentro de las 72 (setenta y dos) horas de notificada a dicha Parte indemnizada una sentencia o resolución definitiva adversa;</w:t>
      </w:r>
    </w:p>
    <w:p w14:paraId="7206D7CB" w14:textId="10817053"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(f)</w:t>
      </w:r>
      <w:r w:rsidRPr="00506990">
        <w:rPr>
          <w:rFonts w:ascii="Times New Roman" w:hAnsi="Times New Roman" w:cs="Times New Roman"/>
          <w:iCs/>
          <w:color w:val="0D0D0D" w:themeColor="text1" w:themeTint="F2"/>
          <w:sz w:val="22"/>
          <w:szCs w:val="22"/>
          <w:lang w:val="es-AR"/>
        </w:rPr>
        <w:t xml:space="preserve"> Las disposiciones de esta sección alcanzarán y serán exigibles por una Parte indemnizada con sujeción a las limitaciones del presente y dichas disposiciones permanecerán vigentes luego de la renuncia o remoción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08183E"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la renuncia o remoción del Fiduciario y/o la terminación del presente; y</w:t>
      </w:r>
    </w:p>
    <w:p w14:paraId="0B9186A7" w14:textId="6EEBEBB8"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(g)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responsable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 título personal, independientemente de la responsabilidad a la que deba hacer frente el Fiduciario con los Créditos, frente al BCRA y frente a los deudores de los Créditos respecto de los informes que deban presentarse ante cualquiera de las entidades relevantes (BCRA, agencias de informes comerciales, Veraz, etc.) o los que eventualmente los reemplacen con relación a los Créditos. Asimismo,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será</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responsable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a título personal, por cualquier penalidad o sanción que pudiera ser aplicable por el BCRA o cualquier otra Autoridad Gubernamental al Fiduciario, sea a título personal o en su calidad de fiduciario, por la inexactitud de la información presentada conforme con la información proporcionada por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w:t>
      </w:r>
    </w:p>
    <w:p w14:paraId="68E76A8A" w14:textId="15617EAB"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(h)</w:t>
      </w:r>
      <w:r w:rsidRPr="00506990">
        <w:rPr>
          <w:rFonts w:ascii="Times New Roman" w:hAnsi="Times New Roman" w:cs="Times New Roman"/>
          <w:iCs/>
          <w:color w:val="0D0D0D" w:themeColor="text1" w:themeTint="F2"/>
          <w:sz w:val="22"/>
          <w:szCs w:val="22"/>
          <w:lang w:val="es-AR"/>
        </w:rPr>
        <w:t xml:space="preserve"> </w:t>
      </w:r>
      <w:r w:rsidR="00F7400D"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se obliga</w:t>
      </w:r>
      <w:r w:rsidR="00F7400D"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a mantener indemne al Fiduciario, los integrantes de sus órganos de administración, fiscalización y deliberación, empleados, gerentes, funcionarios y asesores,  de cualquier reclamo, acción o demanda laboral o previsional o extensión de responsabilidad, que se les hiciere por los empleados o personas en relación de dependencia con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aunque prestaren servicios, o realizaran tareas propias o vinculadas o en ocasión del presente contrato de fideicomiso.</w:t>
      </w:r>
    </w:p>
    <w:p w14:paraId="10EF20FA"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p>
    <w:p w14:paraId="40D0DF6D" w14:textId="341B63D0"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lang w:val="es-AR"/>
        </w:rPr>
        <w:t xml:space="preserve">Artículo 4.4. Resolución del Contrato. </w:t>
      </w:r>
      <w:r w:rsidRPr="00506990">
        <w:rPr>
          <w:rFonts w:ascii="Times New Roman" w:hAnsi="Times New Roman" w:cs="Times New Roman"/>
          <w:iCs/>
          <w:color w:val="0D0D0D" w:themeColor="text1" w:themeTint="F2"/>
          <w:sz w:val="22"/>
          <w:szCs w:val="22"/>
          <w:lang w:val="es-AR"/>
        </w:rPr>
        <w:t xml:space="preserve">El presente Contrato se resolverá de pleno derecho y sin responsabilidad para el Fiduciario en caso de que, obtenida la autorización de oferta pública de la CNV y la autorización del listado de los mercados autorizados donde listen y/o negocien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transcurran ciento ochenta (180) días desde la firma del mismo sin que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iCs/>
          <w:color w:val="0D0D0D" w:themeColor="text1" w:themeTint="F2"/>
          <w:sz w:val="22"/>
          <w:szCs w:val="22"/>
          <w:lang w:val="es-AR"/>
        </w:rPr>
        <w:t xml:space="preserve"> puedan ser colocados. </w:t>
      </w:r>
    </w:p>
    <w:p w14:paraId="281832D0" w14:textId="20996179"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Todos los costos, gastos y honorarios que se hubieren generado o puedan generarse con motivo de la firma, ejecución y la resolución del Contrato estarán a cargo de</w:t>
      </w:r>
      <w:r w:rsidR="00F7400D"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lang w:val="es-AR"/>
        </w:rPr>
        <w:t>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o, en su caso, podrán ser deducidos por el Fiduciario del Fondo de Gastos si existiere. Dichos costos, gastos y honorarios deberán ser razonables, documentados y de acuerdo a los valores de mercado. </w:t>
      </w:r>
    </w:p>
    <w:p w14:paraId="436223B6" w14:textId="77777777"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En caso de que se resuelva el Contrato de Fideicomiso, y en la medida que el Fiduciario hubiera recibido cualquier suma de dinero por parte de los inversores, la misma deberá ser reintegrada en un plazo no mayor a cinco (5) Días Hábiles posteriores a la fecha de finalización del Período de Colocación, sin obligación de abonar intereses ni compensación alguna. </w:t>
      </w:r>
    </w:p>
    <w:p w14:paraId="2700E844" w14:textId="58451181" w:rsidR="0050339C" w:rsidRPr="00506990" w:rsidRDefault="0050339C" w:rsidP="0050339C">
      <w:pPr>
        <w:keepNext/>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Sin perjuicio de lo expuesto en el presente artículo, la resolución no será aplicable y éste Contrato mantendrá plena vigencia para el supuesto que hubieran celebrado </w:t>
      </w:r>
      <w:r w:rsidR="004A191C" w:rsidRPr="00506990">
        <w:rPr>
          <w:rFonts w:ascii="Times New Roman" w:hAnsi="Times New Roman" w:cs="Times New Roman"/>
          <w:iCs/>
          <w:color w:val="0D0D0D" w:themeColor="text1" w:themeTint="F2"/>
          <w:sz w:val="22"/>
          <w:szCs w:val="22"/>
          <w:lang w:val="es-AR"/>
        </w:rPr>
        <w:t>c</w:t>
      </w:r>
      <w:r w:rsidRPr="00506990">
        <w:rPr>
          <w:rFonts w:ascii="Times New Roman" w:hAnsi="Times New Roman" w:cs="Times New Roman"/>
          <w:iCs/>
          <w:color w:val="0D0D0D" w:themeColor="text1" w:themeTint="F2"/>
          <w:sz w:val="22"/>
          <w:szCs w:val="22"/>
          <w:lang w:val="es-AR"/>
        </w:rPr>
        <w:t xml:space="preserve">ontratos de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nderwriting en firme con adelanto de precio donde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nderwriters se hubiesen comprometido a adquirir VDF que no hubieran sido adquiridos por el público a la finalización del Período de Colocación y adelantado los fondos correspondientes al precio de dicha suscripción. En tal supuesto los Bienes Fideicomitidos quedarán afectados a la total cancelación de los valores </w:t>
      </w:r>
      <w:r w:rsidR="00DB3D15" w:rsidRPr="00506990">
        <w:rPr>
          <w:rFonts w:ascii="Times New Roman" w:hAnsi="Times New Roman" w:cs="Times New Roman"/>
          <w:iCs/>
          <w:color w:val="0D0D0D" w:themeColor="text1" w:themeTint="F2"/>
          <w:sz w:val="22"/>
          <w:szCs w:val="22"/>
          <w:lang w:val="es-AR"/>
        </w:rPr>
        <w:t>f</w:t>
      </w:r>
      <w:r w:rsidR="00DB3D15" w:rsidRPr="00506990">
        <w:rPr>
          <w:rFonts w:ascii="Times New Roman" w:eastAsia="Times New Roman" w:hAnsi="Times New Roman" w:cs="Times New Roman"/>
          <w:color w:val="0D0D0D" w:themeColor="text1" w:themeTint="F2"/>
          <w:sz w:val="22"/>
          <w:szCs w:val="22"/>
          <w:lang w:val="es-AR"/>
        </w:rPr>
        <w:t>iduciarios</w:t>
      </w:r>
      <w:r w:rsidRPr="00506990">
        <w:rPr>
          <w:rFonts w:ascii="Times New Roman" w:hAnsi="Times New Roman" w:cs="Times New Roman"/>
          <w:iCs/>
          <w:color w:val="0D0D0D" w:themeColor="text1" w:themeTint="F2"/>
          <w:sz w:val="22"/>
          <w:szCs w:val="22"/>
          <w:lang w:val="es-AR"/>
        </w:rPr>
        <w:t xml:space="preserve"> privados que se hubiesen emitido en las condiciones comprometidas por el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 xml:space="preserve">nderwriter y hasta tanto los </w:t>
      </w:r>
      <w:r w:rsidR="004A191C" w:rsidRPr="00506990">
        <w:rPr>
          <w:rFonts w:ascii="Times New Roman" w:hAnsi="Times New Roman" w:cs="Times New Roman"/>
          <w:iCs/>
          <w:color w:val="0D0D0D" w:themeColor="text1" w:themeTint="F2"/>
          <w:sz w:val="22"/>
          <w:szCs w:val="22"/>
          <w:lang w:val="es-AR"/>
        </w:rPr>
        <w:t>u</w:t>
      </w:r>
      <w:r w:rsidRPr="00506990">
        <w:rPr>
          <w:rFonts w:ascii="Times New Roman" w:hAnsi="Times New Roman" w:cs="Times New Roman"/>
          <w:iCs/>
          <w:color w:val="0D0D0D" w:themeColor="text1" w:themeTint="F2"/>
          <w:sz w:val="22"/>
          <w:szCs w:val="22"/>
          <w:lang w:val="es-AR"/>
        </w:rPr>
        <w:t>nderwriters no hubiesen sido desobligados en su totalidad por l</w:t>
      </w:r>
      <w:r w:rsidR="00F7400D" w:rsidRPr="00506990">
        <w:rPr>
          <w:rFonts w:ascii="Times New Roman" w:hAnsi="Times New Roman" w:cs="Times New Roman"/>
          <w:iCs/>
          <w:color w:val="0D0D0D" w:themeColor="text1" w:themeTint="F2"/>
          <w:sz w:val="22"/>
          <w:szCs w:val="22"/>
          <w:lang w:val="es-AR"/>
        </w:rPr>
        <w:t>os</w:t>
      </w:r>
      <w:r w:rsidRPr="00506990">
        <w:rPr>
          <w:rFonts w:ascii="Times New Roman" w:hAnsi="Times New Roman" w:cs="Times New Roman"/>
          <w:iCs/>
          <w:color w:val="0D0D0D" w:themeColor="text1" w:themeTint="F2"/>
          <w:sz w:val="22"/>
          <w:szCs w:val="22"/>
          <w:lang w:val="es-AR"/>
        </w:rPr>
        <w:t xml:space="preserve"> Fiduciante</w:t>
      </w:r>
      <w:r w:rsidR="00F7400D"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w:t>
      </w:r>
    </w:p>
    <w:p w14:paraId="68DB48CD" w14:textId="77777777" w:rsidR="0050339C" w:rsidRPr="00506990" w:rsidRDefault="0050339C" w:rsidP="0050339C">
      <w:pPr>
        <w:keepNext/>
        <w:suppressAutoHyphens/>
        <w:rPr>
          <w:rFonts w:ascii="Times New Roman" w:hAnsi="Times New Roman" w:cs="Times New Roman"/>
          <w:iCs/>
          <w:color w:val="0D0D0D" w:themeColor="text1" w:themeTint="F2"/>
          <w:sz w:val="22"/>
          <w:szCs w:val="22"/>
        </w:rPr>
      </w:pPr>
    </w:p>
    <w:p w14:paraId="3F84C0FB" w14:textId="205B3641"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Artículo 4.5. </w:t>
      </w:r>
      <w:r w:rsidRPr="00506990">
        <w:rPr>
          <w:rFonts w:ascii="Times New Roman" w:hAnsi="Times New Roman" w:cs="Times New Roman"/>
          <w:b/>
          <w:bCs/>
          <w:iCs/>
          <w:color w:val="0D0D0D" w:themeColor="text1" w:themeTint="F2"/>
          <w:sz w:val="22"/>
          <w:szCs w:val="22"/>
          <w:lang w:val="es-AR"/>
        </w:rPr>
        <w:t>Fecha de cierre de los estados contables del Fideicomiso</w:t>
      </w:r>
      <w:r w:rsidRPr="00506990">
        <w:rPr>
          <w:rFonts w:ascii="Times New Roman" w:hAnsi="Times New Roman" w:cs="Times New Roman"/>
          <w:iCs/>
          <w:color w:val="0D0D0D" w:themeColor="text1" w:themeTint="F2"/>
          <w:sz w:val="22"/>
          <w:szCs w:val="22"/>
          <w:lang w:val="es-AR"/>
        </w:rPr>
        <w:t>: La fecha de cierre de los estados contables del Fideicomiso será el 31 de diciembre de cada año.</w:t>
      </w:r>
      <w:r w:rsidR="00923F39" w:rsidRPr="00506990">
        <w:rPr>
          <w:rFonts w:ascii="Times New Roman" w:hAnsi="Times New Roman" w:cs="Times New Roman"/>
          <w:iCs/>
          <w:color w:val="0D0D0D" w:themeColor="text1" w:themeTint="F2"/>
          <w:sz w:val="22"/>
          <w:szCs w:val="22"/>
          <w:lang w:val="es-AR"/>
        </w:rPr>
        <w:t xml:space="preserve"> </w:t>
      </w:r>
      <w:r w:rsidRPr="00506990">
        <w:rPr>
          <w:rFonts w:ascii="Times New Roman" w:hAnsi="Times New Roman" w:cs="Times New Roman"/>
          <w:iCs/>
          <w:color w:val="0D0D0D" w:themeColor="text1" w:themeTint="F2"/>
          <w:sz w:val="22"/>
          <w:szCs w:val="22"/>
        </w:rPr>
        <w:t xml:space="preserve">Asimismo se informa que los Libros Contables del Fideicomiso se encontrarán en las oficinas del Fiduciario sitas en la calle </w:t>
      </w:r>
      <w:r w:rsidRPr="00506990">
        <w:rPr>
          <w:rFonts w:ascii="Times New Roman" w:hAnsi="Times New Roman" w:cs="Times New Roman"/>
          <w:color w:val="0D0D0D" w:themeColor="text1" w:themeTint="F2"/>
          <w:sz w:val="22"/>
          <w:szCs w:val="22"/>
        </w:rPr>
        <w:t>Paraguay 777 Piso 9º - (S2000CVO) Rosario, Pcia. de Santa Fe</w:t>
      </w:r>
    </w:p>
    <w:p w14:paraId="62EC3539" w14:textId="77777777" w:rsidR="0050339C" w:rsidRPr="00506990" w:rsidRDefault="0050339C" w:rsidP="0050339C">
      <w:pPr>
        <w:suppressAutoHyphens/>
        <w:spacing w:line="240" w:lineRule="atLeast"/>
        <w:rPr>
          <w:rFonts w:ascii="Times New Roman" w:hAnsi="Times New Roman" w:cs="Times New Roman"/>
          <w:b/>
          <w:bCs/>
          <w:iCs/>
          <w:color w:val="0D0D0D" w:themeColor="text1" w:themeTint="F2"/>
          <w:sz w:val="22"/>
          <w:szCs w:val="22"/>
        </w:rPr>
      </w:pPr>
    </w:p>
    <w:p w14:paraId="1AC2B5F5" w14:textId="386DEED0"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4.6. Domicilios.</w:t>
      </w:r>
      <w:r w:rsidRPr="00506990">
        <w:rPr>
          <w:rFonts w:ascii="Times New Roman" w:hAnsi="Times New Roman" w:cs="Times New Roman"/>
          <w:iCs/>
          <w:color w:val="0D0D0D" w:themeColor="text1" w:themeTint="F2"/>
          <w:sz w:val="22"/>
          <w:szCs w:val="22"/>
        </w:rPr>
        <w:t xml:space="preserve"> El Fiduciario,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Fiduciante</w:t>
      </w:r>
      <w:r w:rsidR="00F7400D"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y l</w:t>
      </w:r>
      <w:r w:rsidR="00F7400D"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Administrador</w:t>
      </w:r>
      <w:r w:rsidR="00F7400D" w:rsidRPr="00506990">
        <w:rPr>
          <w:rFonts w:ascii="Times New Roman" w:hAnsi="Times New Roman" w:cs="Times New Roman"/>
          <w:iCs/>
          <w:color w:val="0D0D0D" w:themeColor="text1" w:themeTint="F2"/>
          <w:sz w:val="22"/>
          <w:szCs w:val="22"/>
        </w:rPr>
        <w:t>es</w:t>
      </w:r>
      <w:r w:rsidRPr="00506990">
        <w:rPr>
          <w:rFonts w:ascii="Times New Roman" w:hAnsi="Times New Roman" w:cs="Times New Roman"/>
          <w:iCs/>
          <w:color w:val="0D0D0D" w:themeColor="text1" w:themeTint="F2"/>
          <w:sz w:val="22"/>
          <w:szCs w:val="22"/>
        </w:rPr>
        <w:t xml:space="preserve"> constituyen en la cláusula siguiente (a) domicilios postales especiales, donde serán válidas todas las notificaciones a ser cursadas por escrito con motivo del Fideicomiso (el “Domicilio Postal”); y (b) direcciones de correo electrónico, donde serán válidas todas las comunicaciones que conforme al Contrato Marco y el presente, o según acuerden las Partes, puedan ser cursadas o recibidas por ese medio (la “Dirección Electrónica”). Cualquier nuevo domicilio postal o dirección de correo electrónico sólo será oponible a las otras partes una vez notificada por medio fehaciente.</w:t>
      </w:r>
    </w:p>
    <w:p w14:paraId="3ACB4136" w14:textId="77777777" w:rsidR="0050339C" w:rsidRPr="00506990" w:rsidRDefault="0050339C" w:rsidP="0050339C">
      <w:pPr>
        <w:suppressAutoHyphens/>
        <w:rPr>
          <w:rFonts w:ascii="Times New Roman" w:hAnsi="Times New Roman" w:cs="Times New Roman"/>
          <w:iCs/>
          <w:color w:val="0D0D0D" w:themeColor="text1" w:themeTint="F2"/>
          <w:sz w:val="22"/>
          <w:szCs w:val="22"/>
        </w:rPr>
      </w:pPr>
    </w:p>
    <w:p w14:paraId="229179DA" w14:textId="77777777" w:rsidR="0050339C" w:rsidRPr="00506990" w:rsidRDefault="0050339C" w:rsidP="0050339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b/>
          <w:bCs/>
          <w:iCs/>
          <w:color w:val="0D0D0D" w:themeColor="text1" w:themeTint="F2"/>
          <w:sz w:val="22"/>
          <w:szCs w:val="22"/>
        </w:rPr>
        <w:t>Artículo 4.7. Notificaciones.</w:t>
      </w:r>
      <w:r w:rsidRPr="00506990">
        <w:rPr>
          <w:rFonts w:ascii="Times New Roman" w:hAnsi="Times New Roman" w:cs="Times New Roman"/>
          <w:iCs/>
          <w:color w:val="0D0D0D" w:themeColor="text1" w:themeTint="F2"/>
          <w:sz w:val="22"/>
          <w:szCs w:val="22"/>
        </w:rPr>
        <w:t xml:space="preserve"> Todas las notificaciones, comunicaciones o intimaciones que deban cursarse conforme lo previsto en el presente, deben ser realizadas por medio fehaciente escrito, salvo los casos en que proceda las comunicaciones por correo electrónico según este Contrato Suplementario. Las notificaciones que por sus características no admitan demora serán cursadas por telefax o por cualquier otro medio disponible, en cuyo caso serán de inmediato confirmadas por escrito en forma fehaciente. Las comunicaciones por correo electrónico se presumirán remitidas por la persona autorizada que figure como remitente en la comunicación respectiva (la “Persona Autorizada”).</w:t>
      </w:r>
    </w:p>
    <w:p w14:paraId="41FC73BE" w14:textId="77777777" w:rsidR="0050339C" w:rsidRPr="00506990" w:rsidRDefault="0050339C" w:rsidP="0050339C">
      <w:pPr>
        <w:pStyle w:val="Textoindependiente2"/>
        <w:keepNext w:val="0"/>
        <w:suppressAutoHyphens/>
        <w:rPr>
          <w:rFonts w:ascii="Times New Roman" w:hAnsi="Times New Roman"/>
          <w:b/>
          <w:bCs/>
          <w:i w:val="0"/>
          <w:color w:val="0D0D0D" w:themeColor="text1" w:themeTint="F2"/>
          <w:sz w:val="22"/>
          <w:szCs w:val="22"/>
        </w:rPr>
      </w:pPr>
    </w:p>
    <w:p w14:paraId="0CF107CF" w14:textId="77777777" w:rsidR="0050339C" w:rsidRPr="00506990" w:rsidRDefault="0050339C" w:rsidP="0050339C">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Al Fiduciario:</w:t>
      </w:r>
    </w:p>
    <w:p w14:paraId="15C54421" w14:textId="77777777" w:rsidR="0050339C" w:rsidRPr="00506990" w:rsidRDefault="0050339C" w:rsidP="0050339C">
      <w:pPr>
        <w:rPr>
          <w:rFonts w:ascii="Times New Roman" w:hAnsi="Times New Roman" w:cs="Times New Roman"/>
          <w:b/>
          <w:color w:val="0D0D0D" w:themeColor="text1" w:themeTint="F2"/>
          <w:sz w:val="22"/>
          <w:szCs w:val="22"/>
        </w:rPr>
      </w:pPr>
    </w:p>
    <w:p w14:paraId="4BD354BE" w14:textId="77777777" w:rsidR="0050339C" w:rsidRPr="00506990" w:rsidRDefault="0050339C" w:rsidP="0050339C">
      <w:pP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Rosario Administradora Sociedad Fiduciaria S.A. </w:t>
      </w:r>
    </w:p>
    <w:p w14:paraId="0566E40E"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Paraguay 777 Piso 9º, Ciudad de Rosario, Pcia. de Santa Fe</w:t>
      </w:r>
    </w:p>
    <w:p w14:paraId="57479732" w14:textId="57EAA49A"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Tel/Fax: (0341) </w:t>
      </w:r>
      <w:r w:rsidR="00923F39" w:rsidRPr="00506990">
        <w:rPr>
          <w:rFonts w:ascii="Times New Roman" w:hAnsi="Times New Roman" w:cs="Times New Roman"/>
          <w:color w:val="0D0D0D" w:themeColor="text1" w:themeTint="F2"/>
          <w:sz w:val="22"/>
          <w:szCs w:val="22"/>
        </w:rPr>
        <w:t>5300900</w:t>
      </w:r>
    </w:p>
    <w:p w14:paraId="70803626"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Dirección Electrónica: ljakimowicz@rosfid.com.ar </w:t>
      </w:r>
    </w:p>
    <w:p w14:paraId="01AA399C" w14:textId="77777777" w:rsidR="0050339C" w:rsidRPr="00506990" w:rsidRDefault="0050339C" w:rsidP="0050339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At.: Lucas Jakimowicz</w:t>
      </w:r>
    </w:p>
    <w:p w14:paraId="7A70B510" w14:textId="77777777" w:rsidR="0050339C" w:rsidRPr="00506990" w:rsidRDefault="0050339C" w:rsidP="0050339C">
      <w:pPr>
        <w:suppressAutoHyphens/>
        <w:rPr>
          <w:rFonts w:ascii="Times New Roman" w:hAnsi="Times New Roman" w:cs="Times New Roman"/>
          <w:color w:val="0D0D0D" w:themeColor="text1" w:themeTint="F2"/>
          <w:sz w:val="22"/>
          <w:szCs w:val="22"/>
        </w:rPr>
      </w:pPr>
    </w:p>
    <w:p w14:paraId="77AF8F15" w14:textId="764133A4" w:rsidR="0050339C" w:rsidRPr="00506990" w:rsidRDefault="0050339C" w:rsidP="0050339C">
      <w:pPr>
        <w:autoSpaceDE w:val="0"/>
        <w:autoSpaceDN w:val="0"/>
        <w:adjustRightInd w:val="0"/>
        <w:rPr>
          <w:rFonts w:ascii="Times New Roman" w:eastAsiaTheme="minorHAnsi"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rPr>
        <w:t>Al Fiduciante</w:t>
      </w:r>
      <w:r w:rsidR="00DD0C47">
        <w:rPr>
          <w:rFonts w:ascii="Times New Roman" w:hAnsi="Times New Roman" w:cs="Times New Roman"/>
          <w:b/>
          <w:color w:val="0D0D0D" w:themeColor="text1" w:themeTint="F2"/>
          <w:sz w:val="22"/>
          <w:szCs w:val="22"/>
        </w:rPr>
        <w:t xml:space="preserve"> </w:t>
      </w:r>
      <w:r w:rsidRPr="00506990">
        <w:rPr>
          <w:rFonts w:ascii="Times New Roman" w:eastAsiaTheme="minorHAnsi" w:hAnsi="Times New Roman" w:cs="Times New Roman"/>
          <w:b/>
          <w:color w:val="0D0D0D" w:themeColor="text1" w:themeTint="F2"/>
          <w:sz w:val="22"/>
          <w:szCs w:val="22"/>
          <w:lang w:val="es-AR" w:eastAsia="en-US"/>
        </w:rPr>
        <w:t xml:space="preserve">Bazar Avenida S.A. </w:t>
      </w:r>
    </w:p>
    <w:p w14:paraId="25110CFF" w14:textId="48382FB2" w:rsidR="0050339C" w:rsidRPr="00506990" w:rsidRDefault="00C55026" w:rsidP="0050339C">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Pr>
          <w:rFonts w:ascii="Times New Roman" w:eastAsiaTheme="minorHAnsi" w:hAnsi="Times New Roman" w:cs="Times New Roman"/>
          <w:color w:val="0D0D0D" w:themeColor="text1" w:themeTint="F2"/>
          <w:sz w:val="22"/>
          <w:szCs w:val="22"/>
          <w:lang w:val="es-AR" w:eastAsia="en-US"/>
        </w:rPr>
        <w:t>Calle 3 N° 1045</w:t>
      </w:r>
      <w:r w:rsidR="0050339C" w:rsidRPr="00506990">
        <w:rPr>
          <w:rFonts w:ascii="Times New Roman" w:eastAsiaTheme="minorHAnsi" w:hAnsi="Times New Roman" w:cs="Times New Roman"/>
          <w:color w:val="0D0D0D" w:themeColor="text1" w:themeTint="F2"/>
          <w:sz w:val="22"/>
          <w:szCs w:val="22"/>
          <w:lang w:val="es-AR" w:eastAsia="en-US"/>
        </w:rPr>
        <w:t xml:space="preserve">, Ciudad de Rafaela, Prov. de Santa Fe </w:t>
      </w:r>
    </w:p>
    <w:p w14:paraId="1A2C4990" w14:textId="77777777" w:rsidR="0050339C" w:rsidRPr="00506990" w:rsidRDefault="0050339C" w:rsidP="0050339C">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506990">
        <w:rPr>
          <w:rFonts w:ascii="Times New Roman" w:eastAsiaTheme="minorHAnsi" w:hAnsi="Times New Roman" w:cs="Times New Roman"/>
          <w:color w:val="0D0D0D" w:themeColor="text1" w:themeTint="F2"/>
          <w:sz w:val="22"/>
          <w:szCs w:val="22"/>
          <w:lang w:val="en-US" w:eastAsia="en-US"/>
        </w:rPr>
        <w:t xml:space="preserve">Tel.: 03492-438090 – Fax: 03492-438070 </w:t>
      </w:r>
    </w:p>
    <w:p w14:paraId="300ED242" w14:textId="77777777" w:rsidR="0050339C" w:rsidRPr="00506990" w:rsidRDefault="0050339C" w:rsidP="0050339C">
      <w:pPr>
        <w:rPr>
          <w:rFonts w:ascii="Times New Roman" w:eastAsiaTheme="minorHAnsi" w:hAnsi="Times New Roman" w:cs="Times New Roman"/>
          <w:color w:val="0D0D0D" w:themeColor="text1" w:themeTint="F2"/>
          <w:sz w:val="22"/>
          <w:szCs w:val="22"/>
          <w:lang w:val="en-US" w:eastAsia="en-US"/>
        </w:rPr>
      </w:pPr>
      <w:r w:rsidRPr="00506990">
        <w:rPr>
          <w:rFonts w:ascii="Times New Roman" w:eastAsiaTheme="minorHAnsi" w:hAnsi="Times New Roman" w:cs="Times New Roman"/>
          <w:color w:val="0D0D0D" w:themeColor="text1" w:themeTint="F2"/>
          <w:sz w:val="22"/>
          <w:szCs w:val="22"/>
          <w:lang w:val="en-US" w:eastAsia="en-US"/>
        </w:rPr>
        <w:t>At. Sr. Esteban Santi</w:t>
      </w:r>
    </w:p>
    <w:p w14:paraId="43A5099D" w14:textId="32B815B0" w:rsidR="0050339C" w:rsidRPr="00506990" w:rsidRDefault="0050339C" w:rsidP="0050339C">
      <w:pPr>
        <w:autoSpaceDE w:val="0"/>
        <w:autoSpaceDN w:val="0"/>
        <w:adjustRightInd w:val="0"/>
        <w:rPr>
          <w:rFonts w:ascii="Times New Roman" w:hAnsi="Times New Roman" w:cs="Times New Roman"/>
          <w:color w:val="0D0D0D" w:themeColor="text1" w:themeTint="F2"/>
          <w:sz w:val="22"/>
          <w:szCs w:val="22"/>
          <w:lang w:val="es-AR" w:eastAsia="en-US"/>
        </w:rPr>
      </w:pPr>
      <w:r w:rsidRPr="00506990">
        <w:rPr>
          <w:rFonts w:ascii="Times New Roman" w:eastAsiaTheme="minorHAnsi" w:hAnsi="Times New Roman" w:cs="Times New Roman"/>
          <w:color w:val="0D0D0D" w:themeColor="text1" w:themeTint="F2"/>
          <w:sz w:val="22"/>
          <w:szCs w:val="22"/>
          <w:lang w:val="es-AR" w:eastAsia="en-US"/>
        </w:rPr>
        <w:t xml:space="preserve">Dirección Electrónica: </w:t>
      </w:r>
      <w:hyperlink r:id="rId96" w:history="1">
        <w:r w:rsidR="002A2B1C" w:rsidRPr="00506990">
          <w:rPr>
            <w:rStyle w:val="Hipervnculo"/>
            <w:rFonts w:ascii="Times New Roman" w:hAnsi="Times New Roman"/>
            <w:sz w:val="22"/>
            <w:szCs w:val="22"/>
            <w:lang w:val="es-AR" w:eastAsia="en-US"/>
          </w:rPr>
          <w:t>infofid@bamegatone.com</w:t>
        </w:r>
      </w:hyperlink>
    </w:p>
    <w:p w14:paraId="1714593C" w14:textId="77777777" w:rsidR="002A2B1C" w:rsidRPr="00506990" w:rsidRDefault="002A2B1C" w:rsidP="002A2B1C">
      <w:pPr>
        <w:suppressAutoHyphens/>
        <w:rPr>
          <w:rFonts w:ascii="Times New Roman" w:hAnsi="Times New Roman" w:cs="Times New Roman"/>
          <w:b/>
          <w:color w:val="0D0D0D" w:themeColor="text1" w:themeTint="F2"/>
          <w:sz w:val="22"/>
          <w:szCs w:val="22"/>
        </w:rPr>
      </w:pPr>
    </w:p>
    <w:p w14:paraId="48BA4242" w14:textId="2D850621" w:rsidR="002A2B1C" w:rsidRPr="00506990" w:rsidRDefault="002A2B1C" w:rsidP="002A2B1C">
      <w:pPr>
        <w:autoSpaceDE w:val="0"/>
        <w:autoSpaceDN w:val="0"/>
        <w:adjustRightInd w:val="0"/>
        <w:rPr>
          <w:rFonts w:ascii="Times New Roman" w:eastAsiaTheme="minorHAnsi"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rPr>
        <w:t>Al Fiduciante</w:t>
      </w:r>
      <w:r w:rsidR="00DD0C47">
        <w:rPr>
          <w:rFonts w:ascii="Times New Roman" w:hAnsi="Times New Roman" w:cs="Times New Roman"/>
          <w:b/>
          <w:color w:val="0D0D0D" w:themeColor="text1" w:themeTint="F2"/>
          <w:sz w:val="22"/>
          <w:szCs w:val="22"/>
        </w:rPr>
        <w:t xml:space="preserve"> </w:t>
      </w:r>
      <w:r w:rsidRPr="00506990">
        <w:rPr>
          <w:rFonts w:ascii="Times New Roman" w:eastAsiaTheme="minorHAnsi" w:hAnsi="Times New Roman" w:cs="Times New Roman"/>
          <w:b/>
          <w:color w:val="0D0D0D" w:themeColor="text1" w:themeTint="F2"/>
          <w:sz w:val="22"/>
          <w:szCs w:val="22"/>
          <w:lang w:val="es-AR" w:eastAsia="en-US"/>
        </w:rPr>
        <w:t xml:space="preserve">Consumo S.A. </w:t>
      </w:r>
    </w:p>
    <w:p w14:paraId="628C6E98" w14:textId="2E8AA651" w:rsidR="00DD0C47" w:rsidRDefault="00C55026" w:rsidP="002A2B1C">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Pr>
          <w:rFonts w:ascii="Times New Roman" w:eastAsiaTheme="minorHAnsi" w:hAnsi="Times New Roman" w:cs="Times New Roman"/>
          <w:color w:val="0D0D0D" w:themeColor="text1" w:themeTint="F2"/>
          <w:sz w:val="22"/>
          <w:szCs w:val="22"/>
          <w:lang w:val="es-AR" w:eastAsia="en-US"/>
        </w:rPr>
        <w:t>Calle 3 N°1045</w:t>
      </w:r>
      <w:r w:rsidR="00DD0C47" w:rsidRPr="00DD0C47">
        <w:rPr>
          <w:rFonts w:ascii="Times New Roman" w:eastAsiaTheme="minorHAnsi" w:hAnsi="Times New Roman" w:cs="Times New Roman"/>
          <w:color w:val="0D0D0D" w:themeColor="text1" w:themeTint="F2"/>
          <w:sz w:val="22"/>
          <w:szCs w:val="22"/>
          <w:lang w:val="es-AR" w:eastAsia="en-US"/>
        </w:rPr>
        <w:t>, Ciudad de Rafaela, Provincia de Santa Fe</w:t>
      </w:r>
    </w:p>
    <w:p w14:paraId="2C638AE3" w14:textId="2E08E543" w:rsidR="002A2B1C" w:rsidRPr="000579E7" w:rsidRDefault="002A2B1C" w:rsidP="002A2B1C">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0579E7">
        <w:rPr>
          <w:rFonts w:ascii="Times New Roman" w:eastAsiaTheme="minorHAnsi" w:hAnsi="Times New Roman" w:cs="Times New Roman"/>
          <w:color w:val="0D0D0D" w:themeColor="text1" w:themeTint="F2"/>
          <w:sz w:val="22"/>
          <w:szCs w:val="22"/>
          <w:lang w:val="en-US" w:eastAsia="en-US"/>
        </w:rPr>
        <w:t xml:space="preserve">Tel.: </w:t>
      </w:r>
      <w:r w:rsidR="00DD0C47" w:rsidRPr="000579E7">
        <w:rPr>
          <w:rFonts w:ascii="Times New Roman" w:eastAsiaTheme="minorHAnsi" w:hAnsi="Times New Roman" w:cs="Times New Roman"/>
          <w:color w:val="0D0D0D" w:themeColor="text1" w:themeTint="F2"/>
          <w:sz w:val="22"/>
          <w:szCs w:val="22"/>
          <w:lang w:val="en-US" w:eastAsia="en-US"/>
        </w:rPr>
        <w:t xml:space="preserve">03492-438090 </w:t>
      </w:r>
      <w:r w:rsidRPr="000579E7">
        <w:rPr>
          <w:rFonts w:ascii="Times New Roman" w:eastAsiaTheme="minorHAnsi" w:hAnsi="Times New Roman" w:cs="Times New Roman"/>
          <w:color w:val="0D0D0D" w:themeColor="text1" w:themeTint="F2"/>
          <w:sz w:val="22"/>
          <w:szCs w:val="22"/>
          <w:lang w:val="en-US" w:eastAsia="en-US"/>
        </w:rPr>
        <w:t xml:space="preserve"> – Fax: </w:t>
      </w:r>
      <w:r w:rsidR="00DD0C47" w:rsidRPr="000579E7">
        <w:rPr>
          <w:rFonts w:ascii="Times New Roman" w:eastAsiaTheme="minorHAnsi" w:hAnsi="Times New Roman" w:cs="Times New Roman"/>
          <w:color w:val="0D0D0D" w:themeColor="text1" w:themeTint="F2"/>
          <w:sz w:val="22"/>
          <w:szCs w:val="22"/>
          <w:lang w:val="en-US" w:eastAsia="en-US"/>
        </w:rPr>
        <w:t>03492-438070</w:t>
      </w:r>
    </w:p>
    <w:p w14:paraId="76B4E21A" w14:textId="77777777" w:rsidR="00DD0C47" w:rsidRPr="000579E7" w:rsidRDefault="002A2B1C" w:rsidP="00DD0C47">
      <w:pPr>
        <w:autoSpaceDE w:val="0"/>
        <w:autoSpaceDN w:val="0"/>
        <w:adjustRightInd w:val="0"/>
        <w:rPr>
          <w:rFonts w:ascii="Times New Roman" w:eastAsiaTheme="minorHAnsi" w:hAnsi="Times New Roman" w:cs="Times New Roman"/>
          <w:color w:val="0D0D0D" w:themeColor="text1" w:themeTint="F2"/>
          <w:sz w:val="22"/>
          <w:szCs w:val="22"/>
          <w:lang w:val="en-US" w:eastAsia="en-US"/>
        </w:rPr>
      </w:pPr>
      <w:r w:rsidRPr="000579E7">
        <w:rPr>
          <w:rFonts w:ascii="Times New Roman" w:eastAsiaTheme="minorHAnsi" w:hAnsi="Times New Roman" w:cs="Times New Roman"/>
          <w:color w:val="0D0D0D" w:themeColor="text1" w:themeTint="F2"/>
          <w:sz w:val="22"/>
          <w:szCs w:val="22"/>
          <w:lang w:val="en-US" w:eastAsia="en-US"/>
        </w:rPr>
        <w:t xml:space="preserve">At. </w:t>
      </w:r>
      <w:r w:rsidR="00DD0C47" w:rsidRPr="000579E7">
        <w:rPr>
          <w:rFonts w:ascii="Times New Roman" w:eastAsiaTheme="minorHAnsi" w:hAnsi="Times New Roman" w:cs="Times New Roman"/>
          <w:color w:val="0D0D0D" w:themeColor="text1" w:themeTint="F2"/>
          <w:sz w:val="22"/>
          <w:szCs w:val="22"/>
          <w:lang w:val="en-US" w:eastAsia="en-US"/>
        </w:rPr>
        <w:t>Sr. Esteban Santi</w:t>
      </w:r>
    </w:p>
    <w:p w14:paraId="581F6147" w14:textId="2B64548A" w:rsidR="00DD0C47" w:rsidRPr="00DD0C47" w:rsidRDefault="002A2B1C" w:rsidP="00DD0C47">
      <w:pPr>
        <w:autoSpaceDE w:val="0"/>
        <w:autoSpaceDN w:val="0"/>
        <w:adjustRightInd w:val="0"/>
        <w:rPr>
          <w:rFonts w:ascii="Times New Roman" w:eastAsiaTheme="minorHAnsi" w:hAnsi="Times New Roman" w:cs="Times New Roman"/>
          <w:color w:val="0D0D0D" w:themeColor="text1" w:themeTint="F2"/>
          <w:sz w:val="22"/>
          <w:szCs w:val="22"/>
          <w:lang w:val="es-AR" w:eastAsia="en-US"/>
        </w:rPr>
      </w:pPr>
      <w:r w:rsidRPr="00506990">
        <w:rPr>
          <w:rFonts w:ascii="Times New Roman" w:eastAsiaTheme="minorHAnsi" w:hAnsi="Times New Roman" w:cs="Times New Roman"/>
          <w:color w:val="0D0D0D" w:themeColor="text1" w:themeTint="F2"/>
          <w:sz w:val="22"/>
          <w:szCs w:val="22"/>
          <w:lang w:val="es-AR" w:eastAsia="en-US"/>
        </w:rPr>
        <w:t xml:space="preserve">Dirección Electrónica: </w:t>
      </w:r>
      <w:r w:rsidR="00DD0C47" w:rsidRPr="00DD0C47">
        <w:rPr>
          <w:rFonts w:ascii="Times New Roman" w:eastAsiaTheme="minorHAnsi" w:hAnsi="Times New Roman" w:cs="Times New Roman"/>
          <w:color w:val="0D0D0D" w:themeColor="text1" w:themeTint="F2"/>
          <w:sz w:val="22"/>
          <w:szCs w:val="22"/>
          <w:lang w:val="es-AR" w:eastAsia="en-US"/>
        </w:rPr>
        <w:t xml:space="preserve">infofid@bamegatone.com </w:t>
      </w:r>
    </w:p>
    <w:p w14:paraId="2D6EAB7F" w14:textId="77777777" w:rsidR="0050339C" w:rsidRPr="00506990" w:rsidRDefault="0050339C" w:rsidP="00DD0C47">
      <w:pPr>
        <w:autoSpaceDE w:val="0"/>
        <w:autoSpaceDN w:val="0"/>
        <w:adjustRightInd w:val="0"/>
        <w:rPr>
          <w:rFonts w:ascii="Times New Roman" w:hAnsi="Times New Roman"/>
          <w:b/>
          <w:color w:val="0D0D0D" w:themeColor="text1" w:themeTint="F2"/>
          <w:sz w:val="22"/>
          <w:szCs w:val="22"/>
        </w:rPr>
      </w:pPr>
    </w:p>
    <w:p w14:paraId="09B5EA5A" w14:textId="77777777" w:rsidR="0050339C" w:rsidRPr="00506990" w:rsidRDefault="0050339C" w:rsidP="0050339C">
      <w:pPr>
        <w:pStyle w:val="Encabezado"/>
        <w:widowControl w:val="0"/>
        <w:suppressAutoHyphens/>
        <w:rPr>
          <w:rFonts w:ascii="Times New Roman" w:hAnsi="Times New Roman"/>
          <w:color w:val="0D0D0D" w:themeColor="text1" w:themeTint="F2"/>
          <w:sz w:val="22"/>
          <w:szCs w:val="22"/>
        </w:rPr>
      </w:pPr>
      <w:r w:rsidRPr="00506990">
        <w:rPr>
          <w:rFonts w:ascii="Times New Roman" w:hAnsi="Times New Roman"/>
          <w:b/>
          <w:color w:val="0D0D0D" w:themeColor="text1" w:themeTint="F2"/>
          <w:sz w:val="22"/>
          <w:szCs w:val="22"/>
        </w:rPr>
        <w:t>Artículo 4.8. Aplicabilidad del Contrato Marco</w:t>
      </w:r>
      <w:r w:rsidRPr="00506990">
        <w:rPr>
          <w:rFonts w:ascii="Times New Roman" w:hAnsi="Times New Roman"/>
          <w:color w:val="0D0D0D" w:themeColor="text1" w:themeTint="F2"/>
          <w:sz w:val="22"/>
          <w:szCs w:val="22"/>
        </w:rPr>
        <w:t xml:space="preserve">. </w:t>
      </w:r>
      <w:r w:rsidRPr="00506990">
        <w:rPr>
          <w:rFonts w:ascii="Times New Roman" w:hAnsi="Times New Roman"/>
          <w:b/>
          <w:bCs/>
          <w:color w:val="0D0D0D" w:themeColor="text1" w:themeTint="F2"/>
          <w:sz w:val="22"/>
          <w:szCs w:val="22"/>
        </w:rPr>
        <w:t xml:space="preserve">Términos no definidos. </w:t>
      </w:r>
      <w:r w:rsidRPr="00506990">
        <w:rPr>
          <w:rFonts w:ascii="Times New Roman" w:hAnsi="Times New Roman"/>
          <w:color w:val="0D0D0D" w:themeColor="text1" w:themeTint="F2"/>
          <w:sz w:val="22"/>
          <w:szCs w:val="22"/>
        </w:rPr>
        <w:t>Todos los aspectos no contemplados en el presente Contrato Suplementario están regidos por las disposiciones del Contrato Marco. Todos los términos en mayúscula no definidos en el presente se encuentran definidos en el Contrato Marco del Programa.</w:t>
      </w:r>
    </w:p>
    <w:p w14:paraId="22EC2F8D" w14:textId="77777777" w:rsidR="0050339C" w:rsidRPr="00506990" w:rsidRDefault="0050339C" w:rsidP="0050339C">
      <w:pPr>
        <w:pStyle w:val="Encabezado"/>
        <w:widowControl w:val="0"/>
        <w:suppressAutoHyphens/>
        <w:rPr>
          <w:rFonts w:ascii="Times New Roman" w:hAnsi="Times New Roman"/>
          <w:color w:val="0D0D0D" w:themeColor="text1" w:themeTint="F2"/>
          <w:sz w:val="22"/>
          <w:szCs w:val="22"/>
        </w:rPr>
      </w:pPr>
    </w:p>
    <w:p w14:paraId="59E8F82E"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4.9. Solución de Controversias. </w:t>
      </w:r>
      <w:r w:rsidRPr="00506990">
        <w:rPr>
          <w:rFonts w:ascii="Times New Roman" w:hAnsi="Times New Roman" w:cs="Times New Roman"/>
          <w:color w:val="0D0D0D" w:themeColor="text1" w:themeTint="F2"/>
          <w:sz w:val="22"/>
          <w:szCs w:val="22"/>
        </w:rPr>
        <w:t xml:space="preserve">Salvo especificación en contrario en un Contrato Suplementario de Fideicomiso, toda controversia que se suscite entre el Fiduciario, Fiduciantes y/o los Beneficiarios con relación al Contrato Marco o al respectivo Contrato Suplementario de Fideicomiso, su existencia, validez, calificación, interpretación, alcance, cumplimiento o recepción, será dirimida mediante juicio arbitral conforme al arbitraje de derecho, a cuyo fin se someten a la jurisdicción de la Sala con competencia en Mercado de Capitales y Sociedades del Tribunal de Arbitraje General de la Bolsa de Comercio de Rosario (el “Tribunal Arbitral”) y de sus reglamento cuyas disposiciones declaran conocer. </w:t>
      </w:r>
    </w:p>
    <w:p w14:paraId="5985F33F" w14:textId="77777777"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Dicho laudo será considerado definitivo e inapelable, renunciando las partes a cualquier otro recurso que les pudiere corresponder, incluido el extraordinario o de inconstitucionalidad y excluido el de aclaratoria y nulidad. Para la ejecución del laudo arbitral, y en su caso para peticionar medidas cautelares, serán competentes los tribunales ordinarios de la ciudad de Rosario, renunciando al fuero federal si fuera procedente. </w:t>
      </w:r>
    </w:p>
    <w:p w14:paraId="02D19F5E" w14:textId="19D0E866" w:rsidR="0050339C" w:rsidRPr="00506990" w:rsidRDefault="0050339C" w:rsidP="0050339C">
      <w:pP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Sin perjuicio de ello, por su parte los Beneficiarios podrán someter sus controversias en relación a los Valores </w:t>
      </w:r>
      <w:r w:rsidR="00D37CD5" w:rsidRPr="00B43F7C">
        <w:rPr>
          <w:rFonts w:ascii="Times New Roman" w:hAnsi="Times New Roman" w:cs="Times New Roman"/>
          <w:iCs/>
          <w:color w:val="0D0D0D" w:themeColor="text1" w:themeTint="F2"/>
          <w:sz w:val="22"/>
          <w:szCs w:val="22"/>
          <w:lang w:val="es-AR"/>
        </w:rPr>
        <w:t xml:space="preserve">de Deuda </w:t>
      </w:r>
      <w:r w:rsidR="00DB3D15" w:rsidRPr="00506990">
        <w:rPr>
          <w:rFonts w:ascii="Times New Roman" w:eastAsia="Times New Roman" w:hAnsi="Times New Roman" w:cs="Times New Roman"/>
          <w:color w:val="0D0D0D" w:themeColor="text1" w:themeTint="F2"/>
          <w:sz w:val="22"/>
          <w:szCs w:val="22"/>
          <w:lang w:val="es-AR"/>
        </w:rPr>
        <w:t>Fiduciari</w:t>
      </w:r>
      <w:r w:rsidR="00D37CD5" w:rsidRPr="00506990">
        <w:rPr>
          <w:rFonts w:ascii="Times New Roman" w:eastAsia="Times New Roman" w:hAnsi="Times New Roman" w:cs="Times New Roman"/>
          <w:color w:val="0D0D0D" w:themeColor="text1" w:themeTint="F2"/>
          <w:sz w:val="22"/>
          <w:szCs w:val="22"/>
          <w:lang w:val="es-AR"/>
        </w:rPr>
        <w:t>a</w:t>
      </w:r>
      <w:r w:rsidRPr="00506990">
        <w:rPr>
          <w:rFonts w:ascii="Times New Roman" w:hAnsi="Times New Roman" w:cs="Times New Roman"/>
          <w:color w:val="0D0D0D" w:themeColor="text1" w:themeTint="F2"/>
          <w:sz w:val="22"/>
          <w:szCs w:val="22"/>
        </w:rPr>
        <w:t xml:space="preserve"> a jurisdicción no exclusiva del Tribunal Arbitral, o bien a la de los tribunales ordinarios de la ciudad de Rosario, a opción exclusiva del tenedor en cuestión. A su vez, en los casos en que las normas vigentes establezcan la acumulación de acciones entabladas con idéntica finalidad ante un solo tribunal, la acumulación se efectuará ante el tribunal judicial.</w:t>
      </w:r>
    </w:p>
    <w:p w14:paraId="3EDB86B5"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rPr>
      </w:pPr>
    </w:p>
    <w:p w14:paraId="06CB9205" w14:textId="77777777" w:rsidR="0050339C" w:rsidRPr="00506990" w:rsidRDefault="0050339C" w:rsidP="0050339C">
      <w:pPr>
        <w:widowControl w:val="0"/>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Artículo 4.10. Declaraciones y garantías del Fiduciario. </w:t>
      </w:r>
      <w:r w:rsidRPr="00506990">
        <w:rPr>
          <w:rFonts w:ascii="Times New Roman" w:hAnsi="Times New Roman" w:cs="Times New Roman"/>
          <w:color w:val="0D0D0D" w:themeColor="text1" w:themeTint="F2"/>
          <w:sz w:val="22"/>
          <w:szCs w:val="22"/>
        </w:rPr>
        <w:t>El Fiduciario declara y garantiza lo siguiente:</w:t>
      </w:r>
    </w:p>
    <w:p w14:paraId="4AAD8024" w14:textId="77777777" w:rsidR="0050339C" w:rsidRPr="00506990" w:rsidRDefault="0050339C" w:rsidP="00270AFD">
      <w:pPr>
        <w:widowControl w:val="0"/>
        <w:numPr>
          <w:ilvl w:val="0"/>
          <w:numId w:val="25"/>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es una entidad existente y debidamente registrada de conformidad con las disposiciones aplicables a su constitución.</w:t>
      </w:r>
    </w:p>
    <w:p w14:paraId="7D19B300" w14:textId="77777777" w:rsidR="0050339C" w:rsidRPr="00506990" w:rsidRDefault="0050339C" w:rsidP="00270AFD">
      <w:pPr>
        <w:widowControl w:val="0"/>
        <w:numPr>
          <w:ilvl w:val="0"/>
          <w:numId w:val="25"/>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Que el Programa se encuentra vigente y la autorización oportunamente conferida al mismo por la CNV, permanece plenamente válida y en todos sus efectos. </w:t>
      </w:r>
    </w:p>
    <w:p w14:paraId="5DF5039B" w14:textId="77777777" w:rsidR="0050339C" w:rsidRPr="00506990" w:rsidRDefault="0050339C" w:rsidP="00270AFD">
      <w:pPr>
        <w:widowControl w:val="0"/>
        <w:numPr>
          <w:ilvl w:val="0"/>
          <w:numId w:val="25"/>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goza de todas las facultades necesarias para suscribir este Contrato Suplementario y asumir y cumplir válidamente sus obligaciones previstas en este Contrato Suplementario.</w:t>
      </w:r>
    </w:p>
    <w:p w14:paraId="1B982DD9" w14:textId="77777777" w:rsidR="0050339C" w:rsidRPr="00506990" w:rsidRDefault="0050339C" w:rsidP="00270AFD">
      <w:pPr>
        <w:widowControl w:val="0"/>
        <w:numPr>
          <w:ilvl w:val="0"/>
          <w:numId w:val="25"/>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el Fiduciario ha adoptado todas las resoluciones necesarias a efectos de celebrar válidamente este Contrato Suplementario.</w:t>
      </w:r>
    </w:p>
    <w:p w14:paraId="38239DD2" w14:textId="77777777" w:rsidR="0050339C" w:rsidRPr="00506990" w:rsidRDefault="0050339C" w:rsidP="00270AFD">
      <w:pPr>
        <w:widowControl w:val="0"/>
        <w:numPr>
          <w:ilvl w:val="0"/>
          <w:numId w:val="25"/>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este Contrato Suplementario contiene disposiciones válidas y vinculantes para el Fiduciario, exigibles a éste de conformidad con las disposiciones de este Contrato Suplementario.</w:t>
      </w:r>
    </w:p>
    <w:p w14:paraId="496A5FC6" w14:textId="77777777" w:rsidR="0050339C" w:rsidRPr="00506990" w:rsidRDefault="0050339C" w:rsidP="00270AFD">
      <w:pPr>
        <w:widowControl w:val="0"/>
        <w:numPr>
          <w:ilvl w:val="0"/>
          <w:numId w:val="25"/>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la celebración y cumplimiento de este Contrato Suplementario no viola las disposiciones de ninguna ley, decreto, reglamentación o resolución aplicable a la capacidad del Fiduciario para cumplir sus obligaciones bajo el Programa, ni bajo este Contrato Suplementario, ni ningún acuerdo, contrato o convenio que el Fiduciario haya celebrado.</w:t>
      </w:r>
    </w:p>
    <w:p w14:paraId="10E90AA5" w14:textId="77777777" w:rsidR="0050339C" w:rsidRPr="00506990" w:rsidRDefault="0050339C" w:rsidP="00270AFD">
      <w:pPr>
        <w:widowControl w:val="0"/>
        <w:numPr>
          <w:ilvl w:val="0"/>
          <w:numId w:val="25"/>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Que el Fiduciario es una entidad autorizada a operar como tal por la Comisión Nacional de Valores. </w:t>
      </w:r>
    </w:p>
    <w:p w14:paraId="574A1C01" w14:textId="77777777" w:rsidR="0050339C" w:rsidRPr="00506990" w:rsidRDefault="0050339C" w:rsidP="00270AFD">
      <w:pPr>
        <w:widowControl w:val="0"/>
        <w:numPr>
          <w:ilvl w:val="0"/>
          <w:numId w:val="25"/>
        </w:numPr>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Que a juicio del Fiduciario no existen hechos relevantes que puedan afectar la estructura fiduciaria.</w:t>
      </w:r>
    </w:p>
    <w:p w14:paraId="512137D1" w14:textId="77777777" w:rsidR="0050339C" w:rsidRPr="00506990" w:rsidRDefault="0050339C" w:rsidP="0050339C">
      <w:pPr>
        <w:widowControl w:val="0"/>
        <w:suppressAutoHyphens/>
        <w:rPr>
          <w:rFonts w:ascii="Times New Roman" w:hAnsi="Times New Roman" w:cs="Times New Roman"/>
          <w:b/>
          <w:color w:val="0D0D0D" w:themeColor="text1" w:themeTint="F2"/>
          <w:sz w:val="22"/>
          <w:szCs w:val="22"/>
          <w:lang w:val="es-AR"/>
        </w:rPr>
      </w:pPr>
    </w:p>
    <w:p w14:paraId="02672485"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 xml:space="preserve">Artículo 4.11. Rendición de Cuentas. </w:t>
      </w:r>
      <w:r w:rsidRPr="00506990">
        <w:rPr>
          <w:rFonts w:ascii="Times New Roman" w:hAnsi="Times New Roman" w:cs="Times New Roman"/>
          <w:color w:val="0D0D0D" w:themeColor="text1" w:themeTint="F2"/>
          <w:sz w:val="22"/>
          <w:szCs w:val="22"/>
          <w:lang w:val="es-AR"/>
        </w:rPr>
        <w:t>El Fiduciario rendirá cuentas de su gestión a los beneficiarios en los términos de los artículos 37 y 38 del Capítulo IV Título V de la Normas de la CNV, la Cláusula Trigésimo Sexta, Sección Séptima del Contrato Marco y el artículo 1.675 del Código Civil y Comercial de la Nación. Por aplicación de lo dispuesto en el artículo 862 del Código Civil y Comercial de la Nación, transcurridos treinta (30) días desde la publicación de la información indicada en los artículos anteriores sin que existiera impugnación por medio fehaciente (dirigida esta última al Fiduciario) por parte de un Beneficiario, se considerará que las cuentas rendidas son correctas, salvo errores de cálculo que pueden ser observados dentro del plazo de caducidad de un año.</w:t>
      </w:r>
    </w:p>
    <w:p w14:paraId="346C480C" w14:textId="77777777" w:rsidR="0050339C" w:rsidRPr="00506990" w:rsidRDefault="0050339C" w:rsidP="0050339C">
      <w:pPr>
        <w:widowControl w:val="0"/>
        <w:suppressAutoHyphens/>
        <w:rPr>
          <w:rFonts w:ascii="Times New Roman" w:hAnsi="Times New Roman" w:cs="Times New Roman"/>
          <w:color w:val="0D0D0D" w:themeColor="text1" w:themeTint="F2"/>
          <w:sz w:val="22"/>
          <w:szCs w:val="22"/>
          <w:lang w:val="es-AR"/>
        </w:rPr>
      </w:pPr>
    </w:p>
    <w:p w14:paraId="3914CE59" w14:textId="05EB813F"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En la Ciudad de Rosario</w:t>
      </w:r>
      <w:r w:rsidRPr="00506990">
        <w:rPr>
          <w:rFonts w:ascii="Times New Roman" w:hAnsi="Times New Roman"/>
          <w:color w:val="0D0D0D" w:themeColor="text1" w:themeTint="F2"/>
          <w:sz w:val="22"/>
          <w:szCs w:val="22"/>
        </w:rPr>
        <w:t xml:space="preserve">, a los </w:t>
      </w:r>
      <w:r w:rsidRPr="00506990">
        <w:rPr>
          <w:rFonts w:ascii="Times New Roman" w:hAnsi="Times New Roman"/>
          <w:color w:val="0D0D0D" w:themeColor="text1" w:themeTint="F2"/>
          <w:sz w:val="22"/>
          <w:szCs w:val="22"/>
          <w:highlight w:val="yellow"/>
        </w:rPr>
        <w:t>[__]</w:t>
      </w:r>
      <w:r w:rsidRPr="00506990">
        <w:rPr>
          <w:rFonts w:ascii="Times New Roman" w:hAnsi="Times New Roman"/>
          <w:color w:val="0D0D0D" w:themeColor="text1" w:themeTint="F2"/>
          <w:sz w:val="22"/>
          <w:szCs w:val="22"/>
        </w:rPr>
        <w:t xml:space="preserve"> días del mes de </w:t>
      </w:r>
      <w:r w:rsidRPr="00506990">
        <w:rPr>
          <w:rFonts w:ascii="Times New Roman" w:hAnsi="Times New Roman"/>
          <w:color w:val="0D0D0D" w:themeColor="text1" w:themeTint="F2"/>
          <w:sz w:val="22"/>
          <w:szCs w:val="22"/>
          <w:highlight w:val="yellow"/>
        </w:rPr>
        <w:t>[_]</w:t>
      </w:r>
      <w:r w:rsidRPr="00506990">
        <w:rPr>
          <w:rFonts w:ascii="Times New Roman" w:hAnsi="Times New Roman"/>
          <w:color w:val="0D0D0D" w:themeColor="text1" w:themeTint="F2"/>
          <w:sz w:val="22"/>
          <w:szCs w:val="22"/>
        </w:rPr>
        <w:t xml:space="preserve"> </w:t>
      </w:r>
      <w:r w:rsidRPr="00506990">
        <w:rPr>
          <w:rFonts w:ascii="Times New Roman" w:hAnsi="Times New Roman"/>
          <w:iCs/>
          <w:color w:val="0D0D0D" w:themeColor="text1" w:themeTint="F2"/>
          <w:sz w:val="22"/>
          <w:szCs w:val="22"/>
        </w:rPr>
        <w:t>de 201</w:t>
      </w:r>
      <w:r w:rsidR="005A3C77" w:rsidRPr="00506990">
        <w:rPr>
          <w:rFonts w:ascii="Times New Roman" w:hAnsi="Times New Roman"/>
          <w:iCs/>
          <w:color w:val="0D0D0D" w:themeColor="text1" w:themeTint="F2"/>
          <w:sz w:val="22"/>
          <w:szCs w:val="22"/>
        </w:rPr>
        <w:t>9</w:t>
      </w:r>
      <w:r w:rsidRPr="00506990">
        <w:rPr>
          <w:rFonts w:ascii="Times New Roman" w:hAnsi="Times New Roman"/>
          <w:iCs/>
          <w:color w:val="0D0D0D" w:themeColor="text1" w:themeTint="F2"/>
          <w:sz w:val="22"/>
          <w:szCs w:val="22"/>
        </w:rPr>
        <w:t xml:space="preserve"> se suscriben tres ejemplares de un mismo tenor y a un sólo efecto.</w:t>
      </w:r>
    </w:p>
    <w:p w14:paraId="6E3D0BF0"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36FFEDB3" w14:textId="77777777" w:rsidR="0050339C" w:rsidRPr="00506990" w:rsidRDefault="0050339C" w:rsidP="0050339C">
      <w:pPr>
        <w:rPr>
          <w:rFonts w:ascii="Times New Roman" w:hAnsi="Times New Roman" w:cs="Times New Roman"/>
          <w:color w:val="0D0D0D"/>
          <w:sz w:val="20"/>
          <w:lang w:val="es-ES"/>
        </w:rPr>
      </w:pPr>
      <w:r w:rsidRPr="00506990">
        <w:rPr>
          <w:rFonts w:ascii="Times New Roman" w:hAnsi="Times New Roman" w:cs="Times New Roman"/>
          <w:color w:val="0D0D0D"/>
          <w:sz w:val="20"/>
          <w:lang w:val="es-ES"/>
        </w:rPr>
        <w:t xml:space="preserve">Por </w:t>
      </w:r>
      <w:r w:rsidRPr="00506990">
        <w:rPr>
          <w:rFonts w:ascii="Times New Roman" w:hAnsi="Times New Roman" w:cs="Times New Roman"/>
          <w:b/>
          <w:color w:val="0D0D0D"/>
          <w:sz w:val="20"/>
          <w:lang w:val="es-ES"/>
        </w:rPr>
        <w:t>Rosario Administradora Sociedad Fiduciaria S.A.</w:t>
      </w:r>
      <w:r w:rsidRPr="00506990">
        <w:rPr>
          <w:rFonts w:ascii="Times New Roman" w:hAnsi="Times New Roman" w:cs="Times New Roman"/>
          <w:b/>
          <w:bCs/>
          <w:color w:val="0D0D0D"/>
          <w:sz w:val="20"/>
          <w:szCs w:val="20"/>
          <w:lang w:val="es-ES"/>
        </w:rPr>
        <w:t xml:space="preserve"> </w:t>
      </w:r>
    </w:p>
    <w:p w14:paraId="134EBB14" w14:textId="77777777" w:rsidR="0050339C" w:rsidRPr="00506990" w:rsidRDefault="0050339C" w:rsidP="0050339C">
      <w:pPr>
        <w:widowControl w:val="0"/>
        <w:suppressAutoHyphens/>
        <w:rPr>
          <w:rFonts w:ascii="Times New Roman" w:hAnsi="Times New Roman" w:cs="Times New Roman"/>
          <w:color w:val="0D0D0D"/>
          <w:sz w:val="20"/>
          <w:szCs w:val="20"/>
          <w:lang w:val="es-AR"/>
        </w:rPr>
      </w:pPr>
      <w:r w:rsidRPr="00506990">
        <w:rPr>
          <w:rFonts w:ascii="Times New Roman" w:hAnsi="Times New Roman" w:cs="Times New Roman"/>
          <w:color w:val="0D0D0D"/>
          <w:sz w:val="20"/>
          <w:szCs w:val="20"/>
          <w:lang w:val="es-AR"/>
        </w:rPr>
        <w:t>como Fiduciario</w:t>
      </w:r>
    </w:p>
    <w:tbl>
      <w:tblPr>
        <w:tblW w:w="0" w:type="auto"/>
        <w:tblLayout w:type="fixed"/>
        <w:tblCellMar>
          <w:left w:w="70" w:type="dxa"/>
          <w:right w:w="70" w:type="dxa"/>
        </w:tblCellMar>
        <w:tblLook w:val="04A0" w:firstRow="1" w:lastRow="0" w:firstColumn="1" w:lastColumn="0" w:noHBand="0" w:noVBand="1"/>
      </w:tblPr>
      <w:tblGrid>
        <w:gridCol w:w="4531"/>
        <w:gridCol w:w="4113"/>
      </w:tblGrid>
      <w:tr w:rsidR="0050339C" w:rsidRPr="00506990" w14:paraId="0A77BD9F" w14:textId="77777777" w:rsidTr="0098446E">
        <w:trPr>
          <w:trHeight w:val="1381"/>
        </w:trPr>
        <w:tc>
          <w:tcPr>
            <w:tcW w:w="4531" w:type="dxa"/>
          </w:tcPr>
          <w:p w14:paraId="4E6BB9F1"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7935A83B"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02897CEC"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6F8A175D"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15C93DED"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w:t>
            </w:r>
          </w:p>
          <w:p w14:paraId="2098ED67" w14:textId="77777777" w:rsidR="00DD0C47" w:rsidRPr="00506990" w:rsidRDefault="00DD0C47" w:rsidP="00DD0C47">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Aclaración: </w:t>
            </w:r>
          </w:p>
          <w:p w14:paraId="558705CE" w14:textId="6A8EBC8A" w:rsidR="0050339C" w:rsidRPr="00506990" w:rsidRDefault="00DD0C47" w:rsidP="0098446E">
            <w:pPr>
              <w:pStyle w:val="Piedepgina"/>
              <w:spacing w:line="360" w:lineRule="auto"/>
              <w:jc w:val="left"/>
              <w:rPr>
                <w:rFonts w:ascii="Times New Roman" w:eastAsia="Times New Roman" w:hAnsi="Times New Roman"/>
                <w:color w:val="0D0D0D"/>
                <w:lang w:val="es-AR" w:eastAsia="en-US"/>
              </w:rPr>
            </w:pPr>
            <w:r w:rsidRPr="00506990">
              <w:rPr>
                <w:rFonts w:ascii="Times New Roman" w:hAnsi="Times New Roman"/>
                <w:color w:val="0D0D0D"/>
                <w:lang w:eastAsia="en-US"/>
              </w:rPr>
              <w:t>Cargo:</w:t>
            </w:r>
            <w:r>
              <w:rPr>
                <w:rFonts w:ascii="Times New Roman" w:hAnsi="Times New Roman"/>
                <w:color w:val="0D0D0D"/>
                <w:lang w:eastAsia="en-US"/>
              </w:rPr>
              <w:t xml:space="preserve"> </w:t>
            </w:r>
            <w:r w:rsidRPr="00506990">
              <w:rPr>
                <w:rFonts w:ascii="Times New Roman" w:hAnsi="Times New Roman"/>
                <w:color w:val="0D0D0D"/>
                <w:lang w:eastAsia="en-US"/>
              </w:rPr>
              <w:t>Apoderado</w:t>
            </w:r>
            <w:r w:rsidRPr="00506990" w:rsidDel="00DD0C47">
              <w:rPr>
                <w:rFonts w:ascii="Times New Roman" w:hAnsi="Times New Roman"/>
                <w:color w:val="0D0D0D"/>
                <w:lang w:eastAsia="en-US"/>
              </w:rPr>
              <w:t xml:space="preserve"> </w:t>
            </w:r>
            <w:r w:rsidR="0050339C" w:rsidRPr="00506990">
              <w:rPr>
                <w:rFonts w:ascii="Times New Roman" w:hAnsi="Times New Roman"/>
                <w:color w:val="0D0D0D"/>
                <w:lang w:eastAsia="en-US"/>
              </w:rPr>
              <w:tab/>
            </w:r>
            <w:r w:rsidR="0050339C" w:rsidRPr="00506990">
              <w:rPr>
                <w:rFonts w:ascii="Times New Roman" w:hAnsi="Times New Roman"/>
                <w:color w:val="0D0D0D"/>
                <w:lang w:eastAsia="en-US"/>
              </w:rPr>
              <w:tab/>
            </w:r>
          </w:p>
        </w:tc>
        <w:tc>
          <w:tcPr>
            <w:tcW w:w="4113" w:type="dxa"/>
          </w:tcPr>
          <w:p w14:paraId="37F68900"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1A83C796"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1FAF3C62"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20AC2DE1"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07F2A4B0"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w:t>
            </w:r>
          </w:p>
          <w:p w14:paraId="02A4A5B2"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Aclaración: </w:t>
            </w:r>
          </w:p>
          <w:p w14:paraId="01754229" w14:textId="5A1B281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Cargo: Apoderado</w:t>
            </w:r>
          </w:p>
        </w:tc>
      </w:tr>
    </w:tbl>
    <w:p w14:paraId="12AD347B" w14:textId="77777777" w:rsidR="00DD0C47" w:rsidRDefault="00DD0C47" w:rsidP="0050339C">
      <w:pPr>
        <w:rPr>
          <w:rFonts w:ascii="Times New Roman" w:hAnsi="Times New Roman" w:cs="Times New Roman"/>
          <w:color w:val="0D0D0D"/>
          <w:sz w:val="20"/>
          <w:szCs w:val="20"/>
        </w:rPr>
      </w:pPr>
    </w:p>
    <w:p w14:paraId="055B8790" w14:textId="410AD2A1" w:rsidR="0050339C" w:rsidRPr="00506990" w:rsidRDefault="0050339C" w:rsidP="0050339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Por </w:t>
      </w:r>
      <w:r w:rsidRPr="00506990">
        <w:rPr>
          <w:rFonts w:ascii="Times New Roman" w:hAnsi="Times New Roman" w:cs="Times New Roman"/>
          <w:b/>
          <w:color w:val="0D0D0D"/>
          <w:sz w:val="20"/>
          <w:szCs w:val="20"/>
        </w:rPr>
        <w:t>Bazar Avenida</w:t>
      </w:r>
      <w:r w:rsidRPr="00506990">
        <w:rPr>
          <w:rFonts w:ascii="Times New Roman" w:hAnsi="Times New Roman" w:cs="Times New Roman"/>
          <w:color w:val="0D0D0D"/>
          <w:sz w:val="20"/>
          <w:szCs w:val="20"/>
        </w:rPr>
        <w:t xml:space="preserve"> </w:t>
      </w:r>
      <w:r w:rsidRPr="00506990">
        <w:rPr>
          <w:rFonts w:ascii="Times New Roman" w:hAnsi="Times New Roman" w:cs="Times New Roman"/>
          <w:b/>
          <w:color w:val="0D0D0D"/>
          <w:sz w:val="20"/>
          <w:szCs w:val="20"/>
        </w:rPr>
        <w:t xml:space="preserve">S.A. </w:t>
      </w:r>
    </w:p>
    <w:p w14:paraId="236C4EF8" w14:textId="77777777" w:rsidR="0050339C" w:rsidRPr="00506990" w:rsidRDefault="0050339C" w:rsidP="0050339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como Fiduciante, Administrador y Agente de Cobro. </w:t>
      </w:r>
    </w:p>
    <w:tbl>
      <w:tblPr>
        <w:tblW w:w="0" w:type="auto"/>
        <w:tblLayout w:type="fixed"/>
        <w:tblCellMar>
          <w:left w:w="70" w:type="dxa"/>
          <w:right w:w="70" w:type="dxa"/>
        </w:tblCellMar>
        <w:tblLook w:val="04A0" w:firstRow="1" w:lastRow="0" w:firstColumn="1" w:lastColumn="0" w:noHBand="0" w:noVBand="1"/>
      </w:tblPr>
      <w:tblGrid>
        <w:gridCol w:w="4322"/>
        <w:gridCol w:w="4322"/>
      </w:tblGrid>
      <w:tr w:rsidR="0050339C" w:rsidRPr="00506990" w14:paraId="49DB4557" w14:textId="77777777" w:rsidTr="0098446E">
        <w:tc>
          <w:tcPr>
            <w:tcW w:w="4322" w:type="dxa"/>
          </w:tcPr>
          <w:p w14:paraId="0D1E47A7" w14:textId="77777777" w:rsidR="0050339C" w:rsidRDefault="0050339C" w:rsidP="006F15A1">
            <w:pPr>
              <w:spacing w:line="360" w:lineRule="auto"/>
              <w:rPr>
                <w:rFonts w:ascii="Times New Roman" w:hAnsi="Times New Roman" w:cs="Times New Roman"/>
                <w:color w:val="0D0D0D"/>
                <w:sz w:val="20"/>
                <w:szCs w:val="20"/>
                <w:lang w:val="es-AR" w:eastAsia="en-US"/>
              </w:rPr>
            </w:pPr>
          </w:p>
          <w:p w14:paraId="4C8C8B8D"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0868E603" w14:textId="77777777" w:rsidR="00DD0C47" w:rsidRDefault="00DD0C47" w:rsidP="006F15A1">
            <w:pPr>
              <w:spacing w:line="360" w:lineRule="auto"/>
              <w:rPr>
                <w:rFonts w:ascii="Times New Roman" w:hAnsi="Times New Roman" w:cs="Times New Roman"/>
                <w:color w:val="0D0D0D"/>
                <w:sz w:val="20"/>
                <w:szCs w:val="20"/>
                <w:lang w:val="es-AR" w:eastAsia="en-US"/>
              </w:rPr>
            </w:pPr>
          </w:p>
          <w:p w14:paraId="3B4CA954" w14:textId="77777777" w:rsidR="00DD0C47" w:rsidRPr="00506990" w:rsidRDefault="00DD0C47" w:rsidP="006F15A1">
            <w:pPr>
              <w:spacing w:line="360" w:lineRule="auto"/>
              <w:rPr>
                <w:rFonts w:ascii="Times New Roman" w:hAnsi="Times New Roman" w:cs="Times New Roman"/>
                <w:color w:val="0D0D0D"/>
                <w:sz w:val="20"/>
                <w:szCs w:val="20"/>
                <w:lang w:val="es-AR" w:eastAsia="en-US"/>
              </w:rPr>
            </w:pPr>
          </w:p>
          <w:p w14:paraId="5DAF970D"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________________________</w:t>
            </w:r>
          </w:p>
          <w:p w14:paraId="3442AF35" w14:textId="77777777" w:rsidR="0050339C" w:rsidRPr="00506990" w:rsidRDefault="0050339C" w:rsidP="006F15A1">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Nombre: </w:t>
            </w:r>
          </w:p>
          <w:p w14:paraId="7D4843CA"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 xml:space="preserve">Cargo: </w:t>
            </w:r>
          </w:p>
        </w:tc>
        <w:tc>
          <w:tcPr>
            <w:tcW w:w="4322" w:type="dxa"/>
          </w:tcPr>
          <w:p w14:paraId="585D9DC8"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p>
          <w:p w14:paraId="1A7AF62C" w14:textId="77777777" w:rsidR="0050339C" w:rsidRPr="00506990" w:rsidRDefault="0050339C" w:rsidP="006F15A1">
            <w:pPr>
              <w:spacing w:line="360" w:lineRule="auto"/>
              <w:rPr>
                <w:rFonts w:ascii="Times New Roman" w:hAnsi="Times New Roman" w:cs="Times New Roman"/>
                <w:color w:val="0D0D0D"/>
                <w:sz w:val="20"/>
                <w:szCs w:val="20"/>
                <w:lang w:eastAsia="en-US"/>
              </w:rPr>
            </w:pPr>
          </w:p>
          <w:p w14:paraId="7A42BAC4" w14:textId="77777777" w:rsidR="0050339C" w:rsidRPr="00506990" w:rsidRDefault="0050339C" w:rsidP="006F15A1">
            <w:pPr>
              <w:spacing w:line="360" w:lineRule="auto"/>
              <w:rPr>
                <w:rFonts w:ascii="Times New Roman" w:hAnsi="Times New Roman" w:cs="Times New Roman"/>
                <w:color w:val="0D0D0D"/>
                <w:sz w:val="20"/>
                <w:szCs w:val="20"/>
                <w:lang w:eastAsia="en-US"/>
              </w:rPr>
            </w:pPr>
          </w:p>
          <w:p w14:paraId="6D03E7AA" w14:textId="77777777" w:rsidR="0050339C" w:rsidRPr="00506990" w:rsidRDefault="0050339C" w:rsidP="006F15A1">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ab/>
            </w:r>
          </w:p>
        </w:tc>
      </w:tr>
    </w:tbl>
    <w:p w14:paraId="7BFFF9B0" w14:textId="1221BB97" w:rsidR="0050339C" w:rsidRDefault="0050339C" w:rsidP="0050339C">
      <w:pPr>
        <w:pStyle w:val="Encabezado"/>
        <w:suppressLineNumbers/>
        <w:suppressAutoHyphens/>
        <w:rPr>
          <w:rFonts w:ascii="Times New Roman" w:hAnsi="Times New Roman"/>
          <w:iCs/>
          <w:color w:val="0D0D0D" w:themeColor="text1" w:themeTint="F2"/>
          <w:sz w:val="22"/>
          <w:szCs w:val="22"/>
        </w:rPr>
      </w:pPr>
    </w:p>
    <w:p w14:paraId="0990FD57" w14:textId="388E5EE2" w:rsidR="002A2B1C" w:rsidRPr="00506990" w:rsidRDefault="002A2B1C" w:rsidP="002A2B1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Por </w:t>
      </w:r>
      <w:r w:rsidRPr="00506990">
        <w:rPr>
          <w:rFonts w:ascii="Times New Roman" w:hAnsi="Times New Roman" w:cs="Times New Roman"/>
          <w:b/>
          <w:color w:val="0D0D0D"/>
          <w:sz w:val="20"/>
          <w:szCs w:val="20"/>
        </w:rPr>
        <w:t>Consumo</w:t>
      </w:r>
      <w:r w:rsidRPr="00506990">
        <w:rPr>
          <w:rFonts w:ascii="Times New Roman" w:hAnsi="Times New Roman" w:cs="Times New Roman"/>
          <w:color w:val="0D0D0D"/>
          <w:sz w:val="20"/>
          <w:szCs w:val="20"/>
        </w:rPr>
        <w:t xml:space="preserve"> </w:t>
      </w:r>
      <w:r w:rsidRPr="00506990">
        <w:rPr>
          <w:rFonts w:ascii="Times New Roman" w:hAnsi="Times New Roman" w:cs="Times New Roman"/>
          <w:b/>
          <w:color w:val="0D0D0D"/>
          <w:sz w:val="20"/>
          <w:szCs w:val="20"/>
        </w:rPr>
        <w:t xml:space="preserve">S.A. </w:t>
      </w:r>
    </w:p>
    <w:p w14:paraId="1A539CDE" w14:textId="77777777" w:rsidR="002A2B1C" w:rsidRPr="00506990" w:rsidRDefault="002A2B1C" w:rsidP="002A2B1C">
      <w:pPr>
        <w:rPr>
          <w:rFonts w:ascii="Times New Roman" w:hAnsi="Times New Roman" w:cs="Times New Roman"/>
          <w:color w:val="0D0D0D"/>
          <w:sz w:val="20"/>
          <w:szCs w:val="20"/>
        </w:rPr>
      </w:pPr>
      <w:r w:rsidRPr="00506990">
        <w:rPr>
          <w:rFonts w:ascii="Times New Roman" w:hAnsi="Times New Roman" w:cs="Times New Roman"/>
          <w:color w:val="0D0D0D"/>
          <w:sz w:val="20"/>
          <w:szCs w:val="20"/>
        </w:rPr>
        <w:t xml:space="preserve">como Fiduciante, Administrador y Agente de Cobro. </w:t>
      </w:r>
    </w:p>
    <w:tbl>
      <w:tblPr>
        <w:tblW w:w="0" w:type="auto"/>
        <w:tblLayout w:type="fixed"/>
        <w:tblCellMar>
          <w:left w:w="70" w:type="dxa"/>
          <w:right w:w="70" w:type="dxa"/>
        </w:tblCellMar>
        <w:tblLook w:val="04A0" w:firstRow="1" w:lastRow="0" w:firstColumn="1" w:lastColumn="0" w:noHBand="0" w:noVBand="1"/>
      </w:tblPr>
      <w:tblGrid>
        <w:gridCol w:w="4322"/>
        <w:gridCol w:w="4322"/>
      </w:tblGrid>
      <w:tr w:rsidR="002A2B1C" w:rsidRPr="00506990" w14:paraId="589EA674" w14:textId="77777777" w:rsidTr="0098446E">
        <w:tc>
          <w:tcPr>
            <w:tcW w:w="4322" w:type="dxa"/>
          </w:tcPr>
          <w:p w14:paraId="14B5B536" w14:textId="77777777" w:rsidR="002A2B1C" w:rsidRDefault="002A2B1C" w:rsidP="00E05B63">
            <w:pPr>
              <w:spacing w:line="360" w:lineRule="auto"/>
              <w:rPr>
                <w:rFonts w:ascii="Times New Roman" w:hAnsi="Times New Roman" w:cs="Times New Roman"/>
                <w:color w:val="0D0D0D"/>
                <w:sz w:val="20"/>
                <w:szCs w:val="20"/>
                <w:lang w:val="es-AR" w:eastAsia="en-US"/>
              </w:rPr>
            </w:pPr>
          </w:p>
          <w:p w14:paraId="764A541E" w14:textId="77777777" w:rsidR="00DD0C47" w:rsidRDefault="00DD0C47" w:rsidP="00E05B63">
            <w:pPr>
              <w:spacing w:line="360" w:lineRule="auto"/>
              <w:rPr>
                <w:rFonts w:ascii="Times New Roman" w:hAnsi="Times New Roman" w:cs="Times New Roman"/>
                <w:color w:val="0D0D0D"/>
                <w:sz w:val="20"/>
                <w:szCs w:val="20"/>
                <w:lang w:val="es-AR" w:eastAsia="en-US"/>
              </w:rPr>
            </w:pPr>
          </w:p>
          <w:p w14:paraId="1C8A0C05" w14:textId="77777777" w:rsidR="00DD0C47" w:rsidRPr="00506990" w:rsidRDefault="00DD0C47" w:rsidP="00E05B63">
            <w:pPr>
              <w:spacing w:line="360" w:lineRule="auto"/>
              <w:rPr>
                <w:rFonts w:ascii="Times New Roman" w:hAnsi="Times New Roman" w:cs="Times New Roman"/>
                <w:color w:val="0D0D0D"/>
                <w:sz w:val="20"/>
                <w:szCs w:val="20"/>
                <w:lang w:val="es-AR" w:eastAsia="en-US"/>
              </w:rPr>
            </w:pPr>
          </w:p>
          <w:p w14:paraId="19F593D0" w14:textId="2A9E410C" w:rsidR="002A2B1C" w:rsidRPr="00506990" w:rsidRDefault="002A2B1C" w:rsidP="00E05B63">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________________________</w:t>
            </w:r>
          </w:p>
          <w:p w14:paraId="7D345911" w14:textId="77777777" w:rsidR="002A2B1C" w:rsidRPr="00506990" w:rsidRDefault="002A2B1C" w:rsidP="00E05B63">
            <w:pPr>
              <w:spacing w:line="360" w:lineRule="auto"/>
              <w:rPr>
                <w:rFonts w:ascii="Times New Roman" w:hAnsi="Times New Roman" w:cs="Times New Roman"/>
                <w:color w:val="0D0D0D"/>
                <w:sz w:val="20"/>
                <w:szCs w:val="20"/>
                <w:lang w:eastAsia="en-US"/>
              </w:rPr>
            </w:pPr>
            <w:r w:rsidRPr="00506990">
              <w:rPr>
                <w:rFonts w:ascii="Times New Roman" w:hAnsi="Times New Roman" w:cs="Times New Roman"/>
                <w:color w:val="0D0D0D"/>
                <w:sz w:val="20"/>
                <w:szCs w:val="20"/>
                <w:lang w:eastAsia="en-US"/>
              </w:rPr>
              <w:t xml:space="preserve">Nombre: </w:t>
            </w:r>
          </w:p>
          <w:p w14:paraId="5C49DE74"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 xml:space="preserve">Cargo: </w:t>
            </w:r>
          </w:p>
        </w:tc>
        <w:tc>
          <w:tcPr>
            <w:tcW w:w="4322" w:type="dxa"/>
          </w:tcPr>
          <w:p w14:paraId="18E7FCF5"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p>
          <w:p w14:paraId="16DFFD4D" w14:textId="77777777" w:rsidR="002A2B1C" w:rsidRPr="00506990" w:rsidRDefault="002A2B1C" w:rsidP="00E05B63">
            <w:pPr>
              <w:spacing w:line="360" w:lineRule="auto"/>
              <w:rPr>
                <w:rFonts w:ascii="Times New Roman" w:hAnsi="Times New Roman" w:cs="Times New Roman"/>
                <w:color w:val="0D0D0D"/>
                <w:sz w:val="20"/>
                <w:szCs w:val="20"/>
                <w:lang w:eastAsia="en-US"/>
              </w:rPr>
            </w:pPr>
          </w:p>
          <w:p w14:paraId="2A053297" w14:textId="77777777" w:rsidR="002A2B1C" w:rsidRPr="00506990" w:rsidRDefault="002A2B1C" w:rsidP="00E05B63">
            <w:pPr>
              <w:spacing w:line="360" w:lineRule="auto"/>
              <w:rPr>
                <w:rFonts w:ascii="Times New Roman" w:hAnsi="Times New Roman" w:cs="Times New Roman"/>
                <w:color w:val="0D0D0D"/>
                <w:sz w:val="20"/>
                <w:szCs w:val="20"/>
                <w:lang w:eastAsia="en-US"/>
              </w:rPr>
            </w:pPr>
          </w:p>
          <w:p w14:paraId="24728680" w14:textId="77777777" w:rsidR="002A2B1C" w:rsidRPr="00506990" w:rsidRDefault="002A2B1C" w:rsidP="00E05B63">
            <w:pPr>
              <w:spacing w:line="360" w:lineRule="auto"/>
              <w:rPr>
                <w:rFonts w:ascii="Times New Roman" w:hAnsi="Times New Roman" w:cs="Times New Roman"/>
                <w:color w:val="0D0D0D"/>
                <w:sz w:val="20"/>
                <w:szCs w:val="20"/>
                <w:lang w:val="es-AR" w:eastAsia="en-US"/>
              </w:rPr>
            </w:pPr>
            <w:r w:rsidRPr="00506990">
              <w:rPr>
                <w:rFonts w:ascii="Times New Roman" w:hAnsi="Times New Roman" w:cs="Times New Roman"/>
                <w:color w:val="0D0D0D"/>
                <w:sz w:val="20"/>
                <w:szCs w:val="20"/>
                <w:lang w:eastAsia="en-US"/>
              </w:rPr>
              <w:tab/>
            </w:r>
          </w:p>
        </w:tc>
      </w:tr>
    </w:tbl>
    <w:p w14:paraId="3326414F" w14:textId="77777777" w:rsidR="002A2B1C" w:rsidRPr="00506990" w:rsidRDefault="002A2B1C" w:rsidP="0050339C">
      <w:pPr>
        <w:pStyle w:val="Encabezado"/>
        <w:suppressLineNumbers/>
        <w:suppressAutoHyphens/>
        <w:rPr>
          <w:rFonts w:ascii="Times New Roman" w:hAnsi="Times New Roman"/>
          <w:iCs/>
          <w:color w:val="0D0D0D" w:themeColor="text1" w:themeTint="F2"/>
          <w:sz w:val="22"/>
          <w:szCs w:val="22"/>
        </w:rPr>
      </w:pPr>
    </w:p>
    <w:p w14:paraId="261AC209"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6B9298BA"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ANEXO 3.5</w:t>
      </w:r>
    </w:p>
    <w:p w14:paraId="71FA0005"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Informe Diario de Cobranzas</w:t>
      </w:r>
    </w:p>
    <w:p w14:paraId="1EDFA1C0" w14:textId="65BDFE53" w:rsidR="0050339C" w:rsidRPr="00506990" w:rsidRDefault="0050339C" w:rsidP="0050339C">
      <w:pPr>
        <w:pStyle w:val="Encabezado"/>
        <w:suppressLineNumbers/>
        <w:suppressAutoHyphens/>
        <w:jc w:val="center"/>
        <w:rPr>
          <w:rFonts w:ascii="Times New Roman" w:hAnsi="Times New Roman"/>
          <w:iCs/>
          <w:color w:val="0D0D0D" w:themeColor="text1" w:themeTint="F2"/>
          <w:sz w:val="22"/>
          <w:szCs w:val="22"/>
          <w:lang w:val="es-AR"/>
        </w:rPr>
      </w:pPr>
      <w:r w:rsidRPr="00506990">
        <w:rPr>
          <w:rFonts w:ascii="Times New Roman" w:hAnsi="Times New Roman"/>
          <w:b/>
          <w:iCs/>
          <w:color w:val="0D0D0D" w:themeColor="text1" w:themeTint="F2"/>
          <w:sz w:val="22"/>
          <w:szCs w:val="22"/>
          <w:lang w:val="es-AR"/>
        </w:rPr>
        <w:t>Cuentas Elegidas / Determinadas</w:t>
      </w:r>
    </w:p>
    <w:p w14:paraId="044D05D1" w14:textId="77777777" w:rsidR="0050339C" w:rsidRPr="00506990" w:rsidRDefault="0050339C" w:rsidP="00270AFD">
      <w:pPr>
        <w:pStyle w:val="Encabezado"/>
        <w:numPr>
          <w:ilvl w:val="2"/>
          <w:numId w:val="22"/>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sucursal </w:t>
      </w:r>
    </w:p>
    <w:p w14:paraId="19E4C5D8" w14:textId="77777777" w:rsidR="0050339C" w:rsidRPr="00506990" w:rsidRDefault="0050339C" w:rsidP="00270AFD">
      <w:pPr>
        <w:pStyle w:val="Encabezado"/>
        <w:numPr>
          <w:ilvl w:val="2"/>
          <w:numId w:val="22"/>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cliente </w:t>
      </w:r>
    </w:p>
    <w:p w14:paraId="7886BBAB" w14:textId="77777777" w:rsidR="0050339C" w:rsidRPr="00506990" w:rsidRDefault="0050339C" w:rsidP="00270AFD">
      <w:pPr>
        <w:pStyle w:val="Encabezado"/>
        <w:numPr>
          <w:ilvl w:val="2"/>
          <w:numId w:val="22"/>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Número de Operación</w:t>
      </w:r>
    </w:p>
    <w:p w14:paraId="63DA84E8" w14:textId="77777777" w:rsidR="0050339C" w:rsidRPr="00506990" w:rsidRDefault="0050339C" w:rsidP="00270AFD">
      <w:pPr>
        <w:pStyle w:val="Encabezado"/>
        <w:numPr>
          <w:ilvl w:val="2"/>
          <w:numId w:val="22"/>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Número de cuota </w:t>
      </w:r>
    </w:p>
    <w:p w14:paraId="5129A6CD" w14:textId="77777777" w:rsidR="0050339C" w:rsidRPr="00506990" w:rsidRDefault="0050339C" w:rsidP="00270AFD">
      <w:pPr>
        <w:pStyle w:val="Encabezado"/>
        <w:numPr>
          <w:ilvl w:val="2"/>
          <w:numId w:val="22"/>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vencimiento de la cuota</w:t>
      </w:r>
    </w:p>
    <w:p w14:paraId="45F0DD3D" w14:textId="77777777" w:rsidR="0050339C" w:rsidRPr="00506990" w:rsidRDefault="0050339C" w:rsidP="00270AFD">
      <w:pPr>
        <w:pStyle w:val="Encabezado"/>
        <w:numPr>
          <w:ilvl w:val="2"/>
          <w:numId w:val="22"/>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pago de la cuota</w:t>
      </w:r>
    </w:p>
    <w:p w14:paraId="44645409" w14:textId="77777777" w:rsidR="0050339C" w:rsidRPr="00506990" w:rsidRDefault="0050339C" w:rsidP="00270AFD">
      <w:pPr>
        <w:pStyle w:val="Encabezado"/>
        <w:numPr>
          <w:ilvl w:val="2"/>
          <w:numId w:val="22"/>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Capital pagado de la cuota</w:t>
      </w:r>
    </w:p>
    <w:p w14:paraId="57F8C62B" w14:textId="77777777" w:rsidR="0050339C" w:rsidRPr="00506990" w:rsidRDefault="0050339C" w:rsidP="00270AFD">
      <w:pPr>
        <w:pStyle w:val="Encabezado"/>
        <w:numPr>
          <w:ilvl w:val="2"/>
          <w:numId w:val="22"/>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Interés pagado de la cuota</w:t>
      </w:r>
    </w:p>
    <w:p w14:paraId="7DD744D9" w14:textId="77777777" w:rsidR="0050339C" w:rsidRPr="00506990" w:rsidRDefault="0050339C" w:rsidP="00270AFD">
      <w:pPr>
        <w:pStyle w:val="Encabezado"/>
        <w:numPr>
          <w:ilvl w:val="2"/>
          <w:numId w:val="22"/>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Monto total pagado de la cuota</w:t>
      </w:r>
    </w:p>
    <w:p w14:paraId="467921E2"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lang w:val="es-AR"/>
        </w:rPr>
      </w:pPr>
    </w:p>
    <w:p w14:paraId="3015A80E"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ANEXO 3.5.1</w:t>
      </w:r>
    </w:p>
    <w:p w14:paraId="49DCE977" w14:textId="77777777" w:rsidR="0050339C" w:rsidRPr="00506990" w:rsidRDefault="0050339C" w:rsidP="0050339C">
      <w:pPr>
        <w:pStyle w:val="Encabezado"/>
        <w:suppressLineNumbers/>
        <w:suppressAutoHyphens/>
        <w:jc w:val="center"/>
        <w:rPr>
          <w:rFonts w:ascii="Times New Roman" w:hAnsi="Times New Roman"/>
          <w:b/>
          <w:iCs/>
          <w:color w:val="0D0D0D" w:themeColor="text1" w:themeTint="F2"/>
          <w:sz w:val="22"/>
          <w:szCs w:val="22"/>
          <w:u w:val="single"/>
          <w:lang w:val="es-AR"/>
        </w:rPr>
      </w:pPr>
      <w:r w:rsidRPr="00506990">
        <w:rPr>
          <w:rFonts w:ascii="Times New Roman" w:hAnsi="Times New Roman"/>
          <w:b/>
          <w:iCs/>
          <w:color w:val="0D0D0D" w:themeColor="text1" w:themeTint="F2"/>
          <w:sz w:val="22"/>
          <w:szCs w:val="22"/>
          <w:u w:val="single"/>
          <w:lang w:val="es-AR"/>
        </w:rPr>
        <w:t>Informe Mensual de Cobranza</w:t>
      </w:r>
    </w:p>
    <w:p w14:paraId="3AF565E7" w14:textId="77777777" w:rsidR="0050339C" w:rsidRPr="00506990" w:rsidRDefault="0050339C" w:rsidP="0050339C">
      <w:pPr>
        <w:pStyle w:val="Encabezado"/>
        <w:suppressLineNumbers/>
        <w:rPr>
          <w:rFonts w:ascii="Times New Roman" w:hAnsi="Times New Roman"/>
          <w:b/>
          <w:i/>
          <w:iCs/>
          <w:color w:val="0D0D0D" w:themeColor="text1" w:themeTint="F2"/>
          <w:sz w:val="22"/>
          <w:szCs w:val="22"/>
          <w:lang w:val="es-AR"/>
        </w:rPr>
      </w:pPr>
    </w:p>
    <w:p w14:paraId="7353296E" w14:textId="77777777" w:rsidR="0050339C" w:rsidRPr="00506990" w:rsidRDefault="0050339C" w:rsidP="00270AFD">
      <w:pPr>
        <w:pStyle w:val="Encabezado"/>
        <w:numPr>
          <w:ilvl w:val="2"/>
          <w:numId w:val="23"/>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sucursal </w:t>
      </w:r>
    </w:p>
    <w:p w14:paraId="58694AFC" w14:textId="77777777" w:rsidR="0050339C" w:rsidRPr="00506990" w:rsidRDefault="0050339C" w:rsidP="00270AFD">
      <w:pPr>
        <w:pStyle w:val="Encabezado"/>
        <w:numPr>
          <w:ilvl w:val="2"/>
          <w:numId w:val="23"/>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Nro. de cliente </w:t>
      </w:r>
    </w:p>
    <w:p w14:paraId="5A6E8049" w14:textId="77777777" w:rsidR="0050339C" w:rsidRPr="00506990" w:rsidRDefault="0050339C" w:rsidP="00270AFD">
      <w:pPr>
        <w:pStyle w:val="Encabezado"/>
        <w:numPr>
          <w:ilvl w:val="2"/>
          <w:numId w:val="23"/>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Número de Operación</w:t>
      </w:r>
    </w:p>
    <w:p w14:paraId="5C3C4915" w14:textId="77777777" w:rsidR="0050339C" w:rsidRPr="00506990" w:rsidRDefault="0050339C" w:rsidP="00270AFD">
      <w:pPr>
        <w:pStyle w:val="Encabezado"/>
        <w:numPr>
          <w:ilvl w:val="2"/>
          <w:numId w:val="23"/>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 xml:space="preserve">Número de cuota </w:t>
      </w:r>
    </w:p>
    <w:p w14:paraId="0FCC9F4C" w14:textId="77777777" w:rsidR="0050339C" w:rsidRPr="00506990" w:rsidRDefault="0050339C" w:rsidP="00270AFD">
      <w:pPr>
        <w:pStyle w:val="Encabezado"/>
        <w:numPr>
          <w:ilvl w:val="2"/>
          <w:numId w:val="23"/>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vencimiento de la cuota</w:t>
      </w:r>
    </w:p>
    <w:p w14:paraId="3807D2F8" w14:textId="77777777" w:rsidR="0050339C" w:rsidRPr="00506990" w:rsidRDefault="0050339C" w:rsidP="00270AFD">
      <w:pPr>
        <w:pStyle w:val="Encabezado"/>
        <w:numPr>
          <w:ilvl w:val="2"/>
          <w:numId w:val="23"/>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Fecha de pago de la cuota</w:t>
      </w:r>
    </w:p>
    <w:p w14:paraId="1F353BF4" w14:textId="77777777" w:rsidR="0050339C" w:rsidRPr="00506990" w:rsidRDefault="0050339C" w:rsidP="00270AFD">
      <w:pPr>
        <w:pStyle w:val="Encabezado"/>
        <w:numPr>
          <w:ilvl w:val="2"/>
          <w:numId w:val="23"/>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capital pagado de la cuota</w:t>
      </w:r>
    </w:p>
    <w:p w14:paraId="5849BA88" w14:textId="77777777" w:rsidR="0050339C" w:rsidRPr="00506990" w:rsidRDefault="0050339C" w:rsidP="00270AFD">
      <w:pPr>
        <w:pStyle w:val="Encabezado"/>
        <w:numPr>
          <w:ilvl w:val="2"/>
          <w:numId w:val="23"/>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Interés pagado de la cuota</w:t>
      </w:r>
    </w:p>
    <w:p w14:paraId="1F85EAC5" w14:textId="77777777" w:rsidR="0050339C" w:rsidRPr="00506990" w:rsidRDefault="0050339C" w:rsidP="00270AFD">
      <w:pPr>
        <w:pStyle w:val="Encabezado"/>
        <w:numPr>
          <w:ilvl w:val="2"/>
          <w:numId w:val="23"/>
        </w:numPr>
        <w:suppressLineNumbers/>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lang w:val="es-AR"/>
        </w:rPr>
        <w:t>Monto total pagado de la cuota</w:t>
      </w:r>
    </w:p>
    <w:p w14:paraId="6F8C489A" w14:textId="77777777" w:rsidR="0050339C" w:rsidRPr="00506990" w:rsidRDefault="0050339C" w:rsidP="0050339C">
      <w:pPr>
        <w:pStyle w:val="Encabezado"/>
        <w:suppressLineNumbers/>
        <w:suppressAutoHyphens/>
        <w:rPr>
          <w:rFonts w:ascii="Times New Roman" w:hAnsi="Times New Roman"/>
          <w:iCs/>
          <w:color w:val="0D0D0D" w:themeColor="text1" w:themeTint="F2"/>
          <w:sz w:val="22"/>
          <w:szCs w:val="22"/>
        </w:rPr>
      </w:pPr>
    </w:p>
    <w:p w14:paraId="73CA2F42" w14:textId="77777777" w:rsidR="0050339C" w:rsidRPr="00506990" w:rsidRDefault="0050339C" w:rsidP="0050339C">
      <w:pPr>
        <w:keepNext/>
        <w:suppressAutoHyphens/>
        <w:spacing w:line="240" w:lineRule="atLeast"/>
        <w:jc w:val="center"/>
        <w:rPr>
          <w:rFonts w:ascii="Times New Roman" w:hAnsi="Times New Roman" w:cs="Times New Roman"/>
          <w:b/>
          <w:bCs/>
          <w:iCs/>
          <w:color w:val="0D0D0D" w:themeColor="text1" w:themeTint="F2"/>
          <w:sz w:val="22"/>
          <w:szCs w:val="22"/>
          <w:u w:val="single"/>
        </w:rPr>
      </w:pPr>
    </w:p>
    <w:p w14:paraId="2E83E5CC" w14:textId="77777777" w:rsidR="0050339C" w:rsidRPr="00506990" w:rsidRDefault="0050339C" w:rsidP="0050339C">
      <w:pPr>
        <w:keepNext/>
        <w:suppressAutoHyphens/>
        <w:spacing w:line="240" w:lineRule="atLeast"/>
        <w:rPr>
          <w:rFonts w:ascii="Times New Roman" w:hAnsi="Times New Roman" w:cs="Times New Roman"/>
          <w:b/>
          <w:bCs/>
          <w:iCs/>
          <w:color w:val="0D0D0D" w:themeColor="text1" w:themeTint="F2"/>
          <w:sz w:val="22"/>
          <w:szCs w:val="22"/>
          <w:u w:val="single"/>
        </w:rPr>
      </w:pPr>
    </w:p>
    <w:p w14:paraId="15138F77" w14:textId="77777777" w:rsidR="0050339C" w:rsidRPr="00506990" w:rsidRDefault="0050339C" w:rsidP="0050339C">
      <w:pPr>
        <w:suppressAutoHyphens/>
        <w:rPr>
          <w:rFonts w:ascii="Times New Roman" w:hAnsi="Times New Roman" w:cs="Times New Roman"/>
          <w:b/>
          <w:bCs/>
          <w:iCs/>
          <w:color w:val="0D0D0D" w:themeColor="text1" w:themeTint="F2"/>
          <w:sz w:val="22"/>
          <w:szCs w:val="22"/>
        </w:rPr>
      </w:pPr>
    </w:p>
    <w:p w14:paraId="7912575E" w14:textId="2A737F3B" w:rsidR="00651CE1" w:rsidRPr="00506990" w:rsidRDefault="0050339C"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br w:type="page"/>
      </w:r>
      <w:r w:rsidR="00651CE1" w:rsidRPr="00506990">
        <w:rPr>
          <w:rFonts w:ascii="Times New Roman" w:hAnsi="Times New Roman" w:cs="Times New Roman"/>
          <w:b/>
          <w:color w:val="0D0D0D" w:themeColor="text1" w:themeTint="F2"/>
          <w:sz w:val="22"/>
          <w:szCs w:val="22"/>
        </w:rPr>
        <w:t>FIDUCIARIO  Y EMISOR</w:t>
      </w:r>
    </w:p>
    <w:p w14:paraId="4FAE9F4B"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14:paraId="7921DAAE"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Piso 9º - (S2000CVO) Rosario, Pcia. de Santa Fe</w:t>
      </w:r>
    </w:p>
    <w:p w14:paraId="22CF4EA2" w14:textId="6A7B5047" w:rsidR="00651CE1" w:rsidRPr="00506990" w:rsidRDefault="00651CE1" w:rsidP="00651CE1">
      <w:pPr>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Tel: 0341-</w:t>
      </w:r>
      <w:r w:rsidR="007E2011" w:rsidRPr="00506990">
        <w:rPr>
          <w:rFonts w:ascii="Times New Roman" w:hAnsi="Times New Roman" w:cs="Times New Roman"/>
          <w:color w:val="0D0D0D" w:themeColor="text1" w:themeTint="F2"/>
          <w:sz w:val="22"/>
          <w:szCs w:val="22"/>
          <w:lang w:val="pt-BR"/>
        </w:rPr>
        <w:t xml:space="preserve">5300900 </w:t>
      </w:r>
    </w:p>
    <w:p w14:paraId="0608556D"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14:paraId="019F4423" w14:textId="30DA8328"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14:paraId="08C1EF66" w14:textId="7E704F9E"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bCs/>
          <w:iCs/>
          <w:color w:val="0D0D0D" w:themeColor="text1" w:themeTint="F2"/>
          <w:sz w:val="22"/>
          <w:szCs w:val="22"/>
          <w:lang w:val="pt-BR"/>
        </w:rPr>
        <w:t>FIDEICOMISARIO</w:t>
      </w:r>
    </w:p>
    <w:p w14:paraId="1309C365" w14:textId="77777777"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14:paraId="7899BB07" w14:textId="69430B76"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r>
        <w:rPr>
          <w:rFonts w:ascii="Times New Roman" w:hAnsi="Times New Roman" w:cs="Times New Roman"/>
          <w:color w:val="0D0D0D" w:themeColor="text1" w:themeTint="F2"/>
          <w:sz w:val="22"/>
          <w:szCs w:val="22"/>
          <w:lang w:val="pt-BR" w:eastAsia="en-US"/>
        </w:rPr>
        <w:t>Calle 3 N° 1045</w:t>
      </w:r>
      <w:r w:rsidR="00651CE1" w:rsidRPr="00506990">
        <w:rPr>
          <w:rFonts w:ascii="Times New Roman" w:hAnsi="Times New Roman" w:cs="Times New Roman"/>
          <w:color w:val="0D0D0D" w:themeColor="text1" w:themeTint="F2"/>
          <w:sz w:val="22"/>
          <w:szCs w:val="22"/>
          <w:lang w:val="pt-BR" w:eastAsia="en-US"/>
        </w:rPr>
        <w:t>, Ciudad de Rafaela, Prov. de Santa Fe</w:t>
      </w:r>
    </w:p>
    <w:p w14:paraId="3CA8E45E" w14:textId="77777777"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14:paraId="75230E9C" w14:textId="77777777"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052F6351" w14:textId="4078D15F"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14:paraId="40965B05" w14:textId="4C1B95CB"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Calle 3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14:paraId="6B9CEF55" w14:textId="0334D6BF"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14:paraId="132E46C7" w14:textId="77777777"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3B016570" w14:textId="7CCA8422"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14:paraId="3F9D4F7B"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14:paraId="10FEFAB4" w14:textId="0C5405AE"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14:paraId="0601DC71" w14:textId="1A16A087" w:rsidR="00135DA6" w:rsidRPr="00506990" w:rsidRDefault="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011-4311-6014</w:t>
      </w:r>
    </w:p>
    <w:p w14:paraId="4A8E0FC6" w14:textId="77777777"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14:paraId="088F3F75"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 DE CONTROL Y REVISION</w:t>
      </w:r>
    </w:p>
    <w:p w14:paraId="7A82274B"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 xml:space="preserve">Daniel H. Zubillaga </w:t>
      </w:r>
    </w:p>
    <w:p w14:paraId="6E2A667F"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 público de Zubillaga &amp; Asociados S.A.)</w:t>
      </w:r>
    </w:p>
    <w:p w14:paraId="4E42C85E" w14:textId="77777777"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14:paraId="1DE694F5" w14:textId="77777777"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14:paraId="3F343FE1" w14:textId="77777777" w:rsidR="00651CE1" w:rsidRPr="00506990" w:rsidRDefault="00651CE1" w:rsidP="00375AFE">
      <w:pPr>
        <w:suppressLineNumbers/>
        <w:rPr>
          <w:rFonts w:ascii="Times New Roman" w:hAnsi="Times New Roman" w:cs="Times New Roman"/>
          <w:color w:val="0D0D0D" w:themeColor="text1" w:themeTint="F2"/>
          <w:sz w:val="22"/>
          <w:szCs w:val="22"/>
        </w:rPr>
      </w:pPr>
    </w:p>
    <w:tbl>
      <w:tblPr>
        <w:tblW w:w="0" w:type="auto"/>
        <w:tblLook w:val="04A0" w:firstRow="1" w:lastRow="0" w:firstColumn="1" w:lastColumn="0" w:noHBand="0" w:noVBand="1"/>
      </w:tblPr>
      <w:tblGrid>
        <w:gridCol w:w="4431"/>
        <w:gridCol w:w="4409"/>
      </w:tblGrid>
      <w:tr w:rsidR="00482F96" w:rsidRPr="00506990" w14:paraId="3A3E3366" w14:textId="77777777" w:rsidTr="000B1EFD">
        <w:tc>
          <w:tcPr>
            <w:tcW w:w="4431" w:type="dxa"/>
            <w:shd w:val="clear" w:color="auto" w:fill="auto"/>
          </w:tcPr>
          <w:p w14:paraId="52837B8B" w14:textId="77777777"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14:paraId="1927776A" w14:textId="77777777" w:rsidR="00651CE1" w:rsidRPr="00506990" w:rsidRDefault="00651CE1" w:rsidP="007D2251">
            <w:pPr>
              <w:suppressLineNumbers/>
              <w:jc w:val="cente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t>Nicholson y Cano Abogados</w:t>
            </w:r>
          </w:p>
          <w:p w14:paraId="1A1CD0E9"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14:paraId="5E874559" w14:textId="4B0B3A2E"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14:paraId="067C44D9" w14:textId="15454980"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14:paraId="6869E051"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c>
          <w:tcPr>
            <w:tcW w:w="4409" w:type="dxa"/>
            <w:shd w:val="clear" w:color="auto" w:fill="auto"/>
          </w:tcPr>
          <w:p w14:paraId="40CF7910"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14:paraId="72643B64"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Estudio Jurídico Dres. Cristiá</w:t>
            </w:r>
          </w:p>
          <w:p w14:paraId="0A4770B4" w14:textId="77777777"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Lorenzo 2321 CP 2000 ROSARIO Provincia de Santa Fe</w:t>
            </w:r>
          </w:p>
          <w:p w14:paraId="71BB6927"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p w14:paraId="3DBDED1C"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p>
        </w:tc>
      </w:tr>
    </w:tbl>
    <w:p w14:paraId="064220E1"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14:paraId="31F40D9D"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14:paraId="7ABB0A83"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r w:rsidRPr="00506990">
        <w:rPr>
          <w:rFonts w:ascii="Times New Roman" w:hAnsi="Times New Roman" w:cs="Times New Roman"/>
          <w:color w:val="0D0D0D" w:themeColor="text1" w:themeTint="F2"/>
          <w:sz w:val="22"/>
          <w:szCs w:val="22"/>
          <w:lang w:val="pt-BR"/>
        </w:rPr>
        <w:t>Paraguay 777, 8° piso, (S2000CVO) Rosario, Pcia. de Santa Fe</w:t>
      </w:r>
    </w:p>
    <w:p w14:paraId="748F328E"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0341-4210125</w:t>
      </w:r>
    </w:p>
    <w:p w14:paraId="3493723D"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2667"/>
        <w:gridCol w:w="5000"/>
      </w:tblGrid>
      <w:tr w:rsidR="002B53EF" w:rsidRPr="00506990" w14:paraId="0A5E84F6" w14:textId="0B9B1559" w:rsidTr="00F8107E">
        <w:trPr>
          <w:jc w:val="center"/>
        </w:trPr>
        <w:tc>
          <w:tcPr>
            <w:tcW w:w="2667" w:type="dxa"/>
            <w:shd w:val="clear" w:color="auto" w:fill="auto"/>
          </w:tcPr>
          <w:p w14:paraId="62CB8AFA" w14:textId="417A2981" w:rsidR="00005F07" w:rsidRPr="005417EF" w:rsidRDefault="00005F07">
            <w:pPr>
              <w:suppressLineNumbers/>
              <w:jc w:val="center"/>
              <w:rPr>
                <w:rFonts w:ascii="Times New Roman" w:hAnsi="Times New Roman" w:cs="Times New Roman"/>
                <w:b/>
                <w:color w:val="0D0D0D" w:themeColor="text1" w:themeTint="F2"/>
                <w:sz w:val="22"/>
                <w:szCs w:val="22"/>
                <w:lang w:val="es-AR"/>
              </w:rPr>
            </w:pPr>
            <w:r>
              <w:rPr>
                <w:rFonts w:ascii="Times New Roman" w:hAnsi="Times New Roman" w:cs="Times New Roman"/>
                <w:b/>
                <w:color w:val="0D0D0D" w:themeColor="text1" w:themeTint="F2"/>
                <w:sz w:val="22"/>
                <w:szCs w:val="22"/>
                <w:lang w:val="es-AR"/>
              </w:rPr>
              <w:t>Option Securities</w:t>
            </w:r>
            <w:r w:rsidRPr="003F083B">
              <w:rPr>
                <w:rFonts w:ascii="Times New Roman" w:hAnsi="Times New Roman" w:cs="Times New Roman"/>
                <w:b/>
                <w:color w:val="0D0D0D" w:themeColor="text1" w:themeTint="F2"/>
                <w:sz w:val="22"/>
                <w:szCs w:val="22"/>
                <w:lang w:val="es-AR"/>
              </w:rPr>
              <w:t xml:space="preserve"> S.A.</w:t>
            </w:r>
          </w:p>
          <w:p w14:paraId="054186C6" w14:textId="77777777" w:rsidR="00005F07" w:rsidRPr="00005F07" w:rsidRDefault="00005F07" w:rsidP="00005F07">
            <w:pPr>
              <w:suppressLineNumbers/>
              <w:jc w:val="center"/>
              <w:rPr>
                <w:rFonts w:ascii="Times New Roman" w:hAnsi="Times New Roman" w:cs="Times New Roman"/>
                <w:color w:val="0D0D0D" w:themeColor="text1" w:themeTint="F2"/>
                <w:sz w:val="22"/>
                <w:szCs w:val="22"/>
                <w:lang w:val="es-AR"/>
              </w:rPr>
            </w:pPr>
            <w:r w:rsidRPr="00005F07">
              <w:rPr>
                <w:rFonts w:ascii="Times New Roman" w:hAnsi="Times New Roman" w:cs="Times New Roman"/>
                <w:color w:val="0D0D0D" w:themeColor="text1" w:themeTint="F2"/>
                <w:sz w:val="22"/>
                <w:szCs w:val="22"/>
                <w:lang w:val="es-AR"/>
              </w:rPr>
              <w:t>25 de Mayo 293 6º (C1002ABE) , Ciudad Autónoma de Buenos Aires</w:t>
            </w:r>
          </w:p>
          <w:p w14:paraId="3DDC083C" w14:textId="77777777" w:rsidR="00005F07" w:rsidRPr="00005F07" w:rsidRDefault="00005F07" w:rsidP="00005F07">
            <w:pPr>
              <w:suppressLineNumbers/>
              <w:jc w:val="center"/>
              <w:rPr>
                <w:rFonts w:ascii="Times New Roman" w:hAnsi="Times New Roman" w:cs="Times New Roman"/>
                <w:color w:val="0D0D0D" w:themeColor="text1" w:themeTint="F2"/>
                <w:sz w:val="22"/>
                <w:szCs w:val="22"/>
                <w:lang w:val="en-US"/>
              </w:rPr>
            </w:pPr>
            <w:r w:rsidRPr="00005F07">
              <w:rPr>
                <w:rFonts w:ascii="Times New Roman" w:hAnsi="Times New Roman" w:cs="Times New Roman"/>
                <w:color w:val="0D0D0D" w:themeColor="text1" w:themeTint="F2"/>
                <w:sz w:val="22"/>
                <w:szCs w:val="22"/>
                <w:lang w:val="en-US"/>
              </w:rPr>
              <w:t>Tel: (11) 4343-1115</w:t>
            </w:r>
          </w:p>
          <w:p w14:paraId="1792635B" w14:textId="44E50877" w:rsidR="002B53EF" w:rsidRPr="0098446E" w:rsidRDefault="002B53EF" w:rsidP="00B62265">
            <w:pPr>
              <w:suppressLineNumbers/>
              <w:jc w:val="center"/>
              <w:rPr>
                <w:rFonts w:ascii="Times New Roman" w:hAnsi="Times New Roman" w:cs="Times New Roman"/>
                <w:b/>
                <w:color w:val="0D0D0D" w:themeColor="text1" w:themeTint="F2"/>
                <w:sz w:val="22"/>
                <w:szCs w:val="22"/>
                <w:lang w:val="en-US"/>
              </w:rPr>
            </w:pPr>
          </w:p>
          <w:p w14:paraId="18CDD708" w14:textId="796DF4BB" w:rsidR="002B53EF" w:rsidRPr="00506990" w:rsidRDefault="002B53EF">
            <w:pPr>
              <w:suppressLineNumbers/>
              <w:jc w:val="center"/>
              <w:rPr>
                <w:rFonts w:ascii="Times New Roman" w:hAnsi="Times New Roman" w:cs="Times New Roman"/>
                <w:color w:val="0D0D0D" w:themeColor="text1" w:themeTint="F2"/>
                <w:sz w:val="22"/>
                <w:szCs w:val="22"/>
                <w:lang w:val="en-US"/>
              </w:rPr>
            </w:pPr>
          </w:p>
        </w:tc>
        <w:tc>
          <w:tcPr>
            <w:tcW w:w="5000" w:type="dxa"/>
            <w:shd w:val="clear" w:color="auto" w:fill="auto"/>
          </w:tcPr>
          <w:p w14:paraId="576400F8"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b/>
                <w:color w:val="0D0D0D" w:themeColor="text1" w:themeTint="F2"/>
                <w:sz w:val="22"/>
                <w:szCs w:val="22"/>
                <w:lang w:val="es-AR"/>
              </w:rPr>
              <w:t>INTL CIBSA S.A</w:t>
            </w:r>
            <w:r w:rsidRPr="00506990">
              <w:rPr>
                <w:rFonts w:ascii="Times New Roman" w:hAnsi="Times New Roman" w:cs="Times New Roman"/>
                <w:color w:val="0D0D0D" w:themeColor="text1" w:themeTint="F2"/>
                <w:sz w:val="22"/>
                <w:szCs w:val="22"/>
                <w:lang w:val="es-AR"/>
              </w:rPr>
              <w:t xml:space="preserve">.  </w:t>
            </w:r>
          </w:p>
          <w:p w14:paraId="025D23C7"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Sarmiento 459, Piso 9°, </w:t>
            </w:r>
          </w:p>
          <w:p w14:paraId="32860EF3" w14:textId="4A324C5A"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p w14:paraId="5BF8467C" w14:textId="77777777" w:rsidR="002B53EF" w:rsidRPr="00506990" w:rsidRDefault="002B53EF" w:rsidP="00B62265">
            <w:pPr>
              <w:suppressLineNumbers/>
              <w:jc w:val="center"/>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Tel: 011-4390-7597</w:t>
            </w:r>
          </w:p>
          <w:p w14:paraId="578E9D2B" w14:textId="484DA19E" w:rsidR="002B53EF" w:rsidRPr="00506990" w:rsidRDefault="002B53EF" w:rsidP="002B53EF">
            <w:pPr>
              <w:suppressLineNumbers/>
              <w:jc w:val="center"/>
              <w:rPr>
                <w:rFonts w:ascii="Times New Roman" w:hAnsi="Times New Roman" w:cs="Times New Roman"/>
                <w:b/>
                <w:color w:val="0D0D0D" w:themeColor="text1" w:themeTint="F2"/>
                <w:sz w:val="22"/>
                <w:szCs w:val="22"/>
                <w:lang w:val="es-AR"/>
              </w:rPr>
            </w:pPr>
          </w:p>
        </w:tc>
      </w:tr>
    </w:tbl>
    <w:p w14:paraId="68BF4A92" w14:textId="0A52AFD6"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14:paraId="0D9CC02C" w14:textId="77777777"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14:paraId="5185187F"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14:paraId="7A09A908" w14:textId="381A6C2B"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14:paraId="060EFC1D" w14:textId="2AF0C51C"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de </w:t>
      </w:r>
      <w:r w:rsidR="00651CE1" w:rsidRPr="00506990">
        <w:rPr>
          <w:rFonts w:ascii="Times New Roman" w:hAnsi="Times New Roman" w:cs="Times New Roman"/>
          <w:color w:val="0D0D0D" w:themeColor="text1" w:themeTint="F2"/>
          <w:sz w:val="22"/>
          <w:szCs w:val="22"/>
          <w:lang w:val="es-ES"/>
        </w:rPr>
        <w:t>de Buenos Aires</w:t>
      </w:r>
    </w:p>
    <w:sectPr w:rsidR="000D2637" w:rsidRPr="00506990" w:rsidSect="00F47161">
      <w:headerReference w:type="default" r:id="rId97"/>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ADFE" w14:textId="77777777" w:rsidR="00C330B0" w:rsidRDefault="00C330B0">
      <w:r>
        <w:separator/>
      </w:r>
    </w:p>
  </w:endnote>
  <w:endnote w:type="continuationSeparator" w:id="0">
    <w:p w14:paraId="4BD35A2F" w14:textId="77777777" w:rsidR="00C330B0" w:rsidRDefault="00C330B0">
      <w:r>
        <w:continuationSeparator/>
      </w:r>
    </w:p>
  </w:endnote>
  <w:endnote w:type="continuationNotice" w:id="1">
    <w:p w14:paraId="1D0FE768" w14:textId="77777777" w:rsidR="00C330B0" w:rsidRDefault="00C3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177E9" w14:textId="77777777" w:rsidR="00C330B0" w:rsidRDefault="00C330B0">
      <w:r>
        <w:separator/>
      </w:r>
    </w:p>
  </w:footnote>
  <w:footnote w:type="continuationSeparator" w:id="0">
    <w:p w14:paraId="2518938D" w14:textId="77777777" w:rsidR="00C330B0" w:rsidRDefault="00C330B0">
      <w:r>
        <w:continuationSeparator/>
      </w:r>
    </w:p>
  </w:footnote>
  <w:footnote w:type="continuationNotice" w:id="1">
    <w:p w14:paraId="6E9C499C" w14:textId="77777777" w:rsidR="00C330B0" w:rsidRDefault="00C330B0"/>
  </w:footnote>
  <w:footnote w:id="2">
    <w:p w14:paraId="0413AC3A" w14:textId="50870D4A" w:rsidR="00C330B0" w:rsidRPr="00270AFD" w:rsidRDefault="00C330B0" w:rsidP="005219FA">
      <w:pPr>
        <w:pStyle w:val="Textonotapie"/>
        <w:rPr>
          <w:rFonts w:ascii="Times New Roman" w:hAnsi="Times New Roman"/>
          <w:sz w:val="18"/>
          <w:szCs w:val="16"/>
          <w:lang w:val="es-AR"/>
        </w:rPr>
      </w:pPr>
      <w:r w:rsidRPr="00270AFD">
        <w:rPr>
          <w:rStyle w:val="Refdenotaalpie"/>
          <w:rFonts w:ascii="Times New Roman" w:hAnsi="Times New Roman"/>
          <w:sz w:val="18"/>
        </w:rPr>
        <w:footnoteRef/>
      </w:r>
      <w:r w:rsidRPr="00270AFD">
        <w:rPr>
          <w:rStyle w:val="Refdenotaalpie"/>
          <w:rFonts w:ascii="Times New Roman" w:hAnsi="Times New Roman"/>
          <w:sz w:val="18"/>
        </w:rPr>
        <w:t xml:space="preserve"> </w:t>
      </w:r>
      <w:r w:rsidRPr="00270AFD">
        <w:rPr>
          <w:rFonts w:ascii="Times New Roman" w:hAnsi="Times New Roman"/>
          <w:sz w:val="18"/>
          <w:szCs w:val="16"/>
          <w:lang w:val="es-AR"/>
        </w:rPr>
        <w:t>Producto de la publicación de la Ley N° 27.430 (B.O.29/12/2017).</w:t>
      </w:r>
      <w:r w:rsidRPr="006B4159">
        <w:rPr>
          <w:rFonts w:ascii="Times New Roman" w:hAnsi="Times New Roman"/>
          <w:sz w:val="18"/>
          <w:szCs w:val="16"/>
          <w:lang w:val="es-AR"/>
        </w:rPr>
        <w:t xml:space="preserve"> </w:t>
      </w:r>
      <w:r>
        <w:rPr>
          <w:rFonts w:ascii="Times New Roman" w:hAnsi="Times New Roman"/>
          <w:sz w:val="18"/>
          <w:szCs w:val="16"/>
          <w:lang w:val="es-AR"/>
        </w:rPr>
        <w:t>Y Ley 27.541 articulo 48°.</w:t>
      </w:r>
    </w:p>
  </w:footnote>
  <w:footnote w:id="3">
    <w:p w14:paraId="01C2D2B0" w14:textId="594E641C" w:rsidR="00C330B0" w:rsidRPr="00270AFD" w:rsidRDefault="00C330B0" w:rsidP="005219FA">
      <w:pPr>
        <w:pStyle w:val="Textonotapie"/>
        <w:rPr>
          <w:rFonts w:ascii="Times New Roman" w:hAnsi="Times New Roman"/>
          <w:sz w:val="22"/>
          <w:lang w:val="es-AR"/>
        </w:rPr>
      </w:pPr>
      <w:r w:rsidRPr="00270AFD">
        <w:rPr>
          <w:rStyle w:val="Refdenotaalpie"/>
          <w:rFonts w:ascii="Times New Roman" w:hAnsi="Times New Roman"/>
          <w:sz w:val="18"/>
        </w:rPr>
        <w:footnoteRef/>
      </w:r>
      <w:r w:rsidRPr="00270AFD">
        <w:rPr>
          <w:rFonts w:ascii="Times New Roman" w:hAnsi="Times New Roman"/>
          <w:sz w:val="22"/>
        </w:rPr>
        <w:t xml:space="preserve"> </w:t>
      </w:r>
      <w:r w:rsidRPr="00270AFD">
        <w:rPr>
          <w:rFonts w:ascii="Times New Roman" w:hAnsi="Times New Roman"/>
          <w:sz w:val="18"/>
          <w:szCs w:val="16"/>
          <w:lang w:val="es-AR"/>
        </w:rPr>
        <w:t>El artículo 8</w:t>
      </w:r>
      <w:r>
        <w:rPr>
          <w:rFonts w:ascii="Times New Roman" w:hAnsi="Times New Roman"/>
          <w:sz w:val="18"/>
          <w:szCs w:val="16"/>
          <w:lang w:val="es-AR"/>
        </w:rPr>
        <w:t>5</w:t>
      </w:r>
      <w:r w:rsidRPr="00270AFD">
        <w:rPr>
          <w:rFonts w:ascii="Times New Roman" w:hAnsi="Times New Roman"/>
          <w:sz w:val="18"/>
          <w:szCs w:val="16"/>
          <w:lang w:val="es-AR"/>
        </w:rPr>
        <w:t xml:space="preserve"> de la Ley del Impuesto</w:t>
      </w:r>
      <w:r>
        <w:rPr>
          <w:rFonts w:ascii="Times New Roman" w:hAnsi="Times New Roman"/>
          <w:sz w:val="18"/>
          <w:szCs w:val="16"/>
          <w:lang w:val="es-AR"/>
        </w:rPr>
        <w:t xml:space="preserve"> (t.o. 2019)</w:t>
      </w:r>
      <w:r w:rsidRPr="00270AFD">
        <w:rPr>
          <w:rFonts w:ascii="Times New Roman" w:hAnsi="Times New Roman"/>
          <w:sz w:val="18"/>
          <w:szCs w:val="16"/>
          <w:lang w:val="es-AR"/>
        </w:rPr>
        <w:t>, modificado por Ley N° 27.430- establece la no aplicación de las reglas de capitalización exigua para los fideicomisos financieros constituidos conforme a las disposiciones de los artículos 1690 a 1692 del Código Civil y Comercial de la Nación.</w:t>
      </w:r>
    </w:p>
  </w:footnote>
  <w:footnote w:id="4">
    <w:p w14:paraId="2A196475" w14:textId="77777777" w:rsidR="00C330B0" w:rsidRPr="00270AFD" w:rsidRDefault="00C330B0" w:rsidP="005219FA">
      <w:pPr>
        <w:pStyle w:val="Textonotapie"/>
        <w:rPr>
          <w:rFonts w:ascii="Times New Roman" w:hAnsi="Times New Roman"/>
          <w:sz w:val="18"/>
          <w:lang w:val="es-AR"/>
        </w:rPr>
      </w:pPr>
      <w:r w:rsidRPr="00270AFD">
        <w:rPr>
          <w:rStyle w:val="Refdenotaalpie"/>
          <w:rFonts w:ascii="Times New Roman" w:hAnsi="Times New Roman"/>
          <w:sz w:val="18"/>
          <w:szCs w:val="20"/>
        </w:rPr>
        <w:footnoteRef/>
      </w:r>
      <w:r w:rsidRPr="00270AFD">
        <w:rPr>
          <w:rFonts w:ascii="Times New Roman" w:hAnsi="Times New Roman"/>
          <w:sz w:val="18"/>
        </w:rPr>
        <w:t xml:space="preserve"> </w:t>
      </w:r>
      <w:r w:rsidRPr="00270AFD">
        <w:rPr>
          <w:rFonts w:ascii="Times New Roman" w:hAnsi="Times New Roman"/>
          <w:sz w:val="18"/>
          <w:lang w:val="es-AR"/>
        </w:rPr>
        <w:t>Artículo 205 del Título XII (Impulso a la apertura de capital y al desarrollo de proyectos inmobiliarios y de infraestructura). La negrita nos pertenece.</w:t>
      </w:r>
    </w:p>
  </w:footnote>
  <w:footnote w:id="5">
    <w:p w14:paraId="2B2FB107" w14:textId="77777777" w:rsidR="00C330B0" w:rsidRPr="00270AFD" w:rsidRDefault="00C330B0" w:rsidP="005219FA">
      <w:pPr>
        <w:pStyle w:val="Textonotapie"/>
        <w:rPr>
          <w:rFonts w:ascii="Times New Roman" w:hAnsi="Times New Roman"/>
          <w:sz w:val="18"/>
          <w:lang w:val="es-AR"/>
        </w:rPr>
      </w:pPr>
      <w:r w:rsidRPr="00270AFD">
        <w:rPr>
          <w:rStyle w:val="Refdenotaalpie"/>
          <w:rFonts w:ascii="Times New Roman" w:hAnsi="Times New Roman"/>
          <w:sz w:val="18"/>
          <w:szCs w:val="20"/>
        </w:rPr>
        <w:footnoteRef/>
      </w:r>
      <w:r w:rsidRPr="00270AFD">
        <w:rPr>
          <w:rFonts w:ascii="Times New Roman" w:hAnsi="Times New Roman"/>
          <w:sz w:val="18"/>
        </w:rPr>
        <w:t xml:space="preserve"> </w:t>
      </w:r>
      <w:r w:rsidRPr="000E22CC">
        <w:rPr>
          <w:rFonts w:ascii="Times New Roman" w:hAnsi="Times New Roman"/>
          <w:sz w:val="18"/>
        </w:rPr>
        <w:t xml:space="preserve">Conforme </w:t>
      </w:r>
      <w:r w:rsidRPr="000E22CC">
        <w:rPr>
          <w:rFonts w:ascii="Times New Roman" w:hAnsi="Times New Roman"/>
          <w:sz w:val="18"/>
          <w:lang w:val="es-AR"/>
        </w:rPr>
        <w:t>Decreto N° 382/2019 (B.O. 29/05/2019), artículo 2.</w:t>
      </w:r>
    </w:p>
  </w:footnote>
  <w:footnote w:id="6">
    <w:p w14:paraId="7098BA4D" w14:textId="77777777" w:rsidR="00C330B0" w:rsidRPr="000E22CC" w:rsidRDefault="00C330B0" w:rsidP="005219FA">
      <w:pPr>
        <w:pStyle w:val="Textonotapie"/>
        <w:rPr>
          <w:rFonts w:ascii="Times New Roman" w:hAnsi="Times New Roman"/>
          <w:lang w:val="es-AR"/>
        </w:rPr>
      </w:pPr>
      <w:r w:rsidRPr="000E22CC">
        <w:rPr>
          <w:rStyle w:val="Refdenotaalpie"/>
          <w:rFonts w:ascii="Times New Roman" w:hAnsi="Times New Roman"/>
          <w:sz w:val="20"/>
          <w:szCs w:val="20"/>
        </w:rPr>
        <w:footnoteRef/>
      </w:r>
      <w:r w:rsidRPr="000E22CC">
        <w:rPr>
          <w:rFonts w:ascii="Times New Roman" w:hAnsi="Times New Roman"/>
        </w:rPr>
        <w:t xml:space="preserve"> </w:t>
      </w:r>
      <w:r w:rsidRPr="00270AFD">
        <w:rPr>
          <w:rFonts w:ascii="Times New Roman" w:hAnsi="Times New Roman"/>
        </w:rPr>
        <w:t xml:space="preserve">Conforme </w:t>
      </w:r>
      <w:r w:rsidRPr="00270AFD">
        <w:rPr>
          <w:rFonts w:ascii="Times New Roman" w:hAnsi="Times New Roman"/>
          <w:lang w:val="es-AR"/>
        </w:rPr>
        <w:t>Decreto N° 382/2019 (B.O. 29/05/2019), artículo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D3C3" w14:textId="00142559" w:rsidR="00C330B0" w:rsidRPr="008F4E11" w:rsidRDefault="00C330B0">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132FBE">
      <w:rPr>
        <w:rStyle w:val="Nmerodepgina"/>
        <w:rFonts w:ascii="Times New Roman" w:hAnsi="Times New Roman"/>
        <w:noProof/>
      </w:rPr>
      <w:t>20</w:t>
    </w:r>
    <w:r w:rsidRPr="008F4E11">
      <w:rPr>
        <w:rStyle w:val="Nmerodepgina"/>
        <w:rFonts w:ascii="Times New Roman" w:hAnsi="Times New Roman"/>
      </w:rPr>
      <w:fldChar w:fldCharType="end"/>
    </w:r>
  </w:p>
  <w:p w14:paraId="517CB196" w14:textId="77777777" w:rsidR="00C330B0" w:rsidRDefault="00C330B0">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7"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9"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1" w15:restartNumberingAfterBreak="0">
    <w:nsid w:val="320224A5"/>
    <w:multiLevelType w:val="multilevel"/>
    <w:tmpl w:val="2E70C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8"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21"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22" w15:restartNumberingAfterBreak="0">
    <w:nsid w:val="5DB64E6B"/>
    <w:multiLevelType w:val="hybridMultilevel"/>
    <w:tmpl w:val="27DC70E2"/>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4"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6DEB11DF"/>
    <w:multiLevelType w:val="hybridMultilevel"/>
    <w:tmpl w:val="C26E8BAC"/>
    <w:lvl w:ilvl="0" w:tplc="73CE070C">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8"/>
  </w:num>
  <w:num w:numId="2">
    <w:abstractNumId w:val="24"/>
  </w:num>
  <w:num w:numId="3">
    <w:abstractNumId w:val="6"/>
  </w:num>
  <w:num w:numId="4">
    <w:abstractNumId w:val="29"/>
  </w:num>
  <w:num w:numId="5">
    <w:abstractNumId w:val="26"/>
  </w:num>
  <w:num w:numId="6">
    <w:abstractNumId w:val="7"/>
  </w:num>
  <w:num w:numId="7">
    <w:abstractNumId w:val="31"/>
  </w:num>
  <w:num w:numId="8">
    <w:abstractNumId w:val="19"/>
  </w:num>
  <w:num w:numId="9">
    <w:abstractNumId w:val="30"/>
  </w:num>
  <w:num w:numId="10">
    <w:abstractNumId w:val="21"/>
  </w:num>
  <w:num w:numId="11">
    <w:abstractNumId w:val="2"/>
  </w:num>
  <w:num w:numId="12">
    <w:abstractNumId w:val="23"/>
  </w:num>
  <w:num w:numId="13">
    <w:abstractNumId w:val="17"/>
  </w:num>
  <w:num w:numId="14">
    <w:abstractNumId w:val="18"/>
  </w:num>
  <w:num w:numId="15">
    <w:abstractNumId w:val="22"/>
  </w:num>
  <w:num w:numId="16">
    <w:abstractNumId w:val="20"/>
  </w:num>
  <w:num w:numId="17">
    <w:abstractNumId w:val="4"/>
  </w:num>
  <w:num w:numId="18">
    <w:abstractNumId w:val="10"/>
  </w:num>
  <w:num w:numId="19">
    <w:abstractNumId w:val="14"/>
  </w:num>
  <w:num w:numId="20">
    <w:abstractNumId w:val="28"/>
  </w:num>
  <w:num w:numId="21">
    <w:abstractNumId w:val="9"/>
  </w:num>
  <w:num w:numId="22">
    <w:abstractNumId w:val="25"/>
  </w:num>
  <w:num w:numId="23">
    <w:abstractNumId w:val="15"/>
  </w:num>
  <w:num w:numId="24">
    <w:abstractNumId w:val="16"/>
  </w:num>
  <w:num w:numId="25">
    <w:abstractNumId w:val="0"/>
  </w:num>
  <w:num w:numId="26">
    <w:abstractNumId w:val="1"/>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num>
  <w:num w:numId="43">
    <w:abstractNumId w:val="5"/>
  </w:num>
  <w:num w:numId="44">
    <w:abstractNumId w:val="27"/>
  </w:num>
  <w:num w:numId="45">
    <w:abstractNumId w:val="3"/>
  </w:num>
  <w:num w:numId="4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A96"/>
    <w:rsid w:val="00002392"/>
    <w:rsid w:val="00002B6D"/>
    <w:rsid w:val="00002DF5"/>
    <w:rsid w:val="000030AE"/>
    <w:rsid w:val="00003A1A"/>
    <w:rsid w:val="00003A22"/>
    <w:rsid w:val="0000411D"/>
    <w:rsid w:val="00004A76"/>
    <w:rsid w:val="00004DBE"/>
    <w:rsid w:val="00005DC0"/>
    <w:rsid w:val="00005F07"/>
    <w:rsid w:val="0000652B"/>
    <w:rsid w:val="00006D45"/>
    <w:rsid w:val="00010151"/>
    <w:rsid w:val="000103F1"/>
    <w:rsid w:val="00010EC4"/>
    <w:rsid w:val="00011896"/>
    <w:rsid w:val="000119E8"/>
    <w:rsid w:val="00012497"/>
    <w:rsid w:val="00013391"/>
    <w:rsid w:val="00013B1D"/>
    <w:rsid w:val="000142C3"/>
    <w:rsid w:val="00015068"/>
    <w:rsid w:val="0001552E"/>
    <w:rsid w:val="000157B5"/>
    <w:rsid w:val="00015892"/>
    <w:rsid w:val="00016A68"/>
    <w:rsid w:val="00016A81"/>
    <w:rsid w:val="00016ADD"/>
    <w:rsid w:val="00017A98"/>
    <w:rsid w:val="00017C09"/>
    <w:rsid w:val="00020448"/>
    <w:rsid w:val="00020668"/>
    <w:rsid w:val="000210CD"/>
    <w:rsid w:val="00021CBD"/>
    <w:rsid w:val="00022415"/>
    <w:rsid w:val="0002292A"/>
    <w:rsid w:val="00022CE1"/>
    <w:rsid w:val="00024129"/>
    <w:rsid w:val="0002467C"/>
    <w:rsid w:val="00025C58"/>
    <w:rsid w:val="00026C4C"/>
    <w:rsid w:val="00027977"/>
    <w:rsid w:val="00030046"/>
    <w:rsid w:val="000305A6"/>
    <w:rsid w:val="000314E4"/>
    <w:rsid w:val="00031F98"/>
    <w:rsid w:val="0003232E"/>
    <w:rsid w:val="00033602"/>
    <w:rsid w:val="0003389F"/>
    <w:rsid w:val="00033DCF"/>
    <w:rsid w:val="00034408"/>
    <w:rsid w:val="00034B83"/>
    <w:rsid w:val="00035254"/>
    <w:rsid w:val="000364ED"/>
    <w:rsid w:val="000374FE"/>
    <w:rsid w:val="0004012A"/>
    <w:rsid w:val="000402F6"/>
    <w:rsid w:val="00040BE1"/>
    <w:rsid w:val="00040C3F"/>
    <w:rsid w:val="00041034"/>
    <w:rsid w:val="00041475"/>
    <w:rsid w:val="00041C82"/>
    <w:rsid w:val="000420CE"/>
    <w:rsid w:val="00042BDE"/>
    <w:rsid w:val="00042D5C"/>
    <w:rsid w:val="0004310B"/>
    <w:rsid w:val="00043A3E"/>
    <w:rsid w:val="000448FD"/>
    <w:rsid w:val="00044B2B"/>
    <w:rsid w:val="00044BC2"/>
    <w:rsid w:val="00044BE4"/>
    <w:rsid w:val="00045489"/>
    <w:rsid w:val="000465F3"/>
    <w:rsid w:val="00046FF2"/>
    <w:rsid w:val="00047454"/>
    <w:rsid w:val="000500CA"/>
    <w:rsid w:val="0005082F"/>
    <w:rsid w:val="00050D5D"/>
    <w:rsid w:val="00050EE8"/>
    <w:rsid w:val="00051620"/>
    <w:rsid w:val="00051CA6"/>
    <w:rsid w:val="00054EC4"/>
    <w:rsid w:val="000552A9"/>
    <w:rsid w:val="00055340"/>
    <w:rsid w:val="00055884"/>
    <w:rsid w:val="00055EAA"/>
    <w:rsid w:val="000567E5"/>
    <w:rsid w:val="000575CA"/>
    <w:rsid w:val="0005762D"/>
    <w:rsid w:val="000577E6"/>
    <w:rsid w:val="000578A3"/>
    <w:rsid w:val="000578B3"/>
    <w:rsid w:val="000579E7"/>
    <w:rsid w:val="0006028B"/>
    <w:rsid w:val="000605E7"/>
    <w:rsid w:val="00060D8E"/>
    <w:rsid w:val="00061D7D"/>
    <w:rsid w:val="0006317E"/>
    <w:rsid w:val="00063BCA"/>
    <w:rsid w:val="00063F9E"/>
    <w:rsid w:val="0006453A"/>
    <w:rsid w:val="00064D2E"/>
    <w:rsid w:val="00064DCC"/>
    <w:rsid w:val="000650CD"/>
    <w:rsid w:val="0006553C"/>
    <w:rsid w:val="000660FA"/>
    <w:rsid w:val="000670B6"/>
    <w:rsid w:val="00067456"/>
    <w:rsid w:val="000675B6"/>
    <w:rsid w:val="00067988"/>
    <w:rsid w:val="0007064A"/>
    <w:rsid w:val="000706A7"/>
    <w:rsid w:val="00070BB4"/>
    <w:rsid w:val="0007144A"/>
    <w:rsid w:val="0007273B"/>
    <w:rsid w:val="00073292"/>
    <w:rsid w:val="000736F6"/>
    <w:rsid w:val="000736F7"/>
    <w:rsid w:val="000739F4"/>
    <w:rsid w:val="00074CF9"/>
    <w:rsid w:val="00074D39"/>
    <w:rsid w:val="00074F2B"/>
    <w:rsid w:val="00075041"/>
    <w:rsid w:val="000751AF"/>
    <w:rsid w:val="0007578C"/>
    <w:rsid w:val="00075A2B"/>
    <w:rsid w:val="00076FC1"/>
    <w:rsid w:val="00076FFE"/>
    <w:rsid w:val="0008183E"/>
    <w:rsid w:val="00081CB8"/>
    <w:rsid w:val="00081E28"/>
    <w:rsid w:val="000825CB"/>
    <w:rsid w:val="00082660"/>
    <w:rsid w:val="00082BFC"/>
    <w:rsid w:val="000833AF"/>
    <w:rsid w:val="000836AE"/>
    <w:rsid w:val="00083BB2"/>
    <w:rsid w:val="00083DFF"/>
    <w:rsid w:val="0008410B"/>
    <w:rsid w:val="0008441D"/>
    <w:rsid w:val="00084805"/>
    <w:rsid w:val="00084A71"/>
    <w:rsid w:val="00084C09"/>
    <w:rsid w:val="00084F87"/>
    <w:rsid w:val="00085048"/>
    <w:rsid w:val="000851A8"/>
    <w:rsid w:val="000858E9"/>
    <w:rsid w:val="00085B6B"/>
    <w:rsid w:val="0008636A"/>
    <w:rsid w:val="00086859"/>
    <w:rsid w:val="00086C56"/>
    <w:rsid w:val="00086D1A"/>
    <w:rsid w:val="00086FA6"/>
    <w:rsid w:val="000879D9"/>
    <w:rsid w:val="00087F1D"/>
    <w:rsid w:val="00091190"/>
    <w:rsid w:val="000922C8"/>
    <w:rsid w:val="000925C3"/>
    <w:rsid w:val="00092737"/>
    <w:rsid w:val="00092A7E"/>
    <w:rsid w:val="00092B98"/>
    <w:rsid w:val="00092E94"/>
    <w:rsid w:val="00093457"/>
    <w:rsid w:val="0009532E"/>
    <w:rsid w:val="000958BD"/>
    <w:rsid w:val="000959E8"/>
    <w:rsid w:val="00095E3B"/>
    <w:rsid w:val="00095E94"/>
    <w:rsid w:val="00096730"/>
    <w:rsid w:val="00097D2D"/>
    <w:rsid w:val="000A029A"/>
    <w:rsid w:val="000A02EC"/>
    <w:rsid w:val="000A0538"/>
    <w:rsid w:val="000A0735"/>
    <w:rsid w:val="000A0945"/>
    <w:rsid w:val="000A10C3"/>
    <w:rsid w:val="000A127F"/>
    <w:rsid w:val="000A15DA"/>
    <w:rsid w:val="000A1C84"/>
    <w:rsid w:val="000A2A1C"/>
    <w:rsid w:val="000A2ECA"/>
    <w:rsid w:val="000A54CB"/>
    <w:rsid w:val="000A5776"/>
    <w:rsid w:val="000A598B"/>
    <w:rsid w:val="000A5D8B"/>
    <w:rsid w:val="000A61AF"/>
    <w:rsid w:val="000A7295"/>
    <w:rsid w:val="000A78EB"/>
    <w:rsid w:val="000A7B6E"/>
    <w:rsid w:val="000A7F57"/>
    <w:rsid w:val="000B01BC"/>
    <w:rsid w:val="000B1510"/>
    <w:rsid w:val="000B1EFD"/>
    <w:rsid w:val="000B210F"/>
    <w:rsid w:val="000B2E15"/>
    <w:rsid w:val="000B3101"/>
    <w:rsid w:val="000B3237"/>
    <w:rsid w:val="000B33E3"/>
    <w:rsid w:val="000B378D"/>
    <w:rsid w:val="000B3F7D"/>
    <w:rsid w:val="000B557B"/>
    <w:rsid w:val="000B59FE"/>
    <w:rsid w:val="000B696A"/>
    <w:rsid w:val="000B71EE"/>
    <w:rsid w:val="000C0159"/>
    <w:rsid w:val="000C0A19"/>
    <w:rsid w:val="000C18A0"/>
    <w:rsid w:val="000C1F01"/>
    <w:rsid w:val="000C1F8C"/>
    <w:rsid w:val="000C2532"/>
    <w:rsid w:val="000C42CD"/>
    <w:rsid w:val="000C4B58"/>
    <w:rsid w:val="000C4C26"/>
    <w:rsid w:val="000C4CE5"/>
    <w:rsid w:val="000C5767"/>
    <w:rsid w:val="000C5E13"/>
    <w:rsid w:val="000C5E51"/>
    <w:rsid w:val="000C5F90"/>
    <w:rsid w:val="000C6412"/>
    <w:rsid w:val="000C6AD9"/>
    <w:rsid w:val="000C7053"/>
    <w:rsid w:val="000C754E"/>
    <w:rsid w:val="000C7A64"/>
    <w:rsid w:val="000D001E"/>
    <w:rsid w:val="000D0F68"/>
    <w:rsid w:val="000D1AFE"/>
    <w:rsid w:val="000D2637"/>
    <w:rsid w:val="000D26CB"/>
    <w:rsid w:val="000D2FE3"/>
    <w:rsid w:val="000D3EE1"/>
    <w:rsid w:val="000D4160"/>
    <w:rsid w:val="000D46CC"/>
    <w:rsid w:val="000D4EDE"/>
    <w:rsid w:val="000D5F56"/>
    <w:rsid w:val="000D647D"/>
    <w:rsid w:val="000D6FBA"/>
    <w:rsid w:val="000D7047"/>
    <w:rsid w:val="000D72BF"/>
    <w:rsid w:val="000D7613"/>
    <w:rsid w:val="000D7B9F"/>
    <w:rsid w:val="000D7BF8"/>
    <w:rsid w:val="000E07A6"/>
    <w:rsid w:val="000E1209"/>
    <w:rsid w:val="000E12B5"/>
    <w:rsid w:val="000E1354"/>
    <w:rsid w:val="000E1587"/>
    <w:rsid w:val="000E18CA"/>
    <w:rsid w:val="000E1CE1"/>
    <w:rsid w:val="000E22CC"/>
    <w:rsid w:val="000E45C8"/>
    <w:rsid w:val="000E461F"/>
    <w:rsid w:val="000E4657"/>
    <w:rsid w:val="000E49BD"/>
    <w:rsid w:val="000E6271"/>
    <w:rsid w:val="000E629F"/>
    <w:rsid w:val="000E6BA7"/>
    <w:rsid w:val="000F0890"/>
    <w:rsid w:val="000F0C6E"/>
    <w:rsid w:val="000F1A22"/>
    <w:rsid w:val="000F2BA9"/>
    <w:rsid w:val="000F2BBE"/>
    <w:rsid w:val="000F2FBB"/>
    <w:rsid w:val="000F3020"/>
    <w:rsid w:val="000F3481"/>
    <w:rsid w:val="000F3859"/>
    <w:rsid w:val="000F396F"/>
    <w:rsid w:val="000F4541"/>
    <w:rsid w:val="000F4D96"/>
    <w:rsid w:val="000F52BC"/>
    <w:rsid w:val="000F532A"/>
    <w:rsid w:val="000F6441"/>
    <w:rsid w:val="00100390"/>
    <w:rsid w:val="001003ED"/>
    <w:rsid w:val="00100EFA"/>
    <w:rsid w:val="00100F99"/>
    <w:rsid w:val="0010214E"/>
    <w:rsid w:val="001022D3"/>
    <w:rsid w:val="00102308"/>
    <w:rsid w:val="00102447"/>
    <w:rsid w:val="00102D01"/>
    <w:rsid w:val="0010371B"/>
    <w:rsid w:val="0010446B"/>
    <w:rsid w:val="0010503E"/>
    <w:rsid w:val="001050BD"/>
    <w:rsid w:val="0010611B"/>
    <w:rsid w:val="001061BE"/>
    <w:rsid w:val="00106683"/>
    <w:rsid w:val="00106EE3"/>
    <w:rsid w:val="0010795E"/>
    <w:rsid w:val="00107EFE"/>
    <w:rsid w:val="001119B5"/>
    <w:rsid w:val="001126E3"/>
    <w:rsid w:val="00113084"/>
    <w:rsid w:val="0011352C"/>
    <w:rsid w:val="0011364A"/>
    <w:rsid w:val="0011369F"/>
    <w:rsid w:val="0011395C"/>
    <w:rsid w:val="00114E43"/>
    <w:rsid w:val="0011527B"/>
    <w:rsid w:val="001167E0"/>
    <w:rsid w:val="00116C15"/>
    <w:rsid w:val="0011730B"/>
    <w:rsid w:val="001207E4"/>
    <w:rsid w:val="00120AE8"/>
    <w:rsid w:val="00120DBA"/>
    <w:rsid w:val="001212A9"/>
    <w:rsid w:val="001213DC"/>
    <w:rsid w:val="00121A05"/>
    <w:rsid w:val="00121B7F"/>
    <w:rsid w:val="00121D81"/>
    <w:rsid w:val="00121F94"/>
    <w:rsid w:val="0012261F"/>
    <w:rsid w:val="00124075"/>
    <w:rsid w:val="0012496E"/>
    <w:rsid w:val="00124B55"/>
    <w:rsid w:val="00124DBB"/>
    <w:rsid w:val="00125665"/>
    <w:rsid w:val="0012567A"/>
    <w:rsid w:val="00125FC4"/>
    <w:rsid w:val="001276CE"/>
    <w:rsid w:val="00127887"/>
    <w:rsid w:val="001309E1"/>
    <w:rsid w:val="00131446"/>
    <w:rsid w:val="00131AB3"/>
    <w:rsid w:val="00132D15"/>
    <w:rsid w:val="00132FBE"/>
    <w:rsid w:val="00133037"/>
    <w:rsid w:val="00133EC4"/>
    <w:rsid w:val="00133FAB"/>
    <w:rsid w:val="001345D3"/>
    <w:rsid w:val="001356D6"/>
    <w:rsid w:val="00135985"/>
    <w:rsid w:val="00135A29"/>
    <w:rsid w:val="00135DA6"/>
    <w:rsid w:val="00137D66"/>
    <w:rsid w:val="00137EB0"/>
    <w:rsid w:val="00141779"/>
    <w:rsid w:val="00141B2D"/>
    <w:rsid w:val="001424F9"/>
    <w:rsid w:val="001429C7"/>
    <w:rsid w:val="00142C68"/>
    <w:rsid w:val="00143CDE"/>
    <w:rsid w:val="00143D69"/>
    <w:rsid w:val="001447B5"/>
    <w:rsid w:val="00144EB4"/>
    <w:rsid w:val="00145358"/>
    <w:rsid w:val="001456C9"/>
    <w:rsid w:val="001459CC"/>
    <w:rsid w:val="00147131"/>
    <w:rsid w:val="001471FD"/>
    <w:rsid w:val="0014735C"/>
    <w:rsid w:val="0014784A"/>
    <w:rsid w:val="00147AC9"/>
    <w:rsid w:val="00147FC5"/>
    <w:rsid w:val="00147FFB"/>
    <w:rsid w:val="00150061"/>
    <w:rsid w:val="00150AE8"/>
    <w:rsid w:val="00151093"/>
    <w:rsid w:val="00151CD3"/>
    <w:rsid w:val="00152872"/>
    <w:rsid w:val="00152A4D"/>
    <w:rsid w:val="00153187"/>
    <w:rsid w:val="001542D2"/>
    <w:rsid w:val="0015464E"/>
    <w:rsid w:val="00154C96"/>
    <w:rsid w:val="001550BC"/>
    <w:rsid w:val="001566A0"/>
    <w:rsid w:val="00156A6A"/>
    <w:rsid w:val="00157074"/>
    <w:rsid w:val="00157F81"/>
    <w:rsid w:val="0016179F"/>
    <w:rsid w:val="0016197F"/>
    <w:rsid w:val="00161D3F"/>
    <w:rsid w:val="001625C1"/>
    <w:rsid w:val="001626E1"/>
    <w:rsid w:val="00162A26"/>
    <w:rsid w:val="00163313"/>
    <w:rsid w:val="001646F4"/>
    <w:rsid w:val="00164B94"/>
    <w:rsid w:val="00164E86"/>
    <w:rsid w:val="00165010"/>
    <w:rsid w:val="001653DC"/>
    <w:rsid w:val="001657C6"/>
    <w:rsid w:val="00165AF5"/>
    <w:rsid w:val="00166C2F"/>
    <w:rsid w:val="001671D4"/>
    <w:rsid w:val="00171062"/>
    <w:rsid w:val="00171995"/>
    <w:rsid w:val="001742A0"/>
    <w:rsid w:val="00174494"/>
    <w:rsid w:val="00174A68"/>
    <w:rsid w:val="00174F3E"/>
    <w:rsid w:val="00175B7F"/>
    <w:rsid w:val="001764A6"/>
    <w:rsid w:val="00176B0E"/>
    <w:rsid w:val="00180B54"/>
    <w:rsid w:val="00180F7A"/>
    <w:rsid w:val="001814DE"/>
    <w:rsid w:val="00181B60"/>
    <w:rsid w:val="00181E67"/>
    <w:rsid w:val="00182513"/>
    <w:rsid w:val="00183A23"/>
    <w:rsid w:val="00184239"/>
    <w:rsid w:val="0018443D"/>
    <w:rsid w:val="00184B1E"/>
    <w:rsid w:val="00184DBE"/>
    <w:rsid w:val="00184DCC"/>
    <w:rsid w:val="0018576E"/>
    <w:rsid w:val="00186149"/>
    <w:rsid w:val="00190704"/>
    <w:rsid w:val="00190A8B"/>
    <w:rsid w:val="001914F9"/>
    <w:rsid w:val="00191540"/>
    <w:rsid w:val="001922EE"/>
    <w:rsid w:val="0019258A"/>
    <w:rsid w:val="00192FE0"/>
    <w:rsid w:val="00193D89"/>
    <w:rsid w:val="001944EA"/>
    <w:rsid w:val="001945F3"/>
    <w:rsid w:val="00195416"/>
    <w:rsid w:val="00195E36"/>
    <w:rsid w:val="00196099"/>
    <w:rsid w:val="0019651A"/>
    <w:rsid w:val="001966D1"/>
    <w:rsid w:val="00196B3E"/>
    <w:rsid w:val="00196C5C"/>
    <w:rsid w:val="00196D37"/>
    <w:rsid w:val="001979D1"/>
    <w:rsid w:val="00197F18"/>
    <w:rsid w:val="001A16C0"/>
    <w:rsid w:val="001A1DE0"/>
    <w:rsid w:val="001A1EDB"/>
    <w:rsid w:val="001A2A36"/>
    <w:rsid w:val="001A2C45"/>
    <w:rsid w:val="001A2EF1"/>
    <w:rsid w:val="001A3770"/>
    <w:rsid w:val="001A37E8"/>
    <w:rsid w:val="001A38C5"/>
    <w:rsid w:val="001A4A4A"/>
    <w:rsid w:val="001A5564"/>
    <w:rsid w:val="001A6098"/>
    <w:rsid w:val="001A6CF1"/>
    <w:rsid w:val="001A753B"/>
    <w:rsid w:val="001A7D11"/>
    <w:rsid w:val="001B073B"/>
    <w:rsid w:val="001B097B"/>
    <w:rsid w:val="001B1517"/>
    <w:rsid w:val="001B1606"/>
    <w:rsid w:val="001B2293"/>
    <w:rsid w:val="001B22A4"/>
    <w:rsid w:val="001B2A61"/>
    <w:rsid w:val="001B2F70"/>
    <w:rsid w:val="001B3113"/>
    <w:rsid w:val="001B3D81"/>
    <w:rsid w:val="001B3FA1"/>
    <w:rsid w:val="001B41DF"/>
    <w:rsid w:val="001B4BC9"/>
    <w:rsid w:val="001B4DAB"/>
    <w:rsid w:val="001B57CA"/>
    <w:rsid w:val="001B630D"/>
    <w:rsid w:val="001B6843"/>
    <w:rsid w:val="001C012F"/>
    <w:rsid w:val="001C0ADC"/>
    <w:rsid w:val="001C142A"/>
    <w:rsid w:val="001C14D0"/>
    <w:rsid w:val="001C1D42"/>
    <w:rsid w:val="001C1FC6"/>
    <w:rsid w:val="001C22AF"/>
    <w:rsid w:val="001C2B1B"/>
    <w:rsid w:val="001C340D"/>
    <w:rsid w:val="001C3632"/>
    <w:rsid w:val="001C3E60"/>
    <w:rsid w:val="001C470F"/>
    <w:rsid w:val="001C5370"/>
    <w:rsid w:val="001C5BF2"/>
    <w:rsid w:val="001C5D1D"/>
    <w:rsid w:val="001C5E6C"/>
    <w:rsid w:val="001C62FB"/>
    <w:rsid w:val="001C6788"/>
    <w:rsid w:val="001C689A"/>
    <w:rsid w:val="001C6CAA"/>
    <w:rsid w:val="001C6F7D"/>
    <w:rsid w:val="001C7B76"/>
    <w:rsid w:val="001C7BE2"/>
    <w:rsid w:val="001D06B3"/>
    <w:rsid w:val="001D08A3"/>
    <w:rsid w:val="001D0FD9"/>
    <w:rsid w:val="001D2313"/>
    <w:rsid w:val="001D25F3"/>
    <w:rsid w:val="001D3ABC"/>
    <w:rsid w:val="001D40C6"/>
    <w:rsid w:val="001D43E7"/>
    <w:rsid w:val="001D44A2"/>
    <w:rsid w:val="001D570C"/>
    <w:rsid w:val="001D62CB"/>
    <w:rsid w:val="001D6998"/>
    <w:rsid w:val="001D7891"/>
    <w:rsid w:val="001E0345"/>
    <w:rsid w:val="001E0CCB"/>
    <w:rsid w:val="001E239D"/>
    <w:rsid w:val="001E298C"/>
    <w:rsid w:val="001E3465"/>
    <w:rsid w:val="001E57CC"/>
    <w:rsid w:val="001E7769"/>
    <w:rsid w:val="001E77D2"/>
    <w:rsid w:val="001F1673"/>
    <w:rsid w:val="001F29E8"/>
    <w:rsid w:val="001F2ED5"/>
    <w:rsid w:val="001F2F05"/>
    <w:rsid w:val="001F3842"/>
    <w:rsid w:val="001F3914"/>
    <w:rsid w:val="001F3CED"/>
    <w:rsid w:val="001F3D37"/>
    <w:rsid w:val="001F3D41"/>
    <w:rsid w:val="001F4777"/>
    <w:rsid w:val="001F4876"/>
    <w:rsid w:val="001F4CEB"/>
    <w:rsid w:val="001F5659"/>
    <w:rsid w:val="001F5B24"/>
    <w:rsid w:val="001F6C37"/>
    <w:rsid w:val="001F70E7"/>
    <w:rsid w:val="001F7CF0"/>
    <w:rsid w:val="001F7DE5"/>
    <w:rsid w:val="0020092F"/>
    <w:rsid w:val="002009F8"/>
    <w:rsid w:val="00200C42"/>
    <w:rsid w:val="00201A5D"/>
    <w:rsid w:val="00201E5E"/>
    <w:rsid w:val="00203256"/>
    <w:rsid w:val="00203704"/>
    <w:rsid w:val="0020399A"/>
    <w:rsid w:val="00204163"/>
    <w:rsid w:val="00204B5D"/>
    <w:rsid w:val="00205402"/>
    <w:rsid w:val="00205540"/>
    <w:rsid w:val="002056A7"/>
    <w:rsid w:val="002058B4"/>
    <w:rsid w:val="00205D2B"/>
    <w:rsid w:val="0020600A"/>
    <w:rsid w:val="0020795C"/>
    <w:rsid w:val="00211363"/>
    <w:rsid w:val="002116A4"/>
    <w:rsid w:val="002116B7"/>
    <w:rsid w:val="00211A83"/>
    <w:rsid w:val="002122D2"/>
    <w:rsid w:val="00212F2E"/>
    <w:rsid w:val="002132DA"/>
    <w:rsid w:val="002148B2"/>
    <w:rsid w:val="00214A5D"/>
    <w:rsid w:val="00214E30"/>
    <w:rsid w:val="00215298"/>
    <w:rsid w:val="00215836"/>
    <w:rsid w:val="00215880"/>
    <w:rsid w:val="00215FC4"/>
    <w:rsid w:val="002160B7"/>
    <w:rsid w:val="002163B7"/>
    <w:rsid w:val="002166FD"/>
    <w:rsid w:val="00216972"/>
    <w:rsid w:val="002169F4"/>
    <w:rsid w:val="002170A7"/>
    <w:rsid w:val="00217961"/>
    <w:rsid w:val="002179C6"/>
    <w:rsid w:val="00217B6D"/>
    <w:rsid w:val="00217CAA"/>
    <w:rsid w:val="00217EA8"/>
    <w:rsid w:val="00221101"/>
    <w:rsid w:val="002218E5"/>
    <w:rsid w:val="00221906"/>
    <w:rsid w:val="002228A0"/>
    <w:rsid w:val="00222D5B"/>
    <w:rsid w:val="00223731"/>
    <w:rsid w:val="00223AC9"/>
    <w:rsid w:val="00223E2A"/>
    <w:rsid w:val="002246CD"/>
    <w:rsid w:val="00225858"/>
    <w:rsid w:val="002259BC"/>
    <w:rsid w:val="0022662F"/>
    <w:rsid w:val="0022666A"/>
    <w:rsid w:val="00226B1E"/>
    <w:rsid w:val="00230FD0"/>
    <w:rsid w:val="00231292"/>
    <w:rsid w:val="00231371"/>
    <w:rsid w:val="00232446"/>
    <w:rsid w:val="00232A96"/>
    <w:rsid w:val="002343BF"/>
    <w:rsid w:val="00235842"/>
    <w:rsid w:val="0023696E"/>
    <w:rsid w:val="00236AF8"/>
    <w:rsid w:val="00237057"/>
    <w:rsid w:val="0024116F"/>
    <w:rsid w:val="0024190F"/>
    <w:rsid w:val="00241CB9"/>
    <w:rsid w:val="0024221A"/>
    <w:rsid w:val="002427DC"/>
    <w:rsid w:val="0024476E"/>
    <w:rsid w:val="0024516C"/>
    <w:rsid w:val="002473D2"/>
    <w:rsid w:val="0024748A"/>
    <w:rsid w:val="0024788D"/>
    <w:rsid w:val="00247A54"/>
    <w:rsid w:val="00247B2A"/>
    <w:rsid w:val="00247D27"/>
    <w:rsid w:val="002509E8"/>
    <w:rsid w:val="00251165"/>
    <w:rsid w:val="00251DA9"/>
    <w:rsid w:val="00251DFB"/>
    <w:rsid w:val="0025287E"/>
    <w:rsid w:val="00252D28"/>
    <w:rsid w:val="00252DEC"/>
    <w:rsid w:val="00253D5F"/>
    <w:rsid w:val="00254088"/>
    <w:rsid w:val="00254178"/>
    <w:rsid w:val="0025597D"/>
    <w:rsid w:val="00256014"/>
    <w:rsid w:val="00257D2C"/>
    <w:rsid w:val="00260015"/>
    <w:rsid w:val="0026007C"/>
    <w:rsid w:val="00260ACD"/>
    <w:rsid w:val="00260DEA"/>
    <w:rsid w:val="00260FEB"/>
    <w:rsid w:val="00261603"/>
    <w:rsid w:val="00263C31"/>
    <w:rsid w:val="00263F74"/>
    <w:rsid w:val="0026503D"/>
    <w:rsid w:val="00265BFA"/>
    <w:rsid w:val="002661D4"/>
    <w:rsid w:val="002666DC"/>
    <w:rsid w:val="00266804"/>
    <w:rsid w:val="00266854"/>
    <w:rsid w:val="002670CB"/>
    <w:rsid w:val="00270AFD"/>
    <w:rsid w:val="002711EC"/>
    <w:rsid w:val="002723D1"/>
    <w:rsid w:val="0027248F"/>
    <w:rsid w:val="00272B8A"/>
    <w:rsid w:val="00272DBC"/>
    <w:rsid w:val="002734F5"/>
    <w:rsid w:val="0027477F"/>
    <w:rsid w:val="00274A8F"/>
    <w:rsid w:val="00275459"/>
    <w:rsid w:val="00275C09"/>
    <w:rsid w:val="00275EAF"/>
    <w:rsid w:val="00275F22"/>
    <w:rsid w:val="00276093"/>
    <w:rsid w:val="002767AA"/>
    <w:rsid w:val="00277049"/>
    <w:rsid w:val="0027717E"/>
    <w:rsid w:val="00280683"/>
    <w:rsid w:val="00280749"/>
    <w:rsid w:val="00280E2A"/>
    <w:rsid w:val="002810C8"/>
    <w:rsid w:val="002817A1"/>
    <w:rsid w:val="00281F87"/>
    <w:rsid w:val="00282450"/>
    <w:rsid w:val="00282B95"/>
    <w:rsid w:val="00283A5A"/>
    <w:rsid w:val="0028458C"/>
    <w:rsid w:val="002845F8"/>
    <w:rsid w:val="00284656"/>
    <w:rsid w:val="002847D6"/>
    <w:rsid w:val="002851CC"/>
    <w:rsid w:val="002859DE"/>
    <w:rsid w:val="0028665B"/>
    <w:rsid w:val="002866A0"/>
    <w:rsid w:val="0028696C"/>
    <w:rsid w:val="00286B5D"/>
    <w:rsid w:val="00286E62"/>
    <w:rsid w:val="00286ECE"/>
    <w:rsid w:val="00286ED8"/>
    <w:rsid w:val="00286F98"/>
    <w:rsid w:val="00287A05"/>
    <w:rsid w:val="00287CB2"/>
    <w:rsid w:val="0029267C"/>
    <w:rsid w:val="00292B5A"/>
    <w:rsid w:val="00292D7D"/>
    <w:rsid w:val="00293199"/>
    <w:rsid w:val="00293749"/>
    <w:rsid w:val="00293A8F"/>
    <w:rsid w:val="00294168"/>
    <w:rsid w:val="00294301"/>
    <w:rsid w:val="00295635"/>
    <w:rsid w:val="002965C9"/>
    <w:rsid w:val="00297BD7"/>
    <w:rsid w:val="002A0CDF"/>
    <w:rsid w:val="002A0DED"/>
    <w:rsid w:val="002A0E50"/>
    <w:rsid w:val="002A1263"/>
    <w:rsid w:val="002A168C"/>
    <w:rsid w:val="002A17D9"/>
    <w:rsid w:val="002A1BE9"/>
    <w:rsid w:val="002A28C2"/>
    <w:rsid w:val="002A2B1C"/>
    <w:rsid w:val="002A3EAD"/>
    <w:rsid w:val="002A4323"/>
    <w:rsid w:val="002A4D01"/>
    <w:rsid w:val="002A50DF"/>
    <w:rsid w:val="002A65CE"/>
    <w:rsid w:val="002A69C9"/>
    <w:rsid w:val="002A6F39"/>
    <w:rsid w:val="002B0714"/>
    <w:rsid w:val="002B0D8C"/>
    <w:rsid w:val="002B12B1"/>
    <w:rsid w:val="002B20D8"/>
    <w:rsid w:val="002B2714"/>
    <w:rsid w:val="002B2C77"/>
    <w:rsid w:val="002B31AB"/>
    <w:rsid w:val="002B31EF"/>
    <w:rsid w:val="002B35D6"/>
    <w:rsid w:val="002B411F"/>
    <w:rsid w:val="002B4886"/>
    <w:rsid w:val="002B48F2"/>
    <w:rsid w:val="002B53CE"/>
    <w:rsid w:val="002B53EF"/>
    <w:rsid w:val="002B5951"/>
    <w:rsid w:val="002B5961"/>
    <w:rsid w:val="002B679F"/>
    <w:rsid w:val="002C0E72"/>
    <w:rsid w:val="002C1B7C"/>
    <w:rsid w:val="002C216B"/>
    <w:rsid w:val="002C240D"/>
    <w:rsid w:val="002C2E95"/>
    <w:rsid w:val="002C323C"/>
    <w:rsid w:val="002C43BE"/>
    <w:rsid w:val="002C4984"/>
    <w:rsid w:val="002C5029"/>
    <w:rsid w:val="002C7309"/>
    <w:rsid w:val="002C7386"/>
    <w:rsid w:val="002C7706"/>
    <w:rsid w:val="002C79DC"/>
    <w:rsid w:val="002C7B22"/>
    <w:rsid w:val="002C7F9A"/>
    <w:rsid w:val="002D0006"/>
    <w:rsid w:val="002D06A0"/>
    <w:rsid w:val="002D0A50"/>
    <w:rsid w:val="002D0C4E"/>
    <w:rsid w:val="002D141C"/>
    <w:rsid w:val="002D1D82"/>
    <w:rsid w:val="002D2660"/>
    <w:rsid w:val="002D355E"/>
    <w:rsid w:val="002D3BD6"/>
    <w:rsid w:val="002D40CE"/>
    <w:rsid w:val="002D4237"/>
    <w:rsid w:val="002D4FEB"/>
    <w:rsid w:val="002D57D8"/>
    <w:rsid w:val="002D5BB3"/>
    <w:rsid w:val="002D5C50"/>
    <w:rsid w:val="002D6E13"/>
    <w:rsid w:val="002D74B8"/>
    <w:rsid w:val="002E0784"/>
    <w:rsid w:val="002E0EFA"/>
    <w:rsid w:val="002E1292"/>
    <w:rsid w:val="002E15E1"/>
    <w:rsid w:val="002E1B5F"/>
    <w:rsid w:val="002E3982"/>
    <w:rsid w:val="002E3EEE"/>
    <w:rsid w:val="002E490A"/>
    <w:rsid w:val="002E49A8"/>
    <w:rsid w:val="002E53B4"/>
    <w:rsid w:val="002E597D"/>
    <w:rsid w:val="002E5F5C"/>
    <w:rsid w:val="002E6F0B"/>
    <w:rsid w:val="002E7787"/>
    <w:rsid w:val="002E7BDC"/>
    <w:rsid w:val="002E7FB1"/>
    <w:rsid w:val="002F04AB"/>
    <w:rsid w:val="002F070A"/>
    <w:rsid w:val="002F11FF"/>
    <w:rsid w:val="002F13D9"/>
    <w:rsid w:val="002F1615"/>
    <w:rsid w:val="002F2CA3"/>
    <w:rsid w:val="002F2E75"/>
    <w:rsid w:val="002F2EF6"/>
    <w:rsid w:val="002F3360"/>
    <w:rsid w:val="002F3F61"/>
    <w:rsid w:val="002F455C"/>
    <w:rsid w:val="002F48A1"/>
    <w:rsid w:val="002F5D56"/>
    <w:rsid w:val="002F666B"/>
    <w:rsid w:val="002F6DE8"/>
    <w:rsid w:val="002F7565"/>
    <w:rsid w:val="002F7727"/>
    <w:rsid w:val="002F7733"/>
    <w:rsid w:val="003008E3"/>
    <w:rsid w:val="00300D38"/>
    <w:rsid w:val="00300F02"/>
    <w:rsid w:val="003027C1"/>
    <w:rsid w:val="00303543"/>
    <w:rsid w:val="00304BFF"/>
    <w:rsid w:val="0030646A"/>
    <w:rsid w:val="0030713F"/>
    <w:rsid w:val="00310D77"/>
    <w:rsid w:val="00310DD1"/>
    <w:rsid w:val="00311C98"/>
    <w:rsid w:val="00311E62"/>
    <w:rsid w:val="00311EAF"/>
    <w:rsid w:val="00312F1F"/>
    <w:rsid w:val="00313338"/>
    <w:rsid w:val="00314EC7"/>
    <w:rsid w:val="003155CF"/>
    <w:rsid w:val="00315C6E"/>
    <w:rsid w:val="00315E70"/>
    <w:rsid w:val="00316A5D"/>
    <w:rsid w:val="00316E37"/>
    <w:rsid w:val="00317BE7"/>
    <w:rsid w:val="00317D66"/>
    <w:rsid w:val="003201F5"/>
    <w:rsid w:val="0032034B"/>
    <w:rsid w:val="00320365"/>
    <w:rsid w:val="00321AE2"/>
    <w:rsid w:val="00322A72"/>
    <w:rsid w:val="003239AF"/>
    <w:rsid w:val="00323B66"/>
    <w:rsid w:val="00323FFA"/>
    <w:rsid w:val="00324266"/>
    <w:rsid w:val="00324DD8"/>
    <w:rsid w:val="003266B6"/>
    <w:rsid w:val="00327A11"/>
    <w:rsid w:val="00327C66"/>
    <w:rsid w:val="0033074D"/>
    <w:rsid w:val="00330758"/>
    <w:rsid w:val="0033098F"/>
    <w:rsid w:val="0033127E"/>
    <w:rsid w:val="00331A34"/>
    <w:rsid w:val="003322FF"/>
    <w:rsid w:val="003325B8"/>
    <w:rsid w:val="00332863"/>
    <w:rsid w:val="003344CA"/>
    <w:rsid w:val="003346CC"/>
    <w:rsid w:val="003348CD"/>
    <w:rsid w:val="003352EB"/>
    <w:rsid w:val="00335691"/>
    <w:rsid w:val="00335825"/>
    <w:rsid w:val="00335856"/>
    <w:rsid w:val="003370B9"/>
    <w:rsid w:val="00337519"/>
    <w:rsid w:val="00337DE5"/>
    <w:rsid w:val="00340780"/>
    <w:rsid w:val="003429B3"/>
    <w:rsid w:val="00342A9B"/>
    <w:rsid w:val="00342F72"/>
    <w:rsid w:val="00343232"/>
    <w:rsid w:val="003432FF"/>
    <w:rsid w:val="003433BB"/>
    <w:rsid w:val="00343CF5"/>
    <w:rsid w:val="00344385"/>
    <w:rsid w:val="00345035"/>
    <w:rsid w:val="0034517A"/>
    <w:rsid w:val="00346278"/>
    <w:rsid w:val="003467D1"/>
    <w:rsid w:val="00346AAC"/>
    <w:rsid w:val="003476D2"/>
    <w:rsid w:val="00351128"/>
    <w:rsid w:val="00351CCC"/>
    <w:rsid w:val="00352395"/>
    <w:rsid w:val="00352B6E"/>
    <w:rsid w:val="0035315F"/>
    <w:rsid w:val="00353462"/>
    <w:rsid w:val="0035360D"/>
    <w:rsid w:val="0035387D"/>
    <w:rsid w:val="00355255"/>
    <w:rsid w:val="00355608"/>
    <w:rsid w:val="0035577B"/>
    <w:rsid w:val="00355F14"/>
    <w:rsid w:val="0035603F"/>
    <w:rsid w:val="00357053"/>
    <w:rsid w:val="003574F9"/>
    <w:rsid w:val="003576CD"/>
    <w:rsid w:val="00357868"/>
    <w:rsid w:val="0035796B"/>
    <w:rsid w:val="00357D79"/>
    <w:rsid w:val="00357FFB"/>
    <w:rsid w:val="00361A89"/>
    <w:rsid w:val="00361D5B"/>
    <w:rsid w:val="00361D8D"/>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708E1"/>
    <w:rsid w:val="00371CCD"/>
    <w:rsid w:val="00372159"/>
    <w:rsid w:val="00372452"/>
    <w:rsid w:val="00372671"/>
    <w:rsid w:val="00373768"/>
    <w:rsid w:val="00373851"/>
    <w:rsid w:val="00373E76"/>
    <w:rsid w:val="00374316"/>
    <w:rsid w:val="00374A28"/>
    <w:rsid w:val="00375975"/>
    <w:rsid w:val="00375AFE"/>
    <w:rsid w:val="00375E3D"/>
    <w:rsid w:val="003765E8"/>
    <w:rsid w:val="00376622"/>
    <w:rsid w:val="003768F3"/>
    <w:rsid w:val="00376AA8"/>
    <w:rsid w:val="003775F7"/>
    <w:rsid w:val="0038002D"/>
    <w:rsid w:val="00380824"/>
    <w:rsid w:val="00380E95"/>
    <w:rsid w:val="003810E0"/>
    <w:rsid w:val="00381141"/>
    <w:rsid w:val="0038160C"/>
    <w:rsid w:val="00381A68"/>
    <w:rsid w:val="00382052"/>
    <w:rsid w:val="00382778"/>
    <w:rsid w:val="00382A1D"/>
    <w:rsid w:val="0038301F"/>
    <w:rsid w:val="003866F5"/>
    <w:rsid w:val="003878E1"/>
    <w:rsid w:val="00390737"/>
    <w:rsid w:val="0039130A"/>
    <w:rsid w:val="003916B4"/>
    <w:rsid w:val="00391D46"/>
    <w:rsid w:val="003921BB"/>
    <w:rsid w:val="00392297"/>
    <w:rsid w:val="00392465"/>
    <w:rsid w:val="00392767"/>
    <w:rsid w:val="00392A25"/>
    <w:rsid w:val="00392B3F"/>
    <w:rsid w:val="00392FF1"/>
    <w:rsid w:val="00393059"/>
    <w:rsid w:val="0039351D"/>
    <w:rsid w:val="0039383F"/>
    <w:rsid w:val="00393B22"/>
    <w:rsid w:val="00393C14"/>
    <w:rsid w:val="003972E9"/>
    <w:rsid w:val="003A006D"/>
    <w:rsid w:val="003A01E7"/>
    <w:rsid w:val="003A0721"/>
    <w:rsid w:val="003A0A40"/>
    <w:rsid w:val="003A21EB"/>
    <w:rsid w:val="003A22B7"/>
    <w:rsid w:val="003A3958"/>
    <w:rsid w:val="003A3FE8"/>
    <w:rsid w:val="003A41BF"/>
    <w:rsid w:val="003A4719"/>
    <w:rsid w:val="003A4CD0"/>
    <w:rsid w:val="003A68A4"/>
    <w:rsid w:val="003A7613"/>
    <w:rsid w:val="003B0626"/>
    <w:rsid w:val="003B0F49"/>
    <w:rsid w:val="003B1688"/>
    <w:rsid w:val="003B1BC0"/>
    <w:rsid w:val="003B2224"/>
    <w:rsid w:val="003B23CC"/>
    <w:rsid w:val="003B25D8"/>
    <w:rsid w:val="003B3247"/>
    <w:rsid w:val="003B388A"/>
    <w:rsid w:val="003B47C0"/>
    <w:rsid w:val="003B56EE"/>
    <w:rsid w:val="003B56FE"/>
    <w:rsid w:val="003B578E"/>
    <w:rsid w:val="003B5863"/>
    <w:rsid w:val="003B5876"/>
    <w:rsid w:val="003B5E6C"/>
    <w:rsid w:val="003B6F77"/>
    <w:rsid w:val="003B77DE"/>
    <w:rsid w:val="003C123D"/>
    <w:rsid w:val="003C1A67"/>
    <w:rsid w:val="003C3041"/>
    <w:rsid w:val="003C3ACF"/>
    <w:rsid w:val="003C402B"/>
    <w:rsid w:val="003C4296"/>
    <w:rsid w:val="003C4515"/>
    <w:rsid w:val="003C499B"/>
    <w:rsid w:val="003C4B86"/>
    <w:rsid w:val="003C58C9"/>
    <w:rsid w:val="003C5928"/>
    <w:rsid w:val="003C5AD8"/>
    <w:rsid w:val="003C6862"/>
    <w:rsid w:val="003C6A63"/>
    <w:rsid w:val="003C6D4F"/>
    <w:rsid w:val="003C769E"/>
    <w:rsid w:val="003D0A97"/>
    <w:rsid w:val="003D0EA5"/>
    <w:rsid w:val="003D192A"/>
    <w:rsid w:val="003D1CD9"/>
    <w:rsid w:val="003D1E37"/>
    <w:rsid w:val="003D2E88"/>
    <w:rsid w:val="003D2FD3"/>
    <w:rsid w:val="003D39CA"/>
    <w:rsid w:val="003D3A05"/>
    <w:rsid w:val="003D3A88"/>
    <w:rsid w:val="003D3D70"/>
    <w:rsid w:val="003D430B"/>
    <w:rsid w:val="003D44F3"/>
    <w:rsid w:val="003D46B8"/>
    <w:rsid w:val="003D4DBA"/>
    <w:rsid w:val="003D4EB8"/>
    <w:rsid w:val="003D5863"/>
    <w:rsid w:val="003D5A6F"/>
    <w:rsid w:val="003D5BC9"/>
    <w:rsid w:val="003D7C6D"/>
    <w:rsid w:val="003D7CC8"/>
    <w:rsid w:val="003E02B4"/>
    <w:rsid w:val="003E16D4"/>
    <w:rsid w:val="003E181B"/>
    <w:rsid w:val="003E190B"/>
    <w:rsid w:val="003E197B"/>
    <w:rsid w:val="003E1B71"/>
    <w:rsid w:val="003E459B"/>
    <w:rsid w:val="003E4AD9"/>
    <w:rsid w:val="003E4F5D"/>
    <w:rsid w:val="003E57D5"/>
    <w:rsid w:val="003E5C7F"/>
    <w:rsid w:val="003E67C1"/>
    <w:rsid w:val="003E6A44"/>
    <w:rsid w:val="003E7559"/>
    <w:rsid w:val="003E756E"/>
    <w:rsid w:val="003E7FC4"/>
    <w:rsid w:val="003F0A4A"/>
    <w:rsid w:val="003F1DE4"/>
    <w:rsid w:val="003F20DA"/>
    <w:rsid w:val="003F26E8"/>
    <w:rsid w:val="003F2ED2"/>
    <w:rsid w:val="003F329D"/>
    <w:rsid w:val="003F37FA"/>
    <w:rsid w:val="003F3F54"/>
    <w:rsid w:val="003F42B7"/>
    <w:rsid w:val="003F4E44"/>
    <w:rsid w:val="003F6D44"/>
    <w:rsid w:val="003F6F42"/>
    <w:rsid w:val="003F77E2"/>
    <w:rsid w:val="003F7A6D"/>
    <w:rsid w:val="003F7C8F"/>
    <w:rsid w:val="003F7FE2"/>
    <w:rsid w:val="00400E47"/>
    <w:rsid w:val="004010FB"/>
    <w:rsid w:val="0040186E"/>
    <w:rsid w:val="00401BFF"/>
    <w:rsid w:val="004022CB"/>
    <w:rsid w:val="00402333"/>
    <w:rsid w:val="004027DF"/>
    <w:rsid w:val="00402FBD"/>
    <w:rsid w:val="00403FD9"/>
    <w:rsid w:val="004045BF"/>
    <w:rsid w:val="0040462E"/>
    <w:rsid w:val="0040560E"/>
    <w:rsid w:val="00405ACE"/>
    <w:rsid w:val="00405C84"/>
    <w:rsid w:val="00406BC0"/>
    <w:rsid w:val="0040704E"/>
    <w:rsid w:val="004070D2"/>
    <w:rsid w:val="00407BD2"/>
    <w:rsid w:val="004100CA"/>
    <w:rsid w:val="004103A3"/>
    <w:rsid w:val="004103D3"/>
    <w:rsid w:val="00410DAD"/>
    <w:rsid w:val="004114F4"/>
    <w:rsid w:val="00411967"/>
    <w:rsid w:val="00411AC0"/>
    <w:rsid w:val="00411F6E"/>
    <w:rsid w:val="00412039"/>
    <w:rsid w:val="00412C19"/>
    <w:rsid w:val="00412D16"/>
    <w:rsid w:val="0041332C"/>
    <w:rsid w:val="00413336"/>
    <w:rsid w:val="00413AA0"/>
    <w:rsid w:val="00414D9D"/>
    <w:rsid w:val="00415314"/>
    <w:rsid w:val="004159C6"/>
    <w:rsid w:val="00416EB7"/>
    <w:rsid w:val="004170A2"/>
    <w:rsid w:val="00417508"/>
    <w:rsid w:val="0041780B"/>
    <w:rsid w:val="0041791F"/>
    <w:rsid w:val="00417D3D"/>
    <w:rsid w:val="00420D99"/>
    <w:rsid w:val="00421B8D"/>
    <w:rsid w:val="004222E5"/>
    <w:rsid w:val="00423215"/>
    <w:rsid w:val="00423271"/>
    <w:rsid w:val="004238CA"/>
    <w:rsid w:val="00423955"/>
    <w:rsid w:val="00423E5A"/>
    <w:rsid w:val="0042414C"/>
    <w:rsid w:val="004241F8"/>
    <w:rsid w:val="004242EB"/>
    <w:rsid w:val="00424B22"/>
    <w:rsid w:val="004250FB"/>
    <w:rsid w:val="0042526B"/>
    <w:rsid w:val="00425EA1"/>
    <w:rsid w:val="004266EA"/>
    <w:rsid w:val="00426E2E"/>
    <w:rsid w:val="00427815"/>
    <w:rsid w:val="00427D58"/>
    <w:rsid w:val="004309F8"/>
    <w:rsid w:val="00430ACC"/>
    <w:rsid w:val="00430BD5"/>
    <w:rsid w:val="00430C73"/>
    <w:rsid w:val="00430C85"/>
    <w:rsid w:val="00431382"/>
    <w:rsid w:val="00431B47"/>
    <w:rsid w:val="00431C58"/>
    <w:rsid w:val="0043206D"/>
    <w:rsid w:val="004321EB"/>
    <w:rsid w:val="004324B2"/>
    <w:rsid w:val="0043278D"/>
    <w:rsid w:val="00433CD4"/>
    <w:rsid w:val="00433E2F"/>
    <w:rsid w:val="004348B0"/>
    <w:rsid w:val="004351E4"/>
    <w:rsid w:val="004353C9"/>
    <w:rsid w:val="004358DF"/>
    <w:rsid w:val="004363B3"/>
    <w:rsid w:val="00436960"/>
    <w:rsid w:val="00440C85"/>
    <w:rsid w:val="00441662"/>
    <w:rsid w:val="004418A2"/>
    <w:rsid w:val="00441DA0"/>
    <w:rsid w:val="0044201A"/>
    <w:rsid w:val="00442223"/>
    <w:rsid w:val="00442287"/>
    <w:rsid w:val="00443141"/>
    <w:rsid w:val="0044398B"/>
    <w:rsid w:val="0044455C"/>
    <w:rsid w:val="00444E0F"/>
    <w:rsid w:val="00446112"/>
    <w:rsid w:val="004466D5"/>
    <w:rsid w:val="00447573"/>
    <w:rsid w:val="004479AF"/>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6671"/>
    <w:rsid w:val="004568CD"/>
    <w:rsid w:val="004569C0"/>
    <w:rsid w:val="004569E8"/>
    <w:rsid w:val="00456A7D"/>
    <w:rsid w:val="00457EF8"/>
    <w:rsid w:val="00460010"/>
    <w:rsid w:val="00460AB8"/>
    <w:rsid w:val="00460F0F"/>
    <w:rsid w:val="00461313"/>
    <w:rsid w:val="004619DF"/>
    <w:rsid w:val="00461C94"/>
    <w:rsid w:val="00462484"/>
    <w:rsid w:val="00462F1D"/>
    <w:rsid w:val="00463455"/>
    <w:rsid w:val="00463985"/>
    <w:rsid w:val="00463E1D"/>
    <w:rsid w:val="004641D4"/>
    <w:rsid w:val="00464228"/>
    <w:rsid w:val="004647D4"/>
    <w:rsid w:val="004648E8"/>
    <w:rsid w:val="00464AD0"/>
    <w:rsid w:val="0046526E"/>
    <w:rsid w:val="00466717"/>
    <w:rsid w:val="00466A32"/>
    <w:rsid w:val="00471118"/>
    <w:rsid w:val="0047225D"/>
    <w:rsid w:val="004727B7"/>
    <w:rsid w:val="00472855"/>
    <w:rsid w:val="004734DE"/>
    <w:rsid w:val="0047407B"/>
    <w:rsid w:val="004755AD"/>
    <w:rsid w:val="00475BAB"/>
    <w:rsid w:val="00475D73"/>
    <w:rsid w:val="00476081"/>
    <w:rsid w:val="00477030"/>
    <w:rsid w:val="0048029A"/>
    <w:rsid w:val="00480922"/>
    <w:rsid w:val="004809B2"/>
    <w:rsid w:val="00481254"/>
    <w:rsid w:val="004817C5"/>
    <w:rsid w:val="00481AFD"/>
    <w:rsid w:val="00481D58"/>
    <w:rsid w:val="0048224C"/>
    <w:rsid w:val="00482F96"/>
    <w:rsid w:val="00483F6B"/>
    <w:rsid w:val="00484187"/>
    <w:rsid w:val="00484832"/>
    <w:rsid w:val="00484EA2"/>
    <w:rsid w:val="004850FD"/>
    <w:rsid w:val="0048524B"/>
    <w:rsid w:val="00485444"/>
    <w:rsid w:val="00485551"/>
    <w:rsid w:val="0048621F"/>
    <w:rsid w:val="0048626F"/>
    <w:rsid w:val="004862EA"/>
    <w:rsid w:val="004866BF"/>
    <w:rsid w:val="00490127"/>
    <w:rsid w:val="0049099A"/>
    <w:rsid w:val="00491797"/>
    <w:rsid w:val="00491C6D"/>
    <w:rsid w:val="0049289E"/>
    <w:rsid w:val="00492D0A"/>
    <w:rsid w:val="00493BF7"/>
    <w:rsid w:val="00495A01"/>
    <w:rsid w:val="00495FA9"/>
    <w:rsid w:val="004A08BA"/>
    <w:rsid w:val="004A0F71"/>
    <w:rsid w:val="004A0F77"/>
    <w:rsid w:val="004A10D9"/>
    <w:rsid w:val="004A191C"/>
    <w:rsid w:val="004A1EB8"/>
    <w:rsid w:val="004A22EF"/>
    <w:rsid w:val="004A2320"/>
    <w:rsid w:val="004A3197"/>
    <w:rsid w:val="004A340C"/>
    <w:rsid w:val="004A3E9A"/>
    <w:rsid w:val="004A3F5A"/>
    <w:rsid w:val="004A4CC2"/>
    <w:rsid w:val="004A55E1"/>
    <w:rsid w:val="004A5ED7"/>
    <w:rsid w:val="004A686B"/>
    <w:rsid w:val="004A6F41"/>
    <w:rsid w:val="004A7D3D"/>
    <w:rsid w:val="004B0B89"/>
    <w:rsid w:val="004B0CFA"/>
    <w:rsid w:val="004B17D4"/>
    <w:rsid w:val="004B1959"/>
    <w:rsid w:val="004B1AC5"/>
    <w:rsid w:val="004B25A1"/>
    <w:rsid w:val="004B2632"/>
    <w:rsid w:val="004B2D41"/>
    <w:rsid w:val="004B2E0C"/>
    <w:rsid w:val="004B3410"/>
    <w:rsid w:val="004B36F0"/>
    <w:rsid w:val="004B370E"/>
    <w:rsid w:val="004B3746"/>
    <w:rsid w:val="004B3AC4"/>
    <w:rsid w:val="004B3DF6"/>
    <w:rsid w:val="004B3FFD"/>
    <w:rsid w:val="004B578E"/>
    <w:rsid w:val="004B600D"/>
    <w:rsid w:val="004B65AA"/>
    <w:rsid w:val="004B738F"/>
    <w:rsid w:val="004B790C"/>
    <w:rsid w:val="004C0989"/>
    <w:rsid w:val="004C0F56"/>
    <w:rsid w:val="004C107A"/>
    <w:rsid w:val="004C18DD"/>
    <w:rsid w:val="004C1BEE"/>
    <w:rsid w:val="004C350F"/>
    <w:rsid w:val="004C44BA"/>
    <w:rsid w:val="004C4FF7"/>
    <w:rsid w:val="004C7589"/>
    <w:rsid w:val="004C78AA"/>
    <w:rsid w:val="004C7B6C"/>
    <w:rsid w:val="004D040F"/>
    <w:rsid w:val="004D06E1"/>
    <w:rsid w:val="004D1480"/>
    <w:rsid w:val="004D1857"/>
    <w:rsid w:val="004D2D86"/>
    <w:rsid w:val="004D306D"/>
    <w:rsid w:val="004D4F4D"/>
    <w:rsid w:val="004D5133"/>
    <w:rsid w:val="004D5350"/>
    <w:rsid w:val="004D5481"/>
    <w:rsid w:val="004D57F1"/>
    <w:rsid w:val="004D58BA"/>
    <w:rsid w:val="004D59B8"/>
    <w:rsid w:val="004D5B09"/>
    <w:rsid w:val="004D677B"/>
    <w:rsid w:val="004D6D36"/>
    <w:rsid w:val="004D7449"/>
    <w:rsid w:val="004D7A5B"/>
    <w:rsid w:val="004D7B02"/>
    <w:rsid w:val="004E06E5"/>
    <w:rsid w:val="004E0D61"/>
    <w:rsid w:val="004E16D3"/>
    <w:rsid w:val="004E17C5"/>
    <w:rsid w:val="004E22B1"/>
    <w:rsid w:val="004E2B55"/>
    <w:rsid w:val="004E2E37"/>
    <w:rsid w:val="004E39EA"/>
    <w:rsid w:val="004E4909"/>
    <w:rsid w:val="004E4AC6"/>
    <w:rsid w:val="004E4D90"/>
    <w:rsid w:val="004E6C22"/>
    <w:rsid w:val="004E6D7F"/>
    <w:rsid w:val="004E75B1"/>
    <w:rsid w:val="004E7B10"/>
    <w:rsid w:val="004E7B6D"/>
    <w:rsid w:val="004E7DFD"/>
    <w:rsid w:val="004F0A54"/>
    <w:rsid w:val="004F27DB"/>
    <w:rsid w:val="004F3018"/>
    <w:rsid w:val="004F396F"/>
    <w:rsid w:val="004F43F0"/>
    <w:rsid w:val="004F4DC5"/>
    <w:rsid w:val="004F501C"/>
    <w:rsid w:val="004F504F"/>
    <w:rsid w:val="004F5BC5"/>
    <w:rsid w:val="004F5F74"/>
    <w:rsid w:val="004F6494"/>
    <w:rsid w:val="004F65F5"/>
    <w:rsid w:val="004F6F5D"/>
    <w:rsid w:val="004F76AB"/>
    <w:rsid w:val="004F77A6"/>
    <w:rsid w:val="004F7A98"/>
    <w:rsid w:val="005002AF"/>
    <w:rsid w:val="005006F1"/>
    <w:rsid w:val="00500C0E"/>
    <w:rsid w:val="00501DE7"/>
    <w:rsid w:val="005023C6"/>
    <w:rsid w:val="00502438"/>
    <w:rsid w:val="0050252F"/>
    <w:rsid w:val="0050266F"/>
    <w:rsid w:val="0050339C"/>
    <w:rsid w:val="0050342E"/>
    <w:rsid w:val="00503830"/>
    <w:rsid w:val="0050437D"/>
    <w:rsid w:val="00505509"/>
    <w:rsid w:val="00505A35"/>
    <w:rsid w:val="00505B41"/>
    <w:rsid w:val="00505C05"/>
    <w:rsid w:val="00506192"/>
    <w:rsid w:val="00506505"/>
    <w:rsid w:val="00506990"/>
    <w:rsid w:val="00507699"/>
    <w:rsid w:val="005078AE"/>
    <w:rsid w:val="00511E50"/>
    <w:rsid w:val="0051247A"/>
    <w:rsid w:val="00513526"/>
    <w:rsid w:val="00513E7B"/>
    <w:rsid w:val="00514271"/>
    <w:rsid w:val="005143A6"/>
    <w:rsid w:val="00514723"/>
    <w:rsid w:val="005148FA"/>
    <w:rsid w:val="005149BF"/>
    <w:rsid w:val="005149DA"/>
    <w:rsid w:val="0051537A"/>
    <w:rsid w:val="00515613"/>
    <w:rsid w:val="00515614"/>
    <w:rsid w:val="005160FB"/>
    <w:rsid w:val="0051645E"/>
    <w:rsid w:val="00516D7E"/>
    <w:rsid w:val="00517239"/>
    <w:rsid w:val="005205E9"/>
    <w:rsid w:val="00520D18"/>
    <w:rsid w:val="00520F01"/>
    <w:rsid w:val="0052112F"/>
    <w:rsid w:val="005211F9"/>
    <w:rsid w:val="005219FA"/>
    <w:rsid w:val="00522308"/>
    <w:rsid w:val="00522927"/>
    <w:rsid w:val="00522A1A"/>
    <w:rsid w:val="00522F19"/>
    <w:rsid w:val="005242EA"/>
    <w:rsid w:val="0052467D"/>
    <w:rsid w:val="0052521F"/>
    <w:rsid w:val="00525420"/>
    <w:rsid w:val="005254FC"/>
    <w:rsid w:val="00525680"/>
    <w:rsid w:val="00525BAD"/>
    <w:rsid w:val="00526732"/>
    <w:rsid w:val="00526791"/>
    <w:rsid w:val="005268C7"/>
    <w:rsid w:val="00526F07"/>
    <w:rsid w:val="00527979"/>
    <w:rsid w:val="00530DBE"/>
    <w:rsid w:val="00530F10"/>
    <w:rsid w:val="0053136C"/>
    <w:rsid w:val="005314EC"/>
    <w:rsid w:val="00531AD2"/>
    <w:rsid w:val="00532ACB"/>
    <w:rsid w:val="00533100"/>
    <w:rsid w:val="005358D0"/>
    <w:rsid w:val="00535BC2"/>
    <w:rsid w:val="005361E0"/>
    <w:rsid w:val="00536685"/>
    <w:rsid w:val="00536C19"/>
    <w:rsid w:val="00536D93"/>
    <w:rsid w:val="005371C5"/>
    <w:rsid w:val="0053759B"/>
    <w:rsid w:val="00537CE1"/>
    <w:rsid w:val="0054051E"/>
    <w:rsid w:val="00540602"/>
    <w:rsid w:val="00540D0D"/>
    <w:rsid w:val="00540EB5"/>
    <w:rsid w:val="00541403"/>
    <w:rsid w:val="005417EF"/>
    <w:rsid w:val="00541865"/>
    <w:rsid w:val="00541DDA"/>
    <w:rsid w:val="00541E4C"/>
    <w:rsid w:val="00542614"/>
    <w:rsid w:val="0054278C"/>
    <w:rsid w:val="00543714"/>
    <w:rsid w:val="00543A70"/>
    <w:rsid w:val="00543DB0"/>
    <w:rsid w:val="00543E6E"/>
    <w:rsid w:val="00545AE5"/>
    <w:rsid w:val="00546044"/>
    <w:rsid w:val="0054675F"/>
    <w:rsid w:val="00546BED"/>
    <w:rsid w:val="005479DC"/>
    <w:rsid w:val="00547AA9"/>
    <w:rsid w:val="00550349"/>
    <w:rsid w:val="005505D2"/>
    <w:rsid w:val="00550F28"/>
    <w:rsid w:val="00551023"/>
    <w:rsid w:val="00551581"/>
    <w:rsid w:val="00551B6D"/>
    <w:rsid w:val="00551BA6"/>
    <w:rsid w:val="005522D4"/>
    <w:rsid w:val="0055318E"/>
    <w:rsid w:val="005535DB"/>
    <w:rsid w:val="00553E19"/>
    <w:rsid w:val="00556466"/>
    <w:rsid w:val="0055742F"/>
    <w:rsid w:val="00557525"/>
    <w:rsid w:val="00560BCF"/>
    <w:rsid w:val="00561077"/>
    <w:rsid w:val="0056211A"/>
    <w:rsid w:val="00562DFD"/>
    <w:rsid w:val="00563C2C"/>
    <w:rsid w:val="0056440D"/>
    <w:rsid w:val="00564B1A"/>
    <w:rsid w:val="0056508F"/>
    <w:rsid w:val="00565874"/>
    <w:rsid w:val="00565F52"/>
    <w:rsid w:val="00566106"/>
    <w:rsid w:val="0056765E"/>
    <w:rsid w:val="00567660"/>
    <w:rsid w:val="005709C8"/>
    <w:rsid w:val="00570BA4"/>
    <w:rsid w:val="00570C98"/>
    <w:rsid w:val="00570E79"/>
    <w:rsid w:val="005711CF"/>
    <w:rsid w:val="0057148A"/>
    <w:rsid w:val="00571E23"/>
    <w:rsid w:val="00573049"/>
    <w:rsid w:val="00574365"/>
    <w:rsid w:val="0057498E"/>
    <w:rsid w:val="00574C64"/>
    <w:rsid w:val="00575361"/>
    <w:rsid w:val="00575374"/>
    <w:rsid w:val="00575C17"/>
    <w:rsid w:val="0057621D"/>
    <w:rsid w:val="0057650E"/>
    <w:rsid w:val="005767C2"/>
    <w:rsid w:val="00576A80"/>
    <w:rsid w:val="00577C2C"/>
    <w:rsid w:val="005810C6"/>
    <w:rsid w:val="00581A28"/>
    <w:rsid w:val="00581BD5"/>
    <w:rsid w:val="00582530"/>
    <w:rsid w:val="005832E2"/>
    <w:rsid w:val="005846DD"/>
    <w:rsid w:val="00584DBB"/>
    <w:rsid w:val="0058565D"/>
    <w:rsid w:val="00586FF2"/>
    <w:rsid w:val="005870BF"/>
    <w:rsid w:val="005876E7"/>
    <w:rsid w:val="00587967"/>
    <w:rsid w:val="00587AB9"/>
    <w:rsid w:val="00587F9D"/>
    <w:rsid w:val="00590838"/>
    <w:rsid w:val="0059185D"/>
    <w:rsid w:val="00592397"/>
    <w:rsid w:val="00592DFA"/>
    <w:rsid w:val="0059300E"/>
    <w:rsid w:val="00593557"/>
    <w:rsid w:val="0059384E"/>
    <w:rsid w:val="005947B7"/>
    <w:rsid w:val="005947FB"/>
    <w:rsid w:val="00594DD2"/>
    <w:rsid w:val="00595A19"/>
    <w:rsid w:val="00596B67"/>
    <w:rsid w:val="00596C40"/>
    <w:rsid w:val="00597D72"/>
    <w:rsid w:val="00597E0A"/>
    <w:rsid w:val="005A035D"/>
    <w:rsid w:val="005A13D1"/>
    <w:rsid w:val="005A2F3F"/>
    <w:rsid w:val="005A3478"/>
    <w:rsid w:val="005A3BE4"/>
    <w:rsid w:val="005A3C77"/>
    <w:rsid w:val="005A49A4"/>
    <w:rsid w:val="005A4DFE"/>
    <w:rsid w:val="005A53C9"/>
    <w:rsid w:val="005A63D2"/>
    <w:rsid w:val="005A6E17"/>
    <w:rsid w:val="005A6E90"/>
    <w:rsid w:val="005A789D"/>
    <w:rsid w:val="005B05AD"/>
    <w:rsid w:val="005B0724"/>
    <w:rsid w:val="005B0BA3"/>
    <w:rsid w:val="005B0DDC"/>
    <w:rsid w:val="005B160D"/>
    <w:rsid w:val="005B1A0E"/>
    <w:rsid w:val="005B1FC2"/>
    <w:rsid w:val="005B2045"/>
    <w:rsid w:val="005B36DB"/>
    <w:rsid w:val="005B384C"/>
    <w:rsid w:val="005B40A2"/>
    <w:rsid w:val="005B4385"/>
    <w:rsid w:val="005B4BF5"/>
    <w:rsid w:val="005B50CE"/>
    <w:rsid w:val="005B5205"/>
    <w:rsid w:val="005B59B8"/>
    <w:rsid w:val="005B643F"/>
    <w:rsid w:val="005B679F"/>
    <w:rsid w:val="005B6BA4"/>
    <w:rsid w:val="005C094C"/>
    <w:rsid w:val="005C16DA"/>
    <w:rsid w:val="005C1C2F"/>
    <w:rsid w:val="005C1FA4"/>
    <w:rsid w:val="005C22E2"/>
    <w:rsid w:val="005C255E"/>
    <w:rsid w:val="005C258C"/>
    <w:rsid w:val="005C2706"/>
    <w:rsid w:val="005C3752"/>
    <w:rsid w:val="005C4143"/>
    <w:rsid w:val="005C4C11"/>
    <w:rsid w:val="005C4C48"/>
    <w:rsid w:val="005C5022"/>
    <w:rsid w:val="005C5335"/>
    <w:rsid w:val="005C5B15"/>
    <w:rsid w:val="005C5D23"/>
    <w:rsid w:val="005C66EC"/>
    <w:rsid w:val="005C683C"/>
    <w:rsid w:val="005C7413"/>
    <w:rsid w:val="005D08D8"/>
    <w:rsid w:val="005D11AD"/>
    <w:rsid w:val="005D17CB"/>
    <w:rsid w:val="005D1F02"/>
    <w:rsid w:val="005D2BAF"/>
    <w:rsid w:val="005D2DEC"/>
    <w:rsid w:val="005D2ED9"/>
    <w:rsid w:val="005D40FD"/>
    <w:rsid w:val="005D4E2E"/>
    <w:rsid w:val="005D7455"/>
    <w:rsid w:val="005D78E6"/>
    <w:rsid w:val="005D7B83"/>
    <w:rsid w:val="005E04F5"/>
    <w:rsid w:val="005E1C96"/>
    <w:rsid w:val="005E2D71"/>
    <w:rsid w:val="005E40F8"/>
    <w:rsid w:val="005E493D"/>
    <w:rsid w:val="005E4B83"/>
    <w:rsid w:val="005E5322"/>
    <w:rsid w:val="005E5AF1"/>
    <w:rsid w:val="005E64ED"/>
    <w:rsid w:val="005E7C7B"/>
    <w:rsid w:val="005F11A0"/>
    <w:rsid w:val="005F12BC"/>
    <w:rsid w:val="005F22F2"/>
    <w:rsid w:val="005F23D4"/>
    <w:rsid w:val="005F273A"/>
    <w:rsid w:val="005F2E09"/>
    <w:rsid w:val="005F40E4"/>
    <w:rsid w:val="005F4488"/>
    <w:rsid w:val="005F495D"/>
    <w:rsid w:val="005F533D"/>
    <w:rsid w:val="005F620A"/>
    <w:rsid w:val="005F6D27"/>
    <w:rsid w:val="005F7860"/>
    <w:rsid w:val="00600CCB"/>
    <w:rsid w:val="00600CE0"/>
    <w:rsid w:val="00602F24"/>
    <w:rsid w:val="006031AE"/>
    <w:rsid w:val="00603435"/>
    <w:rsid w:val="006036FC"/>
    <w:rsid w:val="006037E7"/>
    <w:rsid w:val="00603EAF"/>
    <w:rsid w:val="006041C9"/>
    <w:rsid w:val="00604314"/>
    <w:rsid w:val="00604C98"/>
    <w:rsid w:val="006068D4"/>
    <w:rsid w:val="006069B8"/>
    <w:rsid w:val="006073E3"/>
    <w:rsid w:val="006077B7"/>
    <w:rsid w:val="00607D99"/>
    <w:rsid w:val="0061029B"/>
    <w:rsid w:val="0061068C"/>
    <w:rsid w:val="006107A1"/>
    <w:rsid w:val="00610C23"/>
    <w:rsid w:val="0061196E"/>
    <w:rsid w:val="00611A57"/>
    <w:rsid w:val="0061358E"/>
    <w:rsid w:val="0061484B"/>
    <w:rsid w:val="00614BC2"/>
    <w:rsid w:val="00614C6D"/>
    <w:rsid w:val="0061549D"/>
    <w:rsid w:val="006154D3"/>
    <w:rsid w:val="006156CD"/>
    <w:rsid w:val="006161EB"/>
    <w:rsid w:val="00616471"/>
    <w:rsid w:val="006176AF"/>
    <w:rsid w:val="006178D9"/>
    <w:rsid w:val="00617D9F"/>
    <w:rsid w:val="00620E99"/>
    <w:rsid w:val="006219A6"/>
    <w:rsid w:val="006230CE"/>
    <w:rsid w:val="00623445"/>
    <w:rsid w:val="00623BD5"/>
    <w:rsid w:val="006251E1"/>
    <w:rsid w:val="00625719"/>
    <w:rsid w:val="00625999"/>
    <w:rsid w:val="00625A67"/>
    <w:rsid w:val="0062699F"/>
    <w:rsid w:val="00626BD4"/>
    <w:rsid w:val="00626EE0"/>
    <w:rsid w:val="006272C7"/>
    <w:rsid w:val="0062734A"/>
    <w:rsid w:val="006275F6"/>
    <w:rsid w:val="00630384"/>
    <w:rsid w:val="0063057B"/>
    <w:rsid w:val="006305C3"/>
    <w:rsid w:val="00631009"/>
    <w:rsid w:val="00631150"/>
    <w:rsid w:val="006312C9"/>
    <w:rsid w:val="00631727"/>
    <w:rsid w:val="00631D81"/>
    <w:rsid w:val="006325F0"/>
    <w:rsid w:val="006326B8"/>
    <w:rsid w:val="00632B01"/>
    <w:rsid w:val="006337CA"/>
    <w:rsid w:val="00634D16"/>
    <w:rsid w:val="00635531"/>
    <w:rsid w:val="00635C80"/>
    <w:rsid w:val="00635E9A"/>
    <w:rsid w:val="00636CEF"/>
    <w:rsid w:val="0063794D"/>
    <w:rsid w:val="006379F3"/>
    <w:rsid w:val="00640CB4"/>
    <w:rsid w:val="00641C0E"/>
    <w:rsid w:val="00641D2D"/>
    <w:rsid w:val="00641E1B"/>
    <w:rsid w:val="006446CE"/>
    <w:rsid w:val="00644835"/>
    <w:rsid w:val="00644EDF"/>
    <w:rsid w:val="00645F5C"/>
    <w:rsid w:val="0064635C"/>
    <w:rsid w:val="00646806"/>
    <w:rsid w:val="00647C0D"/>
    <w:rsid w:val="006500D3"/>
    <w:rsid w:val="0065081B"/>
    <w:rsid w:val="006508C8"/>
    <w:rsid w:val="006517B7"/>
    <w:rsid w:val="00651916"/>
    <w:rsid w:val="00651CE1"/>
    <w:rsid w:val="00652B25"/>
    <w:rsid w:val="0065329F"/>
    <w:rsid w:val="006534F7"/>
    <w:rsid w:val="006535BA"/>
    <w:rsid w:val="00654FFC"/>
    <w:rsid w:val="00655BC9"/>
    <w:rsid w:val="00655DB5"/>
    <w:rsid w:val="00656019"/>
    <w:rsid w:val="00656C52"/>
    <w:rsid w:val="0066145D"/>
    <w:rsid w:val="006625DB"/>
    <w:rsid w:val="0066288E"/>
    <w:rsid w:val="00662ADA"/>
    <w:rsid w:val="00662BB2"/>
    <w:rsid w:val="00664126"/>
    <w:rsid w:val="00664145"/>
    <w:rsid w:val="00664287"/>
    <w:rsid w:val="00665307"/>
    <w:rsid w:val="006654CF"/>
    <w:rsid w:val="00665814"/>
    <w:rsid w:val="006660F3"/>
    <w:rsid w:val="00666742"/>
    <w:rsid w:val="0066683E"/>
    <w:rsid w:val="006669A9"/>
    <w:rsid w:val="0066723D"/>
    <w:rsid w:val="006702E9"/>
    <w:rsid w:val="00670450"/>
    <w:rsid w:val="00670471"/>
    <w:rsid w:val="0067065B"/>
    <w:rsid w:val="006706F6"/>
    <w:rsid w:val="00670B66"/>
    <w:rsid w:val="00670E57"/>
    <w:rsid w:val="00671CEA"/>
    <w:rsid w:val="006723F4"/>
    <w:rsid w:val="00673B0B"/>
    <w:rsid w:val="00673B57"/>
    <w:rsid w:val="00673FA0"/>
    <w:rsid w:val="006745D2"/>
    <w:rsid w:val="00674622"/>
    <w:rsid w:val="00675528"/>
    <w:rsid w:val="0067582B"/>
    <w:rsid w:val="00675E20"/>
    <w:rsid w:val="00676210"/>
    <w:rsid w:val="006768F1"/>
    <w:rsid w:val="006775EC"/>
    <w:rsid w:val="00677B80"/>
    <w:rsid w:val="006801E4"/>
    <w:rsid w:val="0068122C"/>
    <w:rsid w:val="00681607"/>
    <w:rsid w:val="00681DFA"/>
    <w:rsid w:val="00682ECE"/>
    <w:rsid w:val="00683509"/>
    <w:rsid w:val="00683E1D"/>
    <w:rsid w:val="00683EC1"/>
    <w:rsid w:val="0068431A"/>
    <w:rsid w:val="00684500"/>
    <w:rsid w:val="00684686"/>
    <w:rsid w:val="00685066"/>
    <w:rsid w:val="006850FE"/>
    <w:rsid w:val="0068574C"/>
    <w:rsid w:val="0068692D"/>
    <w:rsid w:val="00686BAE"/>
    <w:rsid w:val="006870D4"/>
    <w:rsid w:val="00687ED1"/>
    <w:rsid w:val="00690303"/>
    <w:rsid w:val="00690385"/>
    <w:rsid w:val="00690F6C"/>
    <w:rsid w:val="00692378"/>
    <w:rsid w:val="0069386F"/>
    <w:rsid w:val="00693DE1"/>
    <w:rsid w:val="00693FEA"/>
    <w:rsid w:val="00694A3B"/>
    <w:rsid w:val="00694CAF"/>
    <w:rsid w:val="00695003"/>
    <w:rsid w:val="0069513F"/>
    <w:rsid w:val="006955A8"/>
    <w:rsid w:val="006956AE"/>
    <w:rsid w:val="00695953"/>
    <w:rsid w:val="00695B5B"/>
    <w:rsid w:val="0069677D"/>
    <w:rsid w:val="00696A7D"/>
    <w:rsid w:val="0069754F"/>
    <w:rsid w:val="00697579"/>
    <w:rsid w:val="00697DB8"/>
    <w:rsid w:val="006A097F"/>
    <w:rsid w:val="006A14E6"/>
    <w:rsid w:val="006A206C"/>
    <w:rsid w:val="006A2391"/>
    <w:rsid w:val="006A2C3D"/>
    <w:rsid w:val="006A2F28"/>
    <w:rsid w:val="006A31C8"/>
    <w:rsid w:val="006A333A"/>
    <w:rsid w:val="006A37E6"/>
    <w:rsid w:val="006A3920"/>
    <w:rsid w:val="006A4575"/>
    <w:rsid w:val="006A4A6B"/>
    <w:rsid w:val="006A5EEE"/>
    <w:rsid w:val="006A6C49"/>
    <w:rsid w:val="006A6C9F"/>
    <w:rsid w:val="006A6E03"/>
    <w:rsid w:val="006A7076"/>
    <w:rsid w:val="006A70DE"/>
    <w:rsid w:val="006B015C"/>
    <w:rsid w:val="006B0A47"/>
    <w:rsid w:val="006B1BD4"/>
    <w:rsid w:val="006B2265"/>
    <w:rsid w:val="006B2347"/>
    <w:rsid w:val="006B267F"/>
    <w:rsid w:val="006B2916"/>
    <w:rsid w:val="006B3F9C"/>
    <w:rsid w:val="006B409D"/>
    <w:rsid w:val="006B4159"/>
    <w:rsid w:val="006B4CC2"/>
    <w:rsid w:val="006B5DB6"/>
    <w:rsid w:val="006B5F78"/>
    <w:rsid w:val="006B602B"/>
    <w:rsid w:val="006B67FB"/>
    <w:rsid w:val="006B6B5E"/>
    <w:rsid w:val="006B7D2F"/>
    <w:rsid w:val="006C03EF"/>
    <w:rsid w:val="006C10F6"/>
    <w:rsid w:val="006C11A4"/>
    <w:rsid w:val="006C28F2"/>
    <w:rsid w:val="006C32B8"/>
    <w:rsid w:val="006C33A1"/>
    <w:rsid w:val="006C3B27"/>
    <w:rsid w:val="006C3BF5"/>
    <w:rsid w:val="006C45A4"/>
    <w:rsid w:val="006C5401"/>
    <w:rsid w:val="006C57CE"/>
    <w:rsid w:val="006C584B"/>
    <w:rsid w:val="006C5AA0"/>
    <w:rsid w:val="006C6BA2"/>
    <w:rsid w:val="006D04C5"/>
    <w:rsid w:val="006D123D"/>
    <w:rsid w:val="006D228F"/>
    <w:rsid w:val="006D2735"/>
    <w:rsid w:val="006D29EE"/>
    <w:rsid w:val="006D38BC"/>
    <w:rsid w:val="006D3BF3"/>
    <w:rsid w:val="006D3D9A"/>
    <w:rsid w:val="006D3FEC"/>
    <w:rsid w:val="006D551E"/>
    <w:rsid w:val="006D5EBB"/>
    <w:rsid w:val="006D661E"/>
    <w:rsid w:val="006D714E"/>
    <w:rsid w:val="006D755A"/>
    <w:rsid w:val="006D7F71"/>
    <w:rsid w:val="006E0078"/>
    <w:rsid w:val="006E01FA"/>
    <w:rsid w:val="006E0273"/>
    <w:rsid w:val="006E074C"/>
    <w:rsid w:val="006E0D77"/>
    <w:rsid w:val="006E10E9"/>
    <w:rsid w:val="006E1DEB"/>
    <w:rsid w:val="006E2BC0"/>
    <w:rsid w:val="006E2F02"/>
    <w:rsid w:val="006E36BA"/>
    <w:rsid w:val="006E388D"/>
    <w:rsid w:val="006E3B57"/>
    <w:rsid w:val="006E3E2F"/>
    <w:rsid w:val="006E4618"/>
    <w:rsid w:val="006E49A7"/>
    <w:rsid w:val="006E4AC9"/>
    <w:rsid w:val="006E655E"/>
    <w:rsid w:val="006E6D93"/>
    <w:rsid w:val="006E6DB0"/>
    <w:rsid w:val="006E71B8"/>
    <w:rsid w:val="006E7396"/>
    <w:rsid w:val="006E780A"/>
    <w:rsid w:val="006E7B8A"/>
    <w:rsid w:val="006F0353"/>
    <w:rsid w:val="006F15A1"/>
    <w:rsid w:val="006F17B8"/>
    <w:rsid w:val="006F1FF7"/>
    <w:rsid w:val="006F23E0"/>
    <w:rsid w:val="006F37BD"/>
    <w:rsid w:val="006F496B"/>
    <w:rsid w:val="006F52B6"/>
    <w:rsid w:val="006F5827"/>
    <w:rsid w:val="006F590C"/>
    <w:rsid w:val="006F6753"/>
    <w:rsid w:val="006F7369"/>
    <w:rsid w:val="006F7382"/>
    <w:rsid w:val="006F7533"/>
    <w:rsid w:val="007006F9"/>
    <w:rsid w:val="00701EC1"/>
    <w:rsid w:val="007025EA"/>
    <w:rsid w:val="007031FC"/>
    <w:rsid w:val="007038AC"/>
    <w:rsid w:val="00704BA8"/>
    <w:rsid w:val="007063DE"/>
    <w:rsid w:val="007069B3"/>
    <w:rsid w:val="00706E8F"/>
    <w:rsid w:val="00707132"/>
    <w:rsid w:val="00707246"/>
    <w:rsid w:val="007073F9"/>
    <w:rsid w:val="00707E06"/>
    <w:rsid w:val="00710F6D"/>
    <w:rsid w:val="007119AA"/>
    <w:rsid w:val="00711C35"/>
    <w:rsid w:val="00711E49"/>
    <w:rsid w:val="007122CF"/>
    <w:rsid w:val="00712D35"/>
    <w:rsid w:val="00713670"/>
    <w:rsid w:val="0071377D"/>
    <w:rsid w:val="00713A29"/>
    <w:rsid w:val="00713A9E"/>
    <w:rsid w:val="00714383"/>
    <w:rsid w:val="007147C3"/>
    <w:rsid w:val="0071506D"/>
    <w:rsid w:val="007154AA"/>
    <w:rsid w:val="00716728"/>
    <w:rsid w:val="00716E0D"/>
    <w:rsid w:val="007175D6"/>
    <w:rsid w:val="00720F31"/>
    <w:rsid w:val="0072143E"/>
    <w:rsid w:val="00721DC0"/>
    <w:rsid w:val="00721DC5"/>
    <w:rsid w:val="007224C7"/>
    <w:rsid w:val="007228FA"/>
    <w:rsid w:val="00723462"/>
    <w:rsid w:val="007239FA"/>
    <w:rsid w:val="00723B1A"/>
    <w:rsid w:val="00724677"/>
    <w:rsid w:val="00725564"/>
    <w:rsid w:val="00725668"/>
    <w:rsid w:val="00725915"/>
    <w:rsid w:val="00725A97"/>
    <w:rsid w:val="00725C25"/>
    <w:rsid w:val="00726BCF"/>
    <w:rsid w:val="00727F69"/>
    <w:rsid w:val="00730CD2"/>
    <w:rsid w:val="00731938"/>
    <w:rsid w:val="007329AE"/>
    <w:rsid w:val="00732C5E"/>
    <w:rsid w:val="00732DF0"/>
    <w:rsid w:val="0073369E"/>
    <w:rsid w:val="0073607C"/>
    <w:rsid w:val="00740273"/>
    <w:rsid w:val="007408A6"/>
    <w:rsid w:val="00741881"/>
    <w:rsid w:val="00741BC6"/>
    <w:rsid w:val="00742739"/>
    <w:rsid w:val="007427F9"/>
    <w:rsid w:val="00742CE4"/>
    <w:rsid w:val="00743C9F"/>
    <w:rsid w:val="007446EA"/>
    <w:rsid w:val="007447E0"/>
    <w:rsid w:val="0074518A"/>
    <w:rsid w:val="007453D2"/>
    <w:rsid w:val="00745722"/>
    <w:rsid w:val="00746253"/>
    <w:rsid w:val="00746878"/>
    <w:rsid w:val="00747260"/>
    <w:rsid w:val="007477B6"/>
    <w:rsid w:val="0074789E"/>
    <w:rsid w:val="0075025D"/>
    <w:rsid w:val="00750326"/>
    <w:rsid w:val="007506E0"/>
    <w:rsid w:val="00750828"/>
    <w:rsid w:val="00751422"/>
    <w:rsid w:val="00751473"/>
    <w:rsid w:val="00752078"/>
    <w:rsid w:val="00752123"/>
    <w:rsid w:val="00752CBD"/>
    <w:rsid w:val="00753F3D"/>
    <w:rsid w:val="0075425C"/>
    <w:rsid w:val="00754718"/>
    <w:rsid w:val="0075497D"/>
    <w:rsid w:val="00754B3D"/>
    <w:rsid w:val="00754C1D"/>
    <w:rsid w:val="00755B83"/>
    <w:rsid w:val="00755E6B"/>
    <w:rsid w:val="0075625A"/>
    <w:rsid w:val="00756F6B"/>
    <w:rsid w:val="007578DF"/>
    <w:rsid w:val="00760CA8"/>
    <w:rsid w:val="0076132E"/>
    <w:rsid w:val="00761B78"/>
    <w:rsid w:val="007620EA"/>
    <w:rsid w:val="00762CAA"/>
    <w:rsid w:val="0076347D"/>
    <w:rsid w:val="00763C26"/>
    <w:rsid w:val="00763CEB"/>
    <w:rsid w:val="00764107"/>
    <w:rsid w:val="0076526F"/>
    <w:rsid w:val="0076632F"/>
    <w:rsid w:val="007669C7"/>
    <w:rsid w:val="00767025"/>
    <w:rsid w:val="00770574"/>
    <w:rsid w:val="00770585"/>
    <w:rsid w:val="00770D3E"/>
    <w:rsid w:val="00771105"/>
    <w:rsid w:val="00771924"/>
    <w:rsid w:val="00772A49"/>
    <w:rsid w:val="00772A62"/>
    <w:rsid w:val="007732BB"/>
    <w:rsid w:val="00773DAF"/>
    <w:rsid w:val="00774219"/>
    <w:rsid w:val="00774896"/>
    <w:rsid w:val="00775863"/>
    <w:rsid w:val="00775BDE"/>
    <w:rsid w:val="00775FD4"/>
    <w:rsid w:val="007763A7"/>
    <w:rsid w:val="00776A08"/>
    <w:rsid w:val="0077721E"/>
    <w:rsid w:val="0077728C"/>
    <w:rsid w:val="00777687"/>
    <w:rsid w:val="00777922"/>
    <w:rsid w:val="00777F52"/>
    <w:rsid w:val="0078017E"/>
    <w:rsid w:val="00780C66"/>
    <w:rsid w:val="00780DEA"/>
    <w:rsid w:val="0078118B"/>
    <w:rsid w:val="00781340"/>
    <w:rsid w:val="00781453"/>
    <w:rsid w:val="0078154A"/>
    <w:rsid w:val="00781F79"/>
    <w:rsid w:val="0078265C"/>
    <w:rsid w:val="007826D2"/>
    <w:rsid w:val="00782EA8"/>
    <w:rsid w:val="00784A1B"/>
    <w:rsid w:val="00784A9B"/>
    <w:rsid w:val="00784B49"/>
    <w:rsid w:val="007852CF"/>
    <w:rsid w:val="007856B6"/>
    <w:rsid w:val="007858F7"/>
    <w:rsid w:val="0078621F"/>
    <w:rsid w:val="00786419"/>
    <w:rsid w:val="0078717D"/>
    <w:rsid w:val="00787D0C"/>
    <w:rsid w:val="00790152"/>
    <w:rsid w:val="00790BEA"/>
    <w:rsid w:val="007916B1"/>
    <w:rsid w:val="00791DF6"/>
    <w:rsid w:val="0079273D"/>
    <w:rsid w:val="00793477"/>
    <w:rsid w:val="007965F9"/>
    <w:rsid w:val="007974A1"/>
    <w:rsid w:val="007977E1"/>
    <w:rsid w:val="00797DB4"/>
    <w:rsid w:val="007A0E60"/>
    <w:rsid w:val="007A1E9E"/>
    <w:rsid w:val="007A21B9"/>
    <w:rsid w:val="007A2C93"/>
    <w:rsid w:val="007A3CC0"/>
    <w:rsid w:val="007A4E9F"/>
    <w:rsid w:val="007A50F7"/>
    <w:rsid w:val="007A5D96"/>
    <w:rsid w:val="007A617F"/>
    <w:rsid w:val="007A6589"/>
    <w:rsid w:val="007A7A08"/>
    <w:rsid w:val="007A7E85"/>
    <w:rsid w:val="007B0B45"/>
    <w:rsid w:val="007B2A2B"/>
    <w:rsid w:val="007B2B08"/>
    <w:rsid w:val="007B2DC4"/>
    <w:rsid w:val="007B30B6"/>
    <w:rsid w:val="007B346D"/>
    <w:rsid w:val="007B61EC"/>
    <w:rsid w:val="007B6307"/>
    <w:rsid w:val="007B79FA"/>
    <w:rsid w:val="007B7B7E"/>
    <w:rsid w:val="007B7D18"/>
    <w:rsid w:val="007C0142"/>
    <w:rsid w:val="007C0261"/>
    <w:rsid w:val="007C062B"/>
    <w:rsid w:val="007C1382"/>
    <w:rsid w:val="007C1B75"/>
    <w:rsid w:val="007C1CDA"/>
    <w:rsid w:val="007C270F"/>
    <w:rsid w:val="007C27E1"/>
    <w:rsid w:val="007C2974"/>
    <w:rsid w:val="007C3450"/>
    <w:rsid w:val="007C4107"/>
    <w:rsid w:val="007C45E4"/>
    <w:rsid w:val="007C5585"/>
    <w:rsid w:val="007C66DC"/>
    <w:rsid w:val="007C6FA9"/>
    <w:rsid w:val="007C7710"/>
    <w:rsid w:val="007C7D45"/>
    <w:rsid w:val="007D0328"/>
    <w:rsid w:val="007D032B"/>
    <w:rsid w:val="007D06A1"/>
    <w:rsid w:val="007D0C48"/>
    <w:rsid w:val="007D11EC"/>
    <w:rsid w:val="007D2251"/>
    <w:rsid w:val="007D2674"/>
    <w:rsid w:val="007D3168"/>
    <w:rsid w:val="007D32F2"/>
    <w:rsid w:val="007D36F6"/>
    <w:rsid w:val="007D3BF9"/>
    <w:rsid w:val="007D3F44"/>
    <w:rsid w:val="007D42DB"/>
    <w:rsid w:val="007D55F4"/>
    <w:rsid w:val="007D5FAA"/>
    <w:rsid w:val="007D7B82"/>
    <w:rsid w:val="007D7DE5"/>
    <w:rsid w:val="007E05DA"/>
    <w:rsid w:val="007E0D7E"/>
    <w:rsid w:val="007E1955"/>
    <w:rsid w:val="007E2011"/>
    <w:rsid w:val="007E205F"/>
    <w:rsid w:val="007E2237"/>
    <w:rsid w:val="007E291F"/>
    <w:rsid w:val="007E2D8D"/>
    <w:rsid w:val="007E3563"/>
    <w:rsid w:val="007E4C9A"/>
    <w:rsid w:val="007E4E33"/>
    <w:rsid w:val="007E51F7"/>
    <w:rsid w:val="007E6ABD"/>
    <w:rsid w:val="007E7137"/>
    <w:rsid w:val="007E7976"/>
    <w:rsid w:val="007F01A7"/>
    <w:rsid w:val="007F0232"/>
    <w:rsid w:val="007F096C"/>
    <w:rsid w:val="007F1554"/>
    <w:rsid w:val="007F17AD"/>
    <w:rsid w:val="007F1822"/>
    <w:rsid w:val="007F182D"/>
    <w:rsid w:val="007F35FA"/>
    <w:rsid w:val="007F446E"/>
    <w:rsid w:val="007F5142"/>
    <w:rsid w:val="007F609A"/>
    <w:rsid w:val="007F64FB"/>
    <w:rsid w:val="007F72FA"/>
    <w:rsid w:val="007F7C69"/>
    <w:rsid w:val="0080002E"/>
    <w:rsid w:val="00800809"/>
    <w:rsid w:val="008009DB"/>
    <w:rsid w:val="00803BB2"/>
    <w:rsid w:val="00804BA5"/>
    <w:rsid w:val="00805BA4"/>
    <w:rsid w:val="00806657"/>
    <w:rsid w:val="0080673A"/>
    <w:rsid w:val="0080694A"/>
    <w:rsid w:val="00806F99"/>
    <w:rsid w:val="00807190"/>
    <w:rsid w:val="0080768C"/>
    <w:rsid w:val="00807B16"/>
    <w:rsid w:val="00807C83"/>
    <w:rsid w:val="0081017A"/>
    <w:rsid w:val="00812328"/>
    <w:rsid w:val="008134EC"/>
    <w:rsid w:val="00813740"/>
    <w:rsid w:val="008149DD"/>
    <w:rsid w:val="00815058"/>
    <w:rsid w:val="00815084"/>
    <w:rsid w:val="0081564B"/>
    <w:rsid w:val="00815E99"/>
    <w:rsid w:val="00816CA4"/>
    <w:rsid w:val="00816D23"/>
    <w:rsid w:val="00820522"/>
    <w:rsid w:val="00820AB4"/>
    <w:rsid w:val="00824D28"/>
    <w:rsid w:val="0082547B"/>
    <w:rsid w:val="00826AB1"/>
    <w:rsid w:val="00826B07"/>
    <w:rsid w:val="00827054"/>
    <w:rsid w:val="008276B8"/>
    <w:rsid w:val="00827757"/>
    <w:rsid w:val="0083008B"/>
    <w:rsid w:val="0083084D"/>
    <w:rsid w:val="00831DFD"/>
    <w:rsid w:val="00832AB7"/>
    <w:rsid w:val="0083347A"/>
    <w:rsid w:val="00833663"/>
    <w:rsid w:val="0083436C"/>
    <w:rsid w:val="0083459E"/>
    <w:rsid w:val="00834D11"/>
    <w:rsid w:val="00835358"/>
    <w:rsid w:val="0083535F"/>
    <w:rsid w:val="008357E3"/>
    <w:rsid w:val="00835940"/>
    <w:rsid w:val="00835E13"/>
    <w:rsid w:val="008364F8"/>
    <w:rsid w:val="008373F9"/>
    <w:rsid w:val="00840581"/>
    <w:rsid w:val="00840DA2"/>
    <w:rsid w:val="008411C3"/>
    <w:rsid w:val="00842543"/>
    <w:rsid w:val="00842A5B"/>
    <w:rsid w:val="0084301F"/>
    <w:rsid w:val="00844402"/>
    <w:rsid w:val="00844726"/>
    <w:rsid w:val="00844A2A"/>
    <w:rsid w:val="00844E35"/>
    <w:rsid w:val="008456D8"/>
    <w:rsid w:val="00846468"/>
    <w:rsid w:val="008467DE"/>
    <w:rsid w:val="00846FFE"/>
    <w:rsid w:val="00847337"/>
    <w:rsid w:val="00847486"/>
    <w:rsid w:val="008476FC"/>
    <w:rsid w:val="00847B7C"/>
    <w:rsid w:val="008503B1"/>
    <w:rsid w:val="00850537"/>
    <w:rsid w:val="008507FB"/>
    <w:rsid w:val="00850AE4"/>
    <w:rsid w:val="00850C95"/>
    <w:rsid w:val="008516EC"/>
    <w:rsid w:val="008519FB"/>
    <w:rsid w:val="00851C17"/>
    <w:rsid w:val="00851C57"/>
    <w:rsid w:val="00851D0C"/>
    <w:rsid w:val="008522B3"/>
    <w:rsid w:val="008526C2"/>
    <w:rsid w:val="00852B6C"/>
    <w:rsid w:val="0085425D"/>
    <w:rsid w:val="00854562"/>
    <w:rsid w:val="00854E95"/>
    <w:rsid w:val="00856776"/>
    <w:rsid w:val="00856D04"/>
    <w:rsid w:val="00857599"/>
    <w:rsid w:val="00857C31"/>
    <w:rsid w:val="00860647"/>
    <w:rsid w:val="00860E1E"/>
    <w:rsid w:val="008618F1"/>
    <w:rsid w:val="00863500"/>
    <w:rsid w:val="008636B2"/>
    <w:rsid w:val="008641E4"/>
    <w:rsid w:val="00864307"/>
    <w:rsid w:val="008643B1"/>
    <w:rsid w:val="00864832"/>
    <w:rsid w:val="00864CF1"/>
    <w:rsid w:val="00864E24"/>
    <w:rsid w:val="00865C92"/>
    <w:rsid w:val="00865E25"/>
    <w:rsid w:val="00866DA3"/>
    <w:rsid w:val="008675C3"/>
    <w:rsid w:val="00870A44"/>
    <w:rsid w:val="008715D9"/>
    <w:rsid w:val="0087324C"/>
    <w:rsid w:val="00873502"/>
    <w:rsid w:val="00873E4B"/>
    <w:rsid w:val="00874399"/>
    <w:rsid w:val="008748A9"/>
    <w:rsid w:val="0087494A"/>
    <w:rsid w:val="00874D06"/>
    <w:rsid w:val="00874FBB"/>
    <w:rsid w:val="008758B7"/>
    <w:rsid w:val="008764E9"/>
    <w:rsid w:val="008769E2"/>
    <w:rsid w:val="00876D63"/>
    <w:rsid w:val="00876F36"/>
    <w:rsid w:val="00877037"/>
    <w:rsid w:val="00877BF8"/>
    <w:rsid w:val="00880838"/>
    <w:rsid w:val="00880EFC"/>
    <w:rsid w:val="008810C2"/>
    <w:rsid w:val="0088153A"/>
    <w:rsid w:val="00881888"/>
    <w:rsid w:val="00881F67"/>
    <w:rsid w:val="008820E2"/>
    <w:rsid w:val="00882D50"/>
    <w:rsid w:val="008835CE"/>
    <w:rsid w:val="00883815"/>
    <w:rsid w:val="00884AD3"/>
    <w:rsid w:val="00885318"/>
    <w:rsid w:val="00885DB3"/>
    <w:rsid w:val="0088775A"/>
    <w:rsid w:val="008879A2"/>
    <w:rsid w:val="00887A9A"/>
    <w:rsid w:val="0089066D"/>
    <w:rsid w:val="00890A45"/>
    <w:rsid w:val="00890E1E"/>
    <w:rsid w:val="0089116D"/>
    <w:rsid w:val="00892226"/>
    <w:rsid w:val="00892BBE"/>
    <w:rsid w:val="00893F98"/>
    <w:rsid w:val="008940A1"/>
    <w:rsid w:val="00894DA4"/>
    <w:rsid w:val="00895080"/>
    <w:rsid w:val="008956F1"/>
    <w:rsid w:val="00896023"/>
    <w:rsid w:val="00896243"/>
    <w:rsid w:val="00896560"/>
    <w:rsid w:val="00896868"/>
    <w:rsid w:val="008979A0"/>
    <w:rsid w:val="008A0685"/>
    <w:rsid w:val="008A10C9"/>
    <w:rsid w:val="008A13D6"/>
    <w:rsid w:val="008A23CE"/>
    <w:rsid w:val="008A348E"/>
    <w:rsid w:val="008A3DD6"/>
    <w:rsid w:val="008A5107"/>
    <w:rsid w:val="008A5214"/>
    <w:rsid w:val="008A5A05"/>
    <w:rsid w:val="008A5A9C"/>
    <w:rsid w:val="008A63B2"/>
    <w:rsid w:val="008A666E"/>
    <w:rsid w:val="008A78E5"/>
    <w:rsid w:val="008B0E17"/>
    <w:rsid w:val="008B0E84"/>
    <w:rsid w:val="008B1107"/>
    <w:rsid w:val="008B1892"/>
    <w:rsid w:val="008B29C3"/>
    <w:rsid w:val="008B2B85"/>
    <w:rsid w:val="008B2D7E"/>
    <w:rsid w:val="008B3719"/>
    <w:rsid w:val="008B3842"/>
    <w:rsid w:val="008B399F"/>
    <w:rsid w:val="008B39B2"/>
    <w:rsid w:val="008B3AD2"/>
    <w:rsid w:val="008B3D6C"/>
    <w:rsid w:val="008B4206"/>
    <w:rsid w:val="008B4659"/>
    <w:rsid w:val="008B4722"/>
    <w:rsid w:val="008B535D"/>
    <w:rsid w:val="008B58F4"/>
    <w:rsid w:val="008B5A9A"/>
    <w:rsid w:val="008B5EBD"/>
    <w:rsid w:val="008B77BD"/>
    <w:rsid w:val="008B7F07"/>
    <w:rsid w:val="008C03B1"/>
    <w:rsid w:val="008C0655"/>
    <w:rsid w:val="008C255A"/>
    <w:rsid w:val="008C292B"/>
    <w:rsid w:val="008C3644"/>
    <w:rsid w:val="008C3929"/>
    <w:rsid w:val="008C3F89"/>
    <w:rsid w:val="008C586D"/>
    <w:rsid w:val="008C5CA0"/>
    <w:rsid w:val="008C605D"/>
    <w:rsid w:val="008C7104"/>
    <w:rsid w:val="008D0A71"/>
    <w:rsid w:val="008D0C0E"/>
    <w:rsid w:val="008D144C"/>
    <w:rsid w:val="008D16E9"/>
    <w:rsid w:val="008D2204"/>
    <w:rsid w:val="008D35AC"/>
    <w:rsid w:val="008D38BD"/>
    <w:rsid w:val="008D3EB0"/>
    <w:rsid w:val="008D48AF"/>
    <w:rsid w:val="008D5D9A"/>
    <w:rsid w:val="008D7ADD"/>
    <w:rsid w:val="008E0B4C"/>
    <w:rsid w:val="008E158D"/>
    <w:rsid w:val="008E174F"/>
    <w:rsid w:val="008E19EC"/>
    <w:rsid w:val="008E1A86"/>
    <w:rsid w:val="008E2418"/>
    <w:rsid w:val="008E2757"/>
    <w:rsid w:val="008E2FDE"/>
    <w:rsid w:val="008E31F7"/>
    <w:rsid w:val="008E3834"/>
    <w:rsid w:val="008E38EC"/>
    <w:rsid w:val="008E3AD9"/>
    <w:rsid w:val="008E3C1B"/>
    <w:rsid w:val="008E4E54"/>
    <w:rsid w:val="008E5353"/>
    <w:rsid w:val="008E564C"/>
    <w:rsid w:val="008E57D9"/>
    <w:rsid w:val="008E5835"/>
    <w:rsid w:val="008E5B43"/>
    <w:rsid w:val="008E78FE"/>
    <w:rsid w:val="008E7D22"/>
    <w:rsid w:val="008E7F48"/>
    <w:rsid w:val="008E7FC1"/>
    <w:rsid w:val="008F071D"/>
    <w:rsid w:val="008F08EB"/>
    <w:rsid w:val="008F0AA3"/>
    <w:rsid w:val="008F1106"/>
    <w:rsid w:val="008F13D3"/>
    <w:rsid w:val="008F143D"/>
    <w:rsid w:val="008F1C3F"/>
    <w:rsid w:val="008F3336"/>
    <w:rsid w:val="008F460C"/>
    <w:rsid w:val="008F4E11"/>
    <w:rsid w:val="008F5566"/>
    <w:rsid w:val="008F618B"/>
    <w:rsid w:val="008F627C"/>
    <w:rsid w:val="008F64FF"/>
    <w:rsid w:val="008F68BA"/>
    <w:rsid w:val="008F6AE1"/>
    <w:rsid w:val="008F6B0B"/>
    <w:rsid w:val="008F79D2"/>
    <w:rsid w:val="008F7B9B"/>
    <w:rsid w:val="008F7DC1"/>
    <w:rsid w:val="00900619"/>
    <w:rsid w:val="009006A5"/>
    <w:rsid w:val="00900883"/>
    <w:rsid w:val="00901B41"/>
    <w:rsid w:val="009032FB"/>
    <w:rsid w:val="0090347D"/>
    <w:rsid w:val="00903DBE"/>
    <w:rsid w:val="009040FD"/>
    <w:rsid w:val="00904697"/>
    <w:rsid w:val="00904A57"/>
    <w:rsid w:val="00905109"/>
    <w:rsid w:val="0090555E"/>
    <w:rsid w:val="009064A0"/>
    <w:rsid w:val="0090692F"/>
    <w:rsid w:val="00907576"/>
    <w:rsid w:val="0090763C"/>
    <w:rsid w:val="009114EF"/>
    <w:rsid w:val="00912075"/>
    <w:rsid w:val="00913869"/>
    <w:rsid w:val="00913B92"/>
    <w:rsid w:val="0091431D"/>
    <w:rsid w:val="0091446D"/>
    <w:rsid w:val="009153C2"/>
    <w:rsid w:val="0091587F"/>
    <w:rsid w:val="00915966"/>
    <w:rsid w:val="00915B58"/>
    <w:rsid w:val="00915D03"/>
    <w:rsid w:val="00915F9D"/>
    <w:rsid w:val="00916697"/>
    <w:rsid w:val="00916859"/>
    <w:rsid w:val="00916F2F"/>
    <w:rsid w:val="00916FC6"/>
    <w:rsid w:val="0091727C"/>
    <w:rsid w:val="009176AE"/>
    <w:rsid w:val="00917F13"/>
    <w:rsid w:val="009200AC"/>
    <w:rsid w:val="009200D9"/>
    <w:rsid w:val="00920199"/>
    <w:rsid w:val="00922777"/>
    <w:rsid w:val="00923111"/>
    <w:rsid w:val="00923CB9"/>
    <w:rsid w:val="00923F39"/>
    <w:rsid w:val="00924119"/>
    <w:rsid w:val="00924900"/>
    <w:rsid w:val="00924B68"/>
    <w:rsid w:val="009261EE"/>
    <w:rsid w:val="00927AAE"/>
    <w:rsid w:val="00927CDF"/>
    <w:rsid w:val="00930A33"/>
    <w:rsid w:val="009320D4"/>
    <w:rsid w:val="00932173"/>
    <w:rsid w:val="00932222"/>
    <w:rsid w:val="00932A24"/>
    <w:rsid w:val="009335F2"/>
    <w:rsid w:val="00933B51"/>
    <w:rsid w:val="009340CF"/>
    <w:rsid w:val="0093457F"/>
    <w:rsid w:val="00934630"/>
    <w:rsid w:val="009346D3"/>
    <w:rsid w:val="00935215"/>
    <w:rsid w:val="00935B86"/>
    <w:rsid w:val="00935F1D"/>
    <w:rsid w:val="0093641E"/>
    <w:rsid w:val="009375B8"/>
    <w:rsid w:val="009405F8"/>
    <w:rsid w:val="00940F6E"/>
    <w:rsid w:val="00942068"/>
    <w:rsid w:val="00943109"/>
    <w:rsid w:val="00943801"/>
    <w:rsid w:val="00944387"/>
    <w:rsid w:val="009445DC"/>
    <w:rsid w:val="00944ECE"/>
    <w:rsid w:val="00945626"/>
    <w:rsid w:val="00945AE3"/>
    <w:rsid w:val="00945EBA"/>
    <w:rsid w:val="00946239"/>
    <w:rsid w:val="00946CCB"/>
    <w:rsid w:val="00950209"/>
    <w:rsid w:val="009506AB"/>
    <w:rsid w:val="00951494"/>
    <w:rsid w:val="009515F4"/>
    <w:rsid w:val="0095168E"/>
    <w:rsid w:val="0095225B"/>
    <w:rsid w:val="009522A7"/>
    <w:rsid w:val="00952764"/>
    <w:rsid w:val="00952C5B"/>
    <w:rsid w:val="00953537"/>
    <w:rsid w:val="009539F1"/>
    <w:rsid w:val="00953FA3"/>
    <w:rsid w:val="00954004"/>
    <w:rsid w:val="009545F2"/>
    <w:rsid w:val="00954968"/>
    <w:rsid w:val="0095669F"/>
    <w:rsid w:val="00957008"/>
    <w:rsid w:val="009574B2"/>
    <w:rsid w:val="009574BD"/>
    <w:rsid w:val="00957677"/>
    <w:rsid w:val="00957A60"/>
    <w:rsid w:val="00957AE5"/>
    <w:rsid w:val="00957ED0"/>
    <w:rsid w:val="009606EE"/>
    <w:rsid w:val="00960865"/>
    <w:rsid w:val="009612A7"/>
    <w:rsid w:val="009623DB"/>
    <w:rsid w:val="00962A2C"/>
    <w:rsid w:val="0096321D"/>
    <w:rsid w:val="009639C2"/>
    <w:rsid w:val="00963B05"/>
    <w:rsid w:val="0096404B"/>
    <w:rsid w:val="0096407D"/>
    <w:rsid w:val="0096525D"/>
    <w:rsid w:val="009652B2"/>
    <w:rsid w:val="009653BF"/>
    <w:rsid w:val="009656E5"/>
    <w:rsid w:val="00965991"/>
    <w:rsid w:val="00965B6F"/>
    <w:rsid w:val="00967562"/>
    <w:rsid w:val="00970064"/>
    <w:rsid w:val="00970EEC"/>
    <w:rsid w:val="00970F2D"/>
    <w:rsid w:val="009711C6"/>
    <w:rsid w:val="00971A28"/>
    <w:rsid w:val="00971AA5"/>
    <w:rsid w:val="00971EF6"/>
    <w:rsid w:val="0097249E"/>
    <w:rsid w:val="00972595"/>
    <w:rsid w:val="00972AEA"/>
    <w:rsid w:val="00972C4B"/>
    <w:rsid w:val="009732D2"/>
    <w:rsid w:val="0097365B"/>
    <w:rsid w:val="00973AF1"/>
    <w:rsid w:val="00973FFC"/>
    <w:rsid w:val="00974D50"/>
    <w:rsid w:val="009750B5"/>
    <w:rsid w:val="00976AD7"/>
    <w:rsid w:val="00977038"/>
    <w:rsid w:val="00977106"/>
    <w:rsid w:val="0097736F"/>
    <w:rsid w:val="00977460"/>
    <w:rsid w:val="00977823"/>
    <w:rsid w:val="00980059"/>
    <w:rsid w:val="0098009F"/>
    <w:rsid w:val="00980196"/>
    <w:rsid w:val="009803D6"/>
    <w:rsid w:val="00980CA4"/>
    <w:rsid w:val="00981B7A"/>
    <w:rsid w:val="00981CA1"/>
    <w:rsid w:val="00981F3D"/>
    <w:rsid w:val="0098209D"/>
    <w:rsid w:val="00982207"/>
    <w:rsid w:val="00983BD3"/>
    <w:rsid w:val="00983F39"/>
    <w:rsid w:val="0098446E"/>
    <w:rsid w:val="00984DD8"/>
    <w:rsid w:val="00985461"/>
    <w:rsid w:val="00985D72"/>
    <w:rsid w:val="00986263"/>
    <w:rsid w:val="009868AA"/>
    <w:rsid w:val="00986CB3"/>
    <w:rsid w:val="009870AD"/>
    <w:rsid w:val="009871A0"/>
    <w:rsid w:val="009876FE"/>
    <w:rsid w:val="00990BAB"/>
    <w:rsid w:val="00991A47"/>
    <w:rsid w:val="00992BB9"/>
    <w:rsid w:val="009932E3"/>
    <w:rsid w:val="0099330B"/>
    <w:rsid w:val="00994106"/>
    <w:rsid w:val="00994A29"/>
    <w:rsid w:val="00996145"/>
    <w:rsid w:val="00996C88"/>
    <w:rsid w:val="00997520"/>
    <w:rsid w:val="009977AA"/>
    <w:rsid w:val="009A0D48"/>
    <w:rsid w:val="009A0DAA"/>
    <w:rsid w:val="009A10E4"/>
    <w:rsid w:val="009A26D1"/>
    <w:rsid w:val="009A27C8"/>
    <w:rsid w:val="009A367E"/>
    <w:rsid w:val="009A3751"/>
    <w:rsid w:val="009A3CA5"/>
    <w:rsid w:val="009A41AC"/>
    <w:rsid w:val="009A4B71"/>
    <w:rsid w:val="009A4BE6"/>
    <w:rsid w:val="009A578E"/>
    <w:rsid w:val="009A5DDD"/>
    <w:rsid w:val="009A5E25"/>
    <w:rsid w:val="009A6AA5"/>
    <w:rsid w:val="009A7064"/>
    <w:rsid w:val="009A7A1D"/>
    <w:rsid w:val="009A7A9A"/>
    <w:rsid w:val="009B026C"/>
    <w:rsid w:val="009B07AC"/>
    <w:rsid w:val="009B22D2"/>
    <w:rsid w:val="009B3F98"/>
    <w:rsid w:val="009B6349"/>
    <w:rsid w:val="009B6CA5"/>
    <w:rsid w:val="009B728A"/>
    <w:rsid w:val="009B73B3"/>
    <w:rsid w:val="009B7D87"/>
    <w:rsid w:val="009B7E03"/>
    <w:rsid w:val="009C0365"/>
    <w:rsid w:val="009C0F92"/>
    <w:rsid w:val="009C1244"/>
    <w:rsid w:val="009C1D7C"/>
    <w:rsid w:val="009C29EE"/>
    <w:rsid w:val="009C2AF6"/>
    <w:rsid w:val="009C2F4B"/>
    <w:rsid w:val="009C65E2"/>
    <w:rsid w:val="009C69E8"/>
    <w:rsid w:val="009C6E86"/>
    <w:rsid w:val="009C7598"/>
    <w:rsid w:val="009C7682"/>
    <w:rsid w:val="009C78A0"/>
    <w:rsid w:val="009D1D26"/>
    <w:rsid w:val="009D1D38"/>
    <w:rsid w:val="009D213B"/>
    <w:rsid w:val="009D240F"/>
    <w:rsid w:val="009D29BE"/>
    <w:rsid w:val="009D2A8A"/>
    <w:rsid w:val="009D48A3"/>
    <w:rsid w:val="009D527A"/>
    <w:rsid w:val="009D58E8"/>
    <w:rsid w:val="009D61AE"/>
    <w:rsid w:val="009D69DB"/>
    <w:rsid w:val="009D6A39"/>
    <w:rsid w:val="009D72FC"/>
    <w:rsid w:val="009D7410"/>
    <w:rsid w:val="009D74EA"/>
    <w:rsid w:val="009E08B4"/>
    <w:rsid w:val="009E0C94"/>
    <w:rsid w:val="009E12AF"/>
    <w:rsid w:val="009E14F1"/>
    <w:rsid w:val="009E192C"/>
    <w:rsid w:val="009E1DC8"/>
    <w:rsid w:val="009E2148"/>
    <w:rsid w:val="009E23DB"/>
    <w:rsid w:val="009E251D"/>
    <w:rsid w:val="009E34A5"/>
    <w:rsid w:val="009E38ED"/>
    <w:rsid w:val="009E3E04"/>
    <w:rsid w:val="009E4A7E"/>
    <w:rsid w:val="009E557A"/>
    <w:rsid w:val="009E5F6E"/>
    <w:rsid w:val="009F0156"/>
    <w:rsid w:val="009F024B"/>
    <w:rsid w:val="009F05CF"/>
    <w:rsid w:val="009F193D"/>
    <w:rsid w:val="009F1F8B"/>
    <w:rsid w:val="009F248D"/>
    <w:rsid w:val="009F2881"/>
    <w:rsid w:val="009F2890"/>
    <w:rsid w:val="009F2909"/>
    <w:rsid w:val="009F2BC9"/>
    <w:rsid w:val="009F319B"/>
    <w:rsid w:val="009F53F3"/>
    <w:rsid w:val="009F57D4"/>
    <w:rsid w:val="009F6763"/>
    <w:rsid w:val="009F6995"/>
    <w:rsid w:val="009F6DC9"/>
    <w:rsid w:val="009F7BA1"/>
    <w:rsid w:val="00A0051C"/>
    <w:rsid w:val="00A005C2"/>
    <w:rsid w:val="00A00F34"/>
    <w:rsid w:val="00A017F9"/>
    <w:rsid w:val="00A01A64"/>
    <w:rsid w:val="00A021DE"/>
    <w:rsid w:val="00A03299"/>
    <w:rsid w:val="00A039CB"/>
    <w:rsid w:val="00A03B97"/>
    <w:rsid w:val="00A04A72"/>
    <w:rsid w:val="00A04E36"/>
    <w:rsid w:val="00A058AD"/>
    <w:rsid w:val="00A0620C"/>
    <w:rsid w:val="00A06A0A"/>
    <w:rsid w:val="00A06DFF"/>
    <w:rsid w:val="00A11126"/>
    <w:rsid w:val="00A1142F"/>
    <w:rsid w:val="00A11AD7"/>
    <w:rsid w:val="00A127F0"/>
    <w:rsid w:val="00A12FFE"/>
    <w:rsid w:val="00A14807"/>
    <w:rsid w:val="00A15AE0"/>
    <w:rsid w:val="00A16110"/>
    <w:rsid w:val="00A16264"/>
    <w:rsid w:val="00A1698E"/>
    <w:rsid w:val="00A16F1D"/>
    <w:rsid w:val="00A2046B"/>
    <w:rsid w:val="00A21981"/>
    <w:rsid w:val="00A21A5C"/>
    <w:rsid w:val="00A2222E"/>
    <w:rsid w:val="00A22576"/>
    <w:rsid w:val="00A22EE3"/>
    <w:rsid w:val="00A23D1D"/>
    <w:rsid w:val="00A2416D"/>
    <w:rsid w:val="00A244D4"/>
    <w:rsid w:val="00A25A38"/>
    <w:rsid w:val="00A263E2"/>
    <w:rsid w:val="00A2655B"/>
    <w:rsid w:val="00A265DF"/>
    <w:rsid w:val="00A26C02"/>
    <w:rsid w:val="00A27160"/>
    <w:rsid w:val="00A27434"/>
    <w:rsid w:val="00A27AE4"/>
    <w:rsid w:val="00A30D18"/>
    <w:rsid w:val="00A31711"/>
    <w:rsid w:val="00A31B9A"/>
    <w:rsid w:val="00A31DD2"/>
    <w:rsid w:val="00A3217E"/>
    <w:rsid w:val="00A32D03"/>
    <w:rsid w:val="00A336FF"/>
    <w:rsid w:val="00A34B1F"/>
    <w:rsid w:val="00A34FEF"/>
    <w:rsid w:val="00A35C8E"/>
    <w:rsid w:val="00A37204"/>
    <w:rsid w:val="00A37E80"/>
    <w:rsid w:val="00A422F5"/>
    <w:rsid w:val="00A42413"/>
    <w:rsid w:val="00A42DEA"/>
    <w:rsid w:val="00A4330C"/>
    <w:rsid w:val="00A439AA"/>
    <w:rsid w:val="00A43B76"/>
    <w:rsid w:val="00A43C90"/>
    <w:rsid w:val="00A44158"/>
    <w:rsid w:val="00A4441D"/>
    <w:rsid w:val="00A44A87"/>
    <w:rsid w:val="00A44C40"/>
    <w:rsid w:val="00A44E98"/>
    <w:rsid w:val="00A44F2E"/>
    <w:rsid w:val="00A45108"/>
    <w:rsid w:val="00A45871"/>
    <w:rsid w:val="00A46B18"/>
    <w:rsid w:val="00A46F17"/>
    <w:rsid w:val="00A47BA3"/>
    <w:rsid w:val="00A47CED"/>
    <w:rsid w:val="00A50E71"/>
    <w:rsid w:val="00A512B0"/>
    <w:rsid w:val="00A51745"/>
    <w:rsid w:val="00A51A05"/>
    <w:rsid w:val="00A51EE1"/>
    <w:rsid w:val="00A52B9F"/>
    <w:rsid w:val="00A532ED"/>
    <w:rsid w:val="00A53BA1"/>
    <w:rsid w:val="00A540D1"/>
    <w:rsid w:val="00A549BD"/>
    <w:rsid w:val="00A54C4D"/>
    <w:rsid w:val="00A55081"/>
    <w:rsid w:val="00A555AC"/>
    <w:rsid w:val="00A5560E"/>
    <w:rsid w:val="00A5599D"/>
    <w:rsid w:val="00A5642F"/>
    <w:rsid w:val="00A56569"/>
    <w:rsid w:val="00A56908"/>
    <w:rsid w:val="00A570F2"/>
    <w:rsid w:val="00A610A5"/>
    <w:rsid w:val="00A61382"/>
    <w:rsid w:val="00A61690"/>
    <w:rsid w:val="00A61E51"/>
    <w:rsid w:val="00A625BC"/>
    <w:rsid w:val="00A62A4C"/>
    <w:rsid w:val="00A62DB4"/>
    <w:rsid w:val="00A62E0F"/>
    <w:rsid w:val="00A632A8"/>
    <w:rsid w:val="00A639B0"/>
    <w:rsid w:val="00A63E55"/>
    <w:rsid w:val="00A64AC0"/>
    <w:rsid w:val="00A64D58"/>
    <w:rsid w:val="00A6511F"/>
    <w:rsid w:val="00A65E6F"/>
    <w:rsid w:val="00A65E77"/>
    <w:rsid w:val="00A66354"/>
    <w:rsid w:val="00A665F3"/>
    <w:rsid w:val="00A66813"/>
    <w:rsid w:val="00A66D0D"/>
    <w:rsid w:val="00A6761A"/>
    <w:rsid w:val="00A70332"/>
    <w:rsid w:val="00A70361"/>
    <w:rsid w:val="00A7049E"/>
    <w:rsid w:val="00A7122D"/>
    <w:rsid w:val="00A7125D"/>
    <w:rsid w:val="00A724CA"/>
    <w:rsid w:val="00A725A2"/>
    <w:rsid w:val="00A737D6"/>
    <w:rsid w:val="00A73F69"/>
    <w:rsid w:val="00A75833"/>
    <w:rsid w:val="00A75FC6"/>
    <w:rsid w:val="00A766FC"/>
    <w:rsid w:val="00A769F5"/>
    <w:rsid w:val="00A76F7B"/>
    <w:rsid w:val="00A77C59"/>
    <w:rsid w:val="00A816A4"/>
    <w:rsid w:val="00A824B8"/>
    <w:rsid w:val="00A82BB0"/>
    <w:rsid w:val="00A835D9"/>
    <w:rsid w:val="00A83798"/>
    <w:rsid w:val="00A83834"/>
    <w:rsid w:val="00A85ECA"/>
    <w:rsid w:val="00A87882"/>
    <w:rsid w:val="00A9081E"/>
    <w:rsid w:val="00A910E8"/>
    <w:rsid w:val="00A919E2"/>
    <w:rsid w:val="00A92357"/>
    <w:rsid w:val="00A92989"/>
    <w:rsid w:val="00A933A9"/>
    <w:rsid w:val="00A938E9"/>
    <w:rsid w:val="00A9439C"/>
    <w:rsid w:val="00A97118"/>
    <w:rsid w:val="00A97B34"/>
    <w:rsid w:val="00A97D19"/>
    <w:rsid w:val="00AA1B70"/>
    <w:rsid w:val="00AA2333"/>
    <w:rsid w:val="00AA2754"/>
    <w:rsid w:val="00AA3319"/>
    <w:rsid w:val="00AA3A95"/>
    <w:rsid w:val="00AA4A69"/>
    <w:rsid w:val="00AA4F86"/>
    <w:rsid w:val="00AA541E"/>
    <w:rsid w:val="00AA544D"/>
    <w:rsid w:val="00AA59FB"/>
    <w:rsid w:val="00AA63B6"/>
    <w:rsid w:val="00AA6528"/>
    <w:rsid w:val="00AA65A0"/>
    <w:rsid w:val="00AA7418"/>
    <w:rsid w:val="00AB023D"/>
    <w:rsid w:val="00AB168C"/>
    <w:rsid w:val="00AB387F"/>
    <w:rsid w:val="00AB3E71"/>
    <w:rsid w:val="00AB4D9E"/>
    <w:rsid w:val="00AB4F84"/>
    <w:rsid w:val="00AB57D7"/>
    <w:rsid w:val="00AB5C48"/>
    <w:rsid w:val="00AB5F65"/>
    <w:rsid w:val="00AB6270"/>
    <w:rsid w:val="00AB6AC5"/>
    <w:rsid w:val="00AB6D46"/>
    <w:rsid w:val="00AB7674"/>
    <w:rsid w:val="00AB7704"/>
    <w:rsid w:val="00AB77DF"/>
    <w:rsid w:val="00AC0D0A"/>
    <w:rsid w:val="00AC14C5"/>
    <w:rsid w:val="00AC1FBD"/>
    <w:rsid w:val="00AC2173"/>
    <w:rsid w:val="00AC231D"/>
    <w:rsid w:val="00AC2562"/>
    <w:rsid w:val="00AC3359"/>
    <w:rsid w:val="00AC371E"/>
    <w:rsid w:val="00AC3A47"/>
    <w:rsid w:val="00AC48AC"/>
    <w:rsid w:val="00AC4A97"/>
    <w:rsid w:val="00AC5A66"/>
    <w:rsid w:val="00AC5E52"/>
    <w:rsid w:val="00AC693D"/>
    <w:rsid w:val="00AC6EA0"/>
    <w:rsid w:val="00AC72AA"/>
    <w:rsid w:val="00AC773C"/>
    <w:rsid w:val="00AC7830"/>
    <w:rsid w:val="00AD0659"/>
    <w:rsid w:val="00AD1A9C"/>
    <w:rsid w:val="00AD2985"/>
    <w:rsid w:val="00AD33F0"/>
    <w:rsid w:val="00AD379D"/>
    <w:rsid w:val="00AD389A"/>
    <w:rsid w:val="00AD4577"/>
    <w:rsid w:val="00AD46E3"/>
    <w:rsid w:val="00AD4F65"/>
    <w:rsid w:val="00AD5975"/>
    <w:rsid w:val="00AD6844"/>
    <w:rsid w:val="00AD6C4C"/>
    <w:rsid w:val="00AD6CBB"/>
    <w:rsid w:val="00AD7778"/>
    <w:rsid w:val="00AD7779"/>
    <w:rsid w:val="00AD7C24"/>
    <w:rsid w:val="00AE008B"/>
    <w:rsid w:val="00AE117B"/>
    <w:rsid w:val="00AE151B"/>
    <w:rsid w:val="00AE1791"/>
    <w:rsid w:val="00AE1EC5"/>
    <w:rsid w:val="00AE2401"/>
    <w:rsid w:val="00AE3003"/>
    <w:rsid w:val="00AE302D"/>
    <w:rsid w:val="00AE4331"/>
    <w:rsid w:val="00AE4665"/>
    <w:rsid w:val="00AE4A71"/>
    <w:rsid w:val="00AE4B4B"/>
    <w:rsid w:val="00AE6397"/>
    <w:rsid w:val="00AE7AB3"/>
    <w:rsid w:val="00AF1924"/>
    <w:rsid w:val="00AF1D47"/>
    <w:rsid w:val="00AF1E9B"/>
    <w:rsid w:val="00AF26EC"/>
    <w:rsid w:val="00AF2B52"/>
    <w:rsid w:val="00AF2C58"/>
    <w:rsid w:val="00AF33D5"/>
    <w:rsid w:val="00AF3B0A"/>
    <w:rsid w:val="00AF5320"/>
    <w:rsid w:val="00AF596F"/>
    <w:rsid w:val="00AF5BBD"/>
    <w:rsid w:val="00AF652C"/>
    <w:rsid w:val="00AF7136"/>
    <w:rsid w:val="00B00138"/>
    <w:rsid w:val="00B00DC1"/>
    <w:rsid w:val="00B01515"/>
    <w:rsid w:val="00B02219"/>
    <w:rsid w:val="00B025A5"/>
    <w:rsid w:val="00B0283B"/>
    <w:rsid w:val="00B03106"/>
    <w:rsid w:val="00B0500A"/>
    <w:rsid w:val="00B05885"/>
    <w:rsid w:val="00B05A64"/>
    <w:rsid w:val="00B05AB6"/>
    <w:rsid w:val="00B05AFC"/>
    <w:rsid w:val="00B05E74"/>
    <w:rsid w:val="00B10342"/>
    <w:rsid w:val="00B10788"/>
    <w:rsid w:val="00B108E8"/>
    <w:rsid w:val="00B10FCC"/>
    <w:rsid w:val="00B112AE"/>
    <w:rsid w:val="00B11591"/>
    <w:rsid w:val="00B11966"/>
    <w:rsid w:val="00B12196"/>
    <w:rsid w:val="00B12C80"/>
    <w:rsid w:val="00B131CD"/>
    <w:rsid w:val="00B13273"/>
    <w:rsid w:val="00B1369C"/>
    <w:rsid w:val="00B136D1"/>
    <w:rsid w:val="00B13ADE"/>
    <w:rsid w:val="00B13C00"/>
    <w:rsid w:val="00B16519"/>
    <w:rsid w:val="00B16872"/>
    <w:rsid w:val="00B16C80"/>
    <w:rsid w:val="00B171DB"/>
    <w:rsid w:val="00B1740A"/>
    <w:rsid w:val="00B179EC"/>
    <w:rsid w:val="00B17C45"/>
    <w:rsid w:val="00B21341"/>
    <w:rsid w:val="00B21BD1"/>
    <w:rsid w:val="00B21DD1"/>
    <w:rsid w:val="00B21E8C"/>
    <w:rsid w:val="00B2281C"/>
    <w:rsid w:val="00B228F5"/>
    <w:rsid w:val="00B2444B"/>
    <w:rsid w:val="00B2447B"/>
    <w:rsid w:val="00B252AB"/>
    <w:rsid w:val="00B262ED"/>
    <w:rsid w:val="00B266E7"/>
    <w:rsid w:val="00B267CF"/>
    <w:rsid w:val="00B26E5F"/>
    <w:rsid w:val="00B2768B"/>
    <w:rsid w:val="00B27989"/>
    <w:rsid w:val="00B27A5F"/>
    <w:rsid w:val="00B30407"/>
    <w:rsid w:val="00B30617"/>
    <w:rsid w:val="00B30B34"/>
    <w:rsid w:val="00B3189B"/>
    <w:rsid w:val="00B326D4"/>
    <w:rsid w:val="00B32FB6"/>
    <w:rsid w:val="00B3349C"/>
    <w:rsid w:val="00B33837"/>
    <w:rsid w:val="00B33962"/>
    <w:rsid w:val="00B33C0F"/>
    <w:rsid w:val="00B34806"/>
    <w:rsid w:val="00B3532E"/>
    <w:rsid w:val="00B35E2B"/>
    <w:rsid w:val="00B361E1"/>
    <w:rsid w:val="00B364CC"/>
    <w:rsid w:val="00B365A9"/>
    <w:rsid w:val="00B36982"/>
    <w:rsid w:val="00B373CE"/>
    <w:rsid w:val="00B37B6D"/>
    <w:rsid w:val="00B37BFE"/>
    <w:rsid w:val="00B40007"/>
    <w:rsid w:val="00B408D5"/>
    <w:rsid w:val="00B40B31"/>
    <w:rsid w:val="00B40BF8"/>
    <w:rsid w:val="00B41166"/>
    <w:rsid w:val="00B41FC0"/>
    <w:rsid w:val="00B424B6"/>
    <w:rsid w:val="00B42ED5"/>
    <w:rsid w:val="00B42FE3"/>
    <w:rsid w:val="00B43001"/>
    <w:rsid w:val="00B43F7C"/>
    <w:rsid w:val="00B44758"/>
    <w:rsid w:val="00B447AD"/>
    <w:rsid w:val="00B47ADC"/>
    <w:rsid w:val="00B47B6B"/>
    <w:rsid w:val="00B47CD7"/>
    <w:rsid w:val="00B47CE6"/>
    <w:rsid w:val="00B50E8B"/>
    <w:rsid w:val="00B51050"/>
    <w:rsid w:val="00B51306"/>
    <w:rsid w:val="00B52A2F"/>
    <w:rsid w:val="00B52CDF"/>
    <w:rsid w:val="00B52D11"/>
    <w:rsid w:val="00B53473"/>
    <w:rsid w:val="00B53BE0"/>
    <w:rsid w:val="00B53EE0"/>
    <w:rsid w:val="00B5416F"/>
    <w:rsid w:val="00B5479D"/>
    <w:rsid w:val="00B54EC0"/>
    <w:rsid w:val="00B55794"/>
    <w:rsid w:val="00B5610C"/>
    <w:rsid w:val="00B57BAE"/>
    <w:rsid w:val="00B60098"/>
    <w:rsid w:val="00B60197"/>
    <w:rsid w:val="00B612C3"/>
    <w:rsid w:val="00B617C0"/>
    <w:rsid w:val="00B61B2A"/>
    <w:rsid w:val="00B61FE3"/>
    <w:rsid w:val="00B62265"/>
    <w:rsid w:val="00B62B45"/>
    <w:rsid w:val="00B62C12"/>
    <w:rsid w:val="00B62FB4"/>
    <w:rsid w:val="00B63590"/>
    <w:rsid w:val="00B64D21"/>
    <w:rsid w:val="00B651B4"/>
    <w:rsid w:val="00B656D0"/>
    <w:rsid w:val="00B65A6E"/>
    <w:rsid w:val="00B65CE8"/>
    <w:rsid w:val="00B65D00"/>
    <w:rsid w:val="00B664B4"/>
    <w:rsid w:val="00B66970"/>
    <w:rsid w:val="00B66B3A"/>
    <w:rsid w:val="00B674F7"/>
    <w:rsid w:val="00B67DE8"/>
    <w:rsid w:val="00B709BB"/>
    <w:rsid w:val="00B70A8C"/>
    <w:rsid w:val="00B711FD"/>
    <w:rsid w:val="00B71290"/>
    <w:rsid w:val="00B71C29"/>
    <w:rsid w:val="00B72925"/>
    <w:rsid w:val="00B740FA"/>
    <w:rsid w:val="00B74342"/>
    <w:rsid w:val="00B749CE"/>
    <w:rsid w:val="00B758A6"/>
    <w:rsid w:val="00B76626"/>
    <w:rsid w:val="00B76F59"/>
    <w:rsid w:val="00B7718D"/>
    <w:rsid w:val="00B7783D"/>
    <w:rsid w:val="00B77E9D"/>
    <w:rsid w:val="00B801F4"/>
    <w:rsid w:val="00B81315"/>
    <w:rsid w:val="00B813D6"/>
    <w:rsid w:val="00B822B4"/>
    <w:rsid w:val="00B82501"/>
    <w:rsid w:val="00B82BBA"/>
    <w:rsid w:val="00B834D7"/>
    <w:rsid w:val="00B8376A"/>
    <w:rsid w:val="00B8394C"/>
    <w:rsid w:val="00B840B1"/>
    <w:rsid w:val="00B84136"/>
    <w:rsid w:val="00B84715"/>
    <w:rsid w:val="00B84852"/>
    <w:rsid w:val="00B85F61"/>
    <w:rsid w:val="00B866EE"/>
    <w:rsid w:val="00B8683C"/>
    <w:rsid w:val="00B86A9E"/>
    <w:rsid w:val="00B86F6F"/>
    <w:rsid w:val="00B874C2"/>
    <w:rsid w:val="00B90FC3"/>
    <w:rsid w:val="00B92146"/>
    <w:rsid w:val="00B9234A"/>
    <w:rsid w:val="00B92726"/>
    <w:rsid w:val="00B92E28"/>
    <w:rsid w:val="00B92F06"/>
    <w:rsid w:val="00B934F3"/>
    <w:rsid w:val="00B93FC0"/>
    <w:rsid w:val="00B944A0"/>
    <w:rsid w:val="00B94668"/>
    <w:rsid w:val="00B95E90"/>
    <w:rsid w:val="00BA00CB"/>
    <w:rsid w:val="00BA0492"/>
    <w:rsid w:val="00BA0869"/>
    <w:rsid w:val="00BA0B0E"/>
    <w:rsid w:val="00BA1E86"/>
    <w:rsid w:val="00BA2BCD"/>
    <w:rsid w:val="00BA337E"/>
    <w:rsid w:val="00BA3476"/>
    <w:rsid w:val="00BA3CC4"/>
    <w:rsid w:val="00BA416A"/>
    <w:rsid w:val="00BA443A"/>
    <w:rsid w:val="00BA4A71"/>
    <w:rsid w:val="00BA4B0A"/>
    <w:rsid w:val="00BA5CC2"/>
    <w:rsid w:val="00BA62BB"/>
    <w:rsid w:val="00BA635A"/>
    <w:rsid w:val="00BA73C3"/>
    <w:rsid w:val="00BA7BB6"/>
    <w:rsid w:val="00BA7C3E"/>
    <w:rsid w:val="00BB0BF9"/>
    <w:rsid w:val="00BB1255"/>
    <w:rsid w:val="00BB25A5"/>
    <w:rsid w:val="00BB25C7"/>
    <w:rsid w:val="00BB2653"/>
    <w:rsid w:val="00BB27D4"/>
    <w:rsid w:val="00BB2911"/>
    <w:rsid w:val="00BB4E3E"/>
    <w:rsid w:val="00BB5290"/>
    <w:rsid w:val="00BB538C"/>
    <w:rsid w:val="00BB5AAF"/>
    <w:rsid w:val="00BB73C0"/>
    <w:rsid w:val="00BB761F"/>
    <w:rsid w:val="00BC0663"/>
    <w:rsid w:val="00BC0A6A"/>
    <w:rsid w:val="00BC0FF3"/>
    <w:rsid w:val="00BC12A7"/>
    <w:rsid w:val="00BC12DC"/>
    <w:rsid w:val="00BC12F4"/>
    <w:rsid w:val="00BC1C33"/>
    <w:rsid w:val="00BC2BF0"/>
    <w:rsid w:val="00BC2DC3"/>
    <w:rsid w:val="00BC329A"/>
    <w:rsid w:val="00BC4714"/>
    <w:rsid w:val="00BC4DE8"/>
    <w:rsid w:val="00BC4F64"/>
    <w:rsid w:val="00BC4F8D"/>
    <w:rsid w:val="00BC56A7"/>
    <w:rsid w:val="00BC6B28"/>
    <w:rsid w:val="00BC6C65"/>
    <w:rsid w:val="00BC6EE4"/>
    <w:rsid w:val="00BC73B9"/>
    <w:rsid w:val="00BD0108"/>
    <w:rsid w:val="00BD0271"/>
    <w:rsid w:val="00BD0AB7"/>
    <w:rsid w:val="00BD0F06"/>
    <w:rsid w:val="00BD12B5"/>
    <w:rsid w:val="00BD2294"/>
    <w:rsid w:val="00BD30A9"/>
    <w:rsid w:val="00BD3486"/>
    <w:rsid w:val="00BD4283"/>
    <w:rsid w:val="00BD4414"/>
    <w:rsid w:val="00BD5784"/>
    <w:rsid w:val="00BD5808"/>
    <w:rsid w:val="00BD6597"/>
    <w:rsid w:val="00BD66F0"/>
    <w:rsid w:val="00BE1972"/>
    <w:rsid w:val="00BE1E4C"/>
    <w:rsid w:val="00BE26D0"/>
    <w:rsid w:val="00BE2ED1"/>
    <w:rsid w:val="00BE33E6"/>
    <w:rsid w:val="00BE3CAA"/>
    <w:rsid w:val="00BE4BBE"/>
    <w:rsid w:val="00BE5F70"/>
    <w:rsid w:val="00BE6926"/>
    <w:rsid w:val="00BE6CC0"/>
    <w:rsid w:val="00BE7643"/>
    <w:rsid w:val="00BE7922"/>
    <w:rsid w:val="00BF0156"/>
    <w:rsid w:val="00BF04EB"/>
    <w:rsid w:val="00BF1B89"/>
    <w:rsid w:val="00BF2E13"/>
    <w:rsid w:val="00BF3DF8"/>
    <w:rsid w:val="00BF4686"/>
    <w:rsid w:val="00BF4CE4"/>
    <w:rsid w:val="00BF4D24"/>
    <w:rsid w:val="00BF50D7"/>
    <w:rsid w:val="00BF64BC"/>
    <w:rsid w:val="00BF69B1"/>
    <w:rsid w:val="00BF6C87"/>
    <w:rsid w:val="00C00A3D"/>
    <w:rsid w:val="00C00D52"/>
    <w:rsid w:val="00C00FAB"/>
    <w:rsid w:val="00C01283"/>
    <w:rsid w:val="00C0131D"/>
    <w:rsid w:val="00C027A4"/>
    <w:rsid w:val="00C028AB"/>
    <w:rsid w:val="00C0302A"/>
    <w:rsid w:val="00C0389D"/>
    <w:rsid w:val="00C03B5C"/>
    <w:rsid w:val="00C04297"/>
    <w:rsid w:val="00C04433"/>
    <w:rsid w:val="00C060C4"/>
    <w:rsid w:val="00C07686"/>
    <w:rsid w:val="00C10B80"/>
    <w:rsid w:val="00C10FB0"/>
    <w:rsid w:val="00C1102A"/>
    <w:rsid w:val="00C11633"/>
    <w:rsid w:val="00C116BF"/>
    <w:rsid w:val="00C11A6C"/>
    <w:rsid w:val="00C11DDD"/>
    <w:rsid w:val="00C12A3D"/>
    <w:rsid w:val="00C13D02"/>
    <w:rsid w:val="00C1415E"/>
    <w:rsid w:val="00C16252"/>
    <w:rsid w:val="00C172AE"/>
    <w:rsid w:val="00C17A49"/>
    <w:rsid w:val="00C17B3B"/>
    <w:rsid w:val="00C2072E"/>
    <w:rsid w:val="00C20D55"/>
    <w:rsid w:val="00C210FF"/>
    <w:rsid w:val="00C216DD"/>
    <w:rsid w:val="00C21AEE"/>
    <w:rsid w:val="00C21CB7"/>
    <w:rsid w:val="00C21DC9"/>
    <w:rsid w:val="00C2255A"/>
    <w:rsid w:val="00C22F18"/>
    <w:rsid w:val="00C22F65"/>
    <w:rsid w:val="00C2383A"/>
    <w:rsid w:val="00C23937"/>
    <w:rsid w:val="00C23D00"/>
    <w:rsid w:val="00C25293"/>
    <w:rsid w:val="00C25464"/>
    <w:rsid w:val="00C2699C"/>
    <w:rsid w:val="00C27326"/>
    <w:rsid w:val="00C27737"/>
    <w:rsid w:val="00C3081D"/>
    <w:rsid w:val="00C312D6"/>
    <w:rsid w:val="00C316FA"/>
    <w:rsid w:val="00C317BC"/>
    <w:rsid w:val="00C318C0"/>
    <w:rsid w:val="00C31B75"/>
    <w:rsid w:val="00C32120"/>
    <w:rsid w:val="00C321FC"/>
    <w:rsid w:val="00C322B8"/>
    <w:rsid w:val="00C328E5"/>
    <w:rsid w:val="00C330B0"/>
    <w:rsid w:val="00C33351"/>
    <w:rsid w:val="00C34ED3"/>
    <w:rsid w:val="00C35109"/>
    <w:rsid w:val="00C35E37"/>
    <w:rsid w:val="00C36A89"/>
    <w:rsid w:val="00C36FE3"/>
    <w:rsid w:val="00C373F9"/>
    <w:rsid w:val="00C37D1F"/>
    <w:rsid w:val="00C403BE"/>
    <w:rsid w:val="00C40630"/>
    <w:rsid w:val="00C40755"/>
    <w:rsid w:val="00C40E81"/>
    <w:rsid w:val="00C4169E"/>
    <w:rsid w:val="00C43131"/>
    <w:rsid w:val="00C43416"/>
    <w:rsid w:val="00C43C91"/>
    <w:rsid w:val="00C43D39"/>
    <w:rsid w:val="00C43E0A"/>
    <w:rsid w:val="00C44150"/>
    <w:rsid w:val="00C44661"/>
    <w:rsid w:val="00C44C83"/>
    <w:rsid w:val="00C44F4D"/>
    <w:rsid w:val="00C4687F"/>
    <w:rsid w:val="00C46A2B"/>
    <w:rsid w:val="00C478E3"/>
    <w:rsid w:val="00C479AE"/>
    <w:rsid w:val="00C507B5"/>
    <w:rsid w:val="00C50CBB"/>
    <w:rsid w:val="00C50E32"/>
    <w:rsid w:val="00C50ECA"/>
    <w:rsid w:val="00C51673"/>
    <w:rsid w:val="00C516C3"/>
    <w:rsid w:val="00C53BBA"/>
    <w:rsid w:val="00C53DC3"/>
    <w:rsid w:val="00C54494"/>
    <w:rsid w:val="00C5486B"/>
    <w:rsid w:val="00C54C03"/>
    <w:rsid w:val="00C55026"/>
    <w:rsid w:val="00C55263"/>
    <w:rsid w:val="00C552A3"/>
    <w:rsid w:val="00C557B2"/>
    <w:rsid w:val="00C55A8D"/>
    <w:rsid w:val="00C55AB5"/>
    <w:rsid w:val="00C55D09"/>
    <w:rsid w:val="00C55ED2"/>
    <w:rsid w:val="00C56DC8"/>
    <w:rsid w:val="00C572E5"/>
    <w:rsid w:val="00C57547"/>
    <w:rsid w:val="00C57E15"/>
    <w:rsid w:val="00C6005E"/>
    <w:rsid w:val="00C602E8"/>
    <w:rsid w:val="00C60900"/>
    <w:rsid w:val="00C60DE7"/>
    <w:rsid w:val="00C60F62"/>
    <w:rsid w:val="00C60F6B"/>
    <w:rsid w:val="00C62C4F"/>
    <w:rsid w:val="00C6336C"/>
    <w:rsid w:val="00C64B2A"/>
    <w:rsid w:val="00C6532C"/>
    <w:rsid w:val="00C655B2"/>
    <w:rsid w:val="00C659C9"/>
    <w:rsid w:val="00C659D2"/>
    <w:rsid w:val="00C65E19"/>
    <w:rsid w:val="00C65E4E"/>
    <w:rsid w:val="00C65E9E"/>
    <w:rsid w:val="00C6660C"/>
    <w:rsid w:val="00C666C1"/>
    <w:rsid w:val="00C66CA1"/>
    <w:rsid w:val="00C67215"/>
    <w:rsid w:val="00C6798A"/>
    <w:rsid w:val="00C67D59"/>
    <w:rsid w:val="00C67FCF"/>
    <w:rsid w:val="00C70190"/>
    <w:rsid w:val="00C707B3"/>
    <w:rsid w:val="00C70881"/>
    <w:rsid w:val="00C70B10"/>
    <w:rsid w:val="00C70C9F"/>
    <w:rsid w:val="00C70D78"/>
    <w:rsid w:val="00C71339"/>
    <w:rsid w:val="00C71CBB"/>
    <w:rsid w:val="00C72382"/>
    <w:rsid w:val="00C7374F"/>
    <w:rsid w:val="00C73A1B"/>
    <w:rsid w:val="00C7404F"/>
    <w:rsid w:val="00C74064"/>
    <w:rsid w:val="00C74223"/>
    <w:rsid w:val="00C743C1"/>
    <w:rsid w:val="00C7473E"/>
    <w:rsid w:val="00C74961"/>
    <w:rsid w:val="00C74D9D"/>
    <w:rsid w:val="00C750C0"/>
    <w:rsid w:val="00C753DF"/>
    <w:rsid w:val="00C76066"/>
    <w:rsid w:val="00C76488"/>
    <w:rsid w:val="00C76755"/>
    <w:rsid w:val="00C7702D"/>
    <w:rsid w:val="00C77700"/>
    <w:rsid w:val="00C80779"/>
    <w:rsid w:val="00C80BEF"/>
    <w:rsid w:val="00C81171"/>
    <w:rsid w:val="00C81ACB"/>
    <w:rsid w:val="00C81E6A"/>
    <w:rsid w:val="00C82028"/>
    <w:rsid w:val="00C83093"/>
    <w:rsid w:val="00C837AF"/>
    <w:rsid w:val="00C847DC"/>
    <w:rsid w:val="00C84872"/>
    <w:rsid w:val="00C84B67"/>
    <w:rsid w:val="00C85CFC"/>
    <w:rsid w:val="00C85D9D"/>
    <w:rsid w:val="00C8601B"/>
    <w:rsid w:val="00C860BD"/>
    <w:rsid w:val="00C864E0"/>
    <w:rsid w:val="00C86589"/>
    <w:rsid w:val="00C86689"/>
    <w:rsid w:val="00C86A66"/>
    <w:rsid w:val="00C870DC"/>
    <w:rsid w:val="00C87830"/>
    <w:rsid w:val="00C87D75"/>
    <w:rsid w:val="00C911B7"/>
    <w:rsid w:val="00C91411"/>
    <w:rsid w:val="00C91547"/>
    <w:rsid w:val="00C91ADB"/>
    <w:rsid w:val="00C92A9D"/>
    <w:rsid w:val="00C92AD9"/>
    <w:rsid w:val="00C92DA6"/>
    <w:rsid w:val="00C937DA"/>
    <w:rsid w:val="00C93C59"/>
    <w:rsid w:val="00C94D0A"/>
    <w:rsid w:val="00C95923"/>
    <w:rsid w:val="00C967E3"/>
    <w:rsid w:val="00C96E49"/>
    <w:rsid w:val="00C976DF"/>
    <w:rsid w:val="00CA0894"/>
    <w:rsid w:val="00CA0A01"/>
    <w:rsid w:val="00CA0C34"/>
    <w:rsid w:val="00CA1086"/>
    <w:rsid w:val="00CA1588"/>
    <w:rsid w:val="00CA199E"/>
    <w:rsid w:val="00CA1A95"/>
    <w:rsid w:val="00CA1BA8"/>
    <w:rsid w:val="00CA20CF"/>
    <w:rsid w:val="00CA219B"/>
    <w:rsid w:val="00CA2752"/>
    <w:rsid w:val="00CA2F35"/>
    <w:rsid w:val="00CA35D1"/>
    <w:rsid w:val="00CA37BD"/>
    <w:rsid w:val="00CA39FE"/>
    <w:rsid w:val="00CA3DBE"/>
    <w:rsid w:val="00CA46CC"/>
    <w:rsid w:val="00CA5CC0"/>
    <w:rsid w:val="00CA5DC2"/>
    <w:rsid w:val="00CA5FAE"/>
    <w:rsid w:val="00CA60A2"/>
    <w:rsid w:val="00CA6E74"/>
    <w:rsid w:val="00CA76AD"/>
    <w:rsid w:val="00CA777A"/>
    <w:rsid w:val="00CA7CE2"/>
    <w:rsid w:val="00CB0B16"/>
    <w:rsid w:val="00CB10EA"/>
    <w:rsid w:val="00CB110F"/>
    <w:rsid w:val="00CB136F"/>
    <w:rsid w:val="00CB14E1"/>
    <w:rsid w:val="00CB3B67"/>
    <w:rsid w:val="00CB4603"/>
    <w:rsid w:val="00CB524E"/>
    <w:rsid w:val="00CB564C"/>
    <w:rsid w:val="00CB58E4"/>
    <w:rsid w:val="00CB5C03"/>
    <w:rsid w:val="00CB5D6D"/>
    <w:rsid w:val="00CB5E49"/>
    <w:rsid w:val="00CB6977"/>
    <w:rsid w:val="00CB6F8B"/>
    <w:rsid w:val="00CB73C7"/>
    <w:rsid w:val="00CB75B2"/>
    <w:rsid w:val="00CB794B"/>
    <w:rsid w:val="00CC04E6"/>
    <w:rsid w:val="00CC07AC"/>
    <w:rsid w:val="00CC1A64"/>
    <w:rsid w:val="00CC2371"/>
    <w:rsid w:val="00CC28A8"/>
    <w:rsid w:val="00CC2AD5"/>
    <w:rsid w:val="00CC2E4F"/>
    <w:rsid w:val="00CC3B2A"/>
    <w:rsid w:val="00CC4402"/>
    <w:rsid w:val="00CC479E"/>
    <w:rsid w:val="00CC47F5"/>
    <w:rsid w:val="00CC5035"/>
    <w:rsid w:val="00CC5F48"/>
    <w:rsid w:val="00CC705B"/>
    <w:rsid w:val="00CC7602"/>
    <w:rsid w:val="00CC7DBF"/>
    <w:rsid w:val="00CC7E7B"/>
    <w:rsid w:val="00CD0103"/>
    <w:rsid w:val="00CD0724"/>
    <w:rsid w:val="00CD073D"/>
    <w:rsid w:val="00CD0849"/>
    <w:rsid w:val="00CD27B1"/>
    <w:rsid w:val="00CD3337"/>
    <w:rsid w:val="00CD335C"/>
    <w:rsid w:val="00CD39E1"/>
    <w:rsid w:val="00CD40B3"/>
    <w:rsid w:val="00CD442E"/>
    <w:rsid w:val="00CD4B56"/>
    <w:rsid w:val="00CD4BEF"/>
    <w:rsid w:val="00CD4D62"/>
    <w:rsid w:val="00CD4E19"/>
    <w:rsid w:val="00CD5204"/>
    <w:rsid w:val="00CD53D4"/>
    <w:rsid w:val="00CD5708"/>
    <w:rsid w:val="00CD5C7C"/>
    <w:rsid w:val="00CD6193"/>
    <w:rsid w:val="00CD62C0"/>
    <w:rsid w:val="00CD688D"/>
    <w:rsid w:val="00CE037E"/>
    <w:rsid w:val="00CE0B36"/>
    <w:rsid w:val="00CE15A3"/>
    <w:rsid w:val="00CE28FE"/>
    <w:rsid w:val="00CE3B0A"/>
    <w:rsid w:val="00CE412E"/>
    <w:rsid w:val="00CE425D"/>
    <w:rsid w:val="00CE42D5"/>
    <w:rsid w:val="00CE42DD"/>
    <w:rsid w:val="00CE573C"/>
    <w:rsid w:val="00CE5D35"/>
    <w:rsid w:val="00CE5FD4"/>
    <w:rsid w:val="00CF0DDF"/>
    <w:rsid w:val="00CF17FA"/>
    <w:rsid w:val="00CF1E0F"/>
    <w:rsid w:val="00CF1EA3"/>
    <w:rsid w:val="00CF2635"/>
    <w:rsid w:val="00CF27BF"/>
    <w:rsid w:val="00CF2888"/>
    <w:rsid w:val="00CF2B21"/>
    <w:rsid w:val="00CF3385"/>
    <w:rsid w:val="00CF55B8"/>
    <w:rsid w:val="00CF5B50"/>
    <w:rsid w:val="00CF6406"/>
    <w:rsid w:val="00CF648E"/>
    <w:rsid w:val="00CF7B99"/>
    <w:rsid w:val="00CF7FA0"/>
    <w:rsid w:val="00D0027F"/>
    <w:rsid w:val="00D00E12"/>
    <w:rsid w:val="00D00F69"/>
    <w:rsid w:val="00D012ED"/>
    <w:rsid w:val="00D014F1"/>
    <w:rsid w:val="00D03115"/>
    <w:rsid w:val="00D0398A"/>
    <w:rsid w:val="00D03CD6"/>
    <w:rsid w:val="00D040E2"/>
    <w:rsid w:val="00D04DD2"/>
    <w:rsid w:val="00D04F39"/>
    <w:rsid w:val="00D0646A"/>
    <w:rsid w:val="00D06D8F"/>
    <w:rsid w:val="00D076B1"/>
    <w:rsid w:val="00D10E6B"/>
    <w:rsid w:val="00D11562"/>
    <w:rsid w:val="00D13024"/>
    <w:rsid w:val="00D13295"/>
    <w:rsid w:val="00D1361C"/>
    <w:rsid w:val="00D14015"/>
    <w:rsid w:val="00D15122"/>
    <w:rsid w:val="00D16DE1"/>
    <w:rsid w:val="00D171D6"/>
    <w:rsid w:val="00D17285"/>
    <w:rsid w:val="00D17B04"/>
    <w:rsid w:val="00D17C16"/>
    <w:rsid w:val="00D20388"/>
    <w:rsid w:val="00D20E08"/>
    <w:rsid w:val="00D214B3"/>
    <w:rsid w:val="00D218E2"/>
    <w:rsid w:val="00D23417"/>
    <w:rsid w:val="00D252A3"/>
    <w:rsid w:val="00D253B0"/>
    <w:rsid w:val="00D25AA5"/>
    <w:rsid w:val="00D26320"/>
    <w:rsid w:val="00D26B28"/>
    <w:rsid w:val="00D2780F"/>
    <w:rsid w:val="00D309EC"/>
    <w:rsid w:val="00D31E38"/>
    <w:rsid w:val="00D31E68"/>
    <w:rsid w:val="00D32480"/>
    <w:rsid w:val="00D337AB"/>
    <w:rsid w:val="00D34378"/>
    <w:rsid w:val="00D347A9"/>
    <w:rsid w:val="00D34D4F"/>
    <w:rsid w:val="00D35371"/>
    <w:rsid w:val="00D355D4"/>
    <w:rsid w:val="00D35A0D"/>
    <w:rsid w:val="00D36597"/>
    <w:rsid w:val="00D367DF"/>
    <w:rsid w:val="00D36D4D"/>
    <w:rsid w:val="00D37334"/>
    <w:rsid w:val="00D37603"/>
    <w:rsid w:val="00D37CD5"/>
    <w:rsid w:val="00D403D5"/>
    <w:rsid w:val="00D40887"/>
    <w:rsid w:val="00D4118D"/>
    <w:rsid w:val="00D418A9"/>
    <w:rsid w:val="00D419D5"/>
    <w:rsid w:val="00D41F64"/>
    <w:rsid w:val="00D42278"/>
    <w:rsid w:val="00D422E0"/>
    <w:rsid w:val="00D42742"/>
    <w:rsid w:val="00D43098"/>
    <w:rsid w:val="00D4319C"/>
    <w:rsid w:val="00D4462F"/>
    <w:rsid w:val="00D45681"/>
    <w:rsid w:val="00D46020"/>
    <w:rsid w:val="00D47A1D"/>
    <w:rsid w:val="00D50558"/>
    <w:rsid w:val="00D512E5"/>
    <w:rsid w:val="00D5162E"/>
    <w:rsid w:val="00D5206C"/>
    <w:rsid w:val="00D520FD"/>
    <w:rsid w:val="00D52ABA"/>
    <w:rsid w:val="00D5338B"/>
    <w:rsid w:val="00D5359A"/>
    <w:rsid w:val="00D53657"/>
    <w:rsid w:val="00D55A62"/>
    <w:rsid w:val="00D55B2E"/>
    <w:rsid w:val="00D55DCC"/>
    <w:rsid w:val="00D564A7"/>
    <w:rsid w:val="00D56CE0"/>
    <w:rsid w:val="00D605E3"/>
    <w:rsid w:val="00D6135C"/>
    <w:rsid w:val="00D61B7A"/>
    <w:rsid w:val="00D632DD"/>
    <w:rsid w:val="00D63852"/>
    <w:rsid w:val="00D64379"/>
    <w:rsid w:val="00D645A3"/>
    <w:rsid w:val="00D6485A"/>
    <w:rsid w:val="00D64E37"/>
    <w:rsid w:val="00D64E47"/>
    <w:rsid w:val="00D65409"/>
    <w:rsid w:val="00D66103"/>
    <w:rsid w:val="00D66F0D"/>
    <w:rsid w:val="00D66F1A"/>
    <w:rsid w:val="00D67373"/>
    <w:rsid w:val="00D67BFD"/>
    <w:rsid w:val="00D70BD5"/>
    <w:rsid w:val="00D71263"/>
    <w:rsid w:val="00D714C3"/>
    <w:rsid w:val="00D72210"/>
    <w:rsid w:val="00D72217"/>
    <w:rsid w:val="00D72311"/>
    <w:rsid w:val="00D7303F"/>
    <w:rsid w:val="00D73AE9"/>
    <w:rsid w:val="00D740E8"/>
    <w:rsid w:val="00D7428B"/>
    <w:rsid w:val="00D7449B"/>
    <w:rsid w:val="00D74C1C"/>
    <w:rsid w:val="00D74D61"/>
    <w:rsid w:val="00D74F38"/>
    <w:rsid w:val="00D75685"/>
    <w:rsid w:val="00D75BFB"/>
    <w:rsid w:val="00D7615E"/>
    <w:rsid w:val="00D7643B"/>
    <w:rsid w:val="00D776F0"/>
    <w:rsid w:val="00D77CAD"/>
    <w:rsid w:val="00D80121"/>
    <w:rsid w:val="00D80535"/>
    <w:rsid w:val="00D805F4"/>
    <w:rsid w:val="00D8176F"/>
    <w:rsid w:val="00D81C98"/>
    <w:rsid w:val="00D81F5A"/>
    <w:rsid w:val="00D822E5"/>
    <w:rsid w:val="00D829F9"/>
    <w:rsid w:val="00D83595"/>
    <w:rsid w:val="00D83621"/>
    <w:rsid w:val="00D83823"/>
    <w:rsid w:val="00D856F9"/>
    <w:rsid w:val="00D86E1C"/>
    <w:rsid w:val="00D877C1"/>
    <w:rsid w:val="00D87AEC"/>
    <w:rsid w:val="00D87C50"/>
    <w:rsid w:val="00D90A45"/>
    <w:rsid w:val="00D91400"/>
    <w:rsid w:val="00D91B26"/>
    <w:rsid w:val="00D91FB8"/>
    <w:rsid w:val="00D925A6"/>
    <w:rsid w:val="00D92B25"/>
    <w:rsid w:val="00D93206"/>
    <w:rsid w:val="00D93AD0"/>
    <w:rsid w:val="00D93DAC"/>
    <w:rsid w:val="00D95F03"/>
    <w:rsid w:val="00D96544"/>
    <w:rsid w:val="00D96F47"/>
    <w:rsid w:val="00D9768F"/>
    <w:rsid w:val="00DA007B"/>
    <w:rsid w:val="00DA0495"/>
    <w:rsid w:val="00DA2141"/>
    <w:rsid w:val="00DA2259"/>
    <w:rsid w:val="00DA2CCA"/>
    <w:rsid w:val="00DA32AF"/>
    <w:rsid w:val="00DA348E"/>
    <w:rsid w:val="00DA43B1"/>
    <w:rsid w:val="00DA44A1"/>
    <w:rsid w:val="00DA48A6"/>
    <w:rsid w:val="00DA59D6"/>
    <w:rsid w:val="00DA65F4"/>
    <w:rsid w:val="00DA76C7"/>
    <w:rsid w:val="00DA7826"/>
    <w:rsid w:val="00DA7FA0"/>
    <w:rsid w:val="00DB0223"/>
    <w:rsid w:val="00DB1159"/>
    <w:rsid w:val="00DB1161"/>
    <w:rsid w:val="00DB11E7"/>
    <w:rsid w:val="00DB19EE"/>
    <w:rsid w:val="00DB1FBC"/>
    <w:rsid w:val="00DB2110"/>
    <w:rsid w:val="00DB327A"/>
    <w:rsid w:val="00DB3B69"/>
    <w:rsid w:val="00DB3D15"/>
    <w:rsid w:val="00DB3ED7"/>
    <w:rsid w:val="00DB4730"/>
    <w:rsid w:val="00DB4808"/>
    <w:rsid w:val="00DB4F33"/>
    <w:rsid w:val="00DB59DF"/>
    <w:rsid w:val="00DB5E62"/>
    <w:rsid w:val="00DB6336"/>
    <w:rsid w:val="00DB6713"/>
    <w:rsid w:val="00DB737A"/>
    <w:rsid w:val="00DC0B8E"/>
    <w:rsid w:val="00DC151D"/>
    <w:rsid w:val="00DC1C30"/>
    <w:rsid w:val="00DC25A3"/>
    <w:rsid w:val="00DC2A46"/>
    <w:rsid w:val="00DC2B37"/>
    <w:rsid w:val="00DC2D7F"/>
    <w:rsid w:val="00DC2F88"/>
    <w:rsid w:val="00DC3274"/>
    <w:rsid w:val="00DC3B91"/>
    <w:rsid w:val="00DC3DAF"/>
    <w:rsid w:val="00DC3F1C"/>
    <w:rsid w:val="00DC3F36"/>
    <w:rsid w:val="00DC3FC6"/>
    <w:rsid w:val="00DC49CE"/>
    <w:rsid w:val="00DC5214"/>
    <w:rsid w:val="00DC556A"/>
    <w:rsid w:val="00DC5EDA"/>
    <w:rsid w:val="00DC639B"/>
    <w:rsid w:val="00DD00F3"/>
    <w:rsid w:val="00DD0595"/>
    <w:rsid w:val="00DD0C47"/>
    <w:rsid w:val="00DD1E0C"/>
    <w:rsid w:val="00DD1F12"/>
    <w:rsid w:val="00DD2737"/>
    <w:rsid w:val="00DD2D66"/>
    <w:rsid w:val="00DD3BAE"/>
    <w:rsid w:val="00DD3D72"/>
    <w:rsid w:val="00DD3F0A"/>
    <w:rsid w:val="00DD41ED"/>
    <w:rsid w:val="00DD43D7"/>
    <w:rsid w:val="00DD55D3"/>
    <w:rsid w:val="00DD5CF7"/>
    <w:rsid w:val="00DD5E7C"/>
    <w:rsid w:val="00DD7875"/>
    <w:rsid w:val="00DD79FB"/>
    <w:rsid w:val="00DD7D30"/>
    <w:rsid w:val="00DE116D"/>
    <w:rsid w:val="00DE15F1"/>
    <w:rsid w:val="00DE2BB1"/>
    <w:rsid w:val="00DE2D6F"/>
    <w:rsid w:val="00DE50B4"/>
    <w:rsid w:val="00DE5180"/>
    <w:rsid w:val="00DE5702"/>
    <w:rsid w:val="00DE583B"/>
    <w:rsid w:val="00DE58BE"/>
    <w:rsid w:val="00DE5DDE"/>
    <w:rsid w:val="00DE6564"/>
    <w:rsid w:val="00DE6B48"/>
    <w:rsid w:val="00DE7534"/>
    <w:rsid w:val="00DE7996"/>
    <w:rsid w:val="00DF00ED"/>
    <w:rsid w:val="00DF0379"/>
    <w:rsid w:val="00DF0E49"/>
    <w:rsid w:val="00DF1049"/>
    <w:rsid w:val="00DF11D7"/>
    <w:rsid w:val="00DF18A4"/>
    <w:rsid w:val="00DF2140"/>
    <w:rsid w:val="00DF21F4"/>
    <w:rsid w:val="00DF35E0"/>
    <w:rsid w:val="00DF4045"/>
    <w:rsid w:val="00DF449C"/>
    <w:rsid w:val="00DF4C4C"/>
    <w:rsid w:val="00DF4EB7"/>
    <w:rsid w:val="00DF4F71"/>
    <w:rsid w:val="00DF579F"/>
    <w:rsid w:val="00DF5DCC"/>
    <w:rsid w:val="00DF5E24"/>
    <w:rsid w:val="00DF62A0"/>
    <w:rsid w:val="00DF71B7"/>
    <w:rsid w:val="00DF742D"/>
    <w:rsid w:val="00E003FC"/>
    <w:rsid w:val="00E005AE"/>
    <w:rsid w:val="00E007F1"/>
    <w:rsid w:val="00E009BC"/>
    <w:rsid w:val="00E01089"/>
    <w:rsid w:val="00E01705"/>
    <w:rsid w:val="00E01B7C"/>
    <w:rsid w:val="00E01BCF"/>
    <w:rsid w:val="00E039DC"/>
    <w:rsid w:val="00E03BD2"/>
    <w:rsid w:val="00E04064"/>
    <w:rsid w:val="00E04A5D"/>
    <w:rsid w:val="00E04D7A"/>
    <w:rsid w:val="00E051A9"/>
    <w:rsid w:val="00E05B63"/>
    <w:rsid w:val="00E066B5"/>
    <w:rsid w:val="00E06ADA"/>
    <w:rsid w:val="00E10901"/>
    <w:rsid w:val="00E10981"/>
    <w:rsid w:val="00E110D9"/>
    <w:rsid w:val="00E1126C"/>
    <w:rsid w:val="00E11478"/>
    <w:rsid w:val="00E117B9"/>
    <w:rsid w:val="00E118DE"/>
    <w:rsid w:val="00E11B23"/>
    <w:rsid w:val="00E11E0B"/>
    <w:rsid w:val="00E12348"/>
    <w:rsid w:val="00E130D6"/>
    <w:rsid w:val="00E134F2"/>
    <w:rsid w:val="00E13EFC"/>
    <w:rsid w:val="00E140B3"/>
    <w:rsid w:val="00E147B0"/>
    <w:rsid w:val="00E14876"/>
    <w:rsid w:val="00E14FDD"/>
    <w:rsid w:val="00E16281"/>
    <w:rsid w:val="00E164EA"/>
    <w:rsid w:val="00E16DE3"/>
    <w:rsid w:val="00E174FF"/>
    <w:rsid w:val="00E17551"/>
    <w:rsid w:val="00E17C2C"/>
    <w:rsid w:val="00E2081B"/>
    <w:rsid w:val="00E2114F"/>
    <w:rsid w:val="00E21603"/>
    <w:rsid w:val="00E21CB7"/>
    <w:rsid w:val="00E220C0"/>
    <w:rsid w:val="00E22270"/>
    <w:rsid w:val="00E223A0"/>
    <w:rsid w:val="00E22CEF"/>
    <w:rsid w:val="00E23F41"/>
    <w:rsid w:val="00E2461E"/>
    <w:rsid w:val="00E24B87"/>
    <w:rsid w:val="00E24E0C"/>
    <w:rsid w:val="00E251A4"/>
    <w:rsid w:val="00E25698"/>
    <w:rsid w:val="00E25739"/>
    <w:rsid w:val="00E25779"/>
    <w:rsid w:val="00E25EFA"/>
    <w:rsid w:val="00E262B9"/>
    <w:rsid w:val="00E26C99"/>
    <w:rsid w:val="00E26CE5"/>
    <w:rsid w:val="00E26D00"/>
    <w:rsid w:val="00E26E8F"/>
    <w:rsid w:val="00E2732C"/>
    <w:rsid w:val="00E2733B"/>
    <w:rsid w:val="00E27480"/>
    <w:rsid w:val="00E275AA"/>
    <w:rsid w:val="00E27970"/>
    <w:rsid w:val="00E30376"/>
    <w:rsid w:val="00E30620"/>
    <w:rsid w:val="00E30BF8"/>
    <w:rsid w:val="00E311D8"/>
    <w:rsid w:val="00E3225C"/>
    <w:rsid w:val="00E32823"/>
    <w:rsid w:val="00E32F26"/>
    <w:rsid w:val="00E3342B"/>
    <w:rsid w:val="00E334FF"/>
    <w:rsid w:val="00E338D5"/>
    <w:rsid w:val="00E33D56"/>
    <w:rsid w:val="00E34741"/>
    <w:rsid w:val="00E35365"/>
    <w:rsid w:val="00E35768"/>
    <w:rsid w:val="00E363BD"/>
    <w:rsid w:val="00E366EA"/>
    <w:rsid w:val="00E36B80"/>
    <w:rsid w:val="00E37875"/>
    <w:rsid w:val="00E37914"/>
    <w:rsid w:val="00E40497"/>
    <w:rsid w:val="00E40584"/>
    <w:rsid w:val="00E40649"/>
    <w:rsid w:val="00E40A7A"/>
    <w:rsid w:val="00E41850"/>
    <w:rsid w:val="00E42585"/>
    <w:rsid w:val="00E451A9"/>
    <w:rsid w:val="00E4525A"/>
    <w:rsid w:val="00E45BC2"/>
    <w:rsid w:val="00E45DE0"/>
    <w:rsid w:val="00E46BDB"/>
    <w:rsid w:val="00E47AD5"/>
    <w:rsid w:val="00E5078E"/>
    <w:rsid w:val="00E51128"/>
    <w:rsid w:val="00E51564"/>
    <w:rsid w:val="00E51648"/>
    <w:rsid w:val="00E51769"/>
    <w:rsid w:val="00E540D2"/>
    <w:rsid w:val="00E541E2"/>
    <w:rsid w:val="00E54CD7"/>
    <w:rsid w:val="00E55CCA"/>
    <w:rsid w:val="00E56DF7"/>
    <w:rsid w:val="00E572C2"/>
    <w:rsid w:val="00E57F1E"/>
    <w:rsid w:val="00E601DB"/>
    <w:rsid w:val="00E606CA"/>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916"/>
    <w:rsid w:val="00E65C79"/>
    <w:rsid w:val="00E65E00"/>
    <w:rsid w:val="00E6641B"/>
    <w:rsid w:val="00E66450"/>
    <w:rsid w:val="00E66FC2"/>
    <w:rsid w:val="00E677A6"/>
    <w:rsid w:val="00E714F0"/>
    <w:rsid w:val="00E71696"/>
    <w:rsid w:val="00E71B49"/>
    <w:rsid w:val="00E72593"/>
    <w:rsid w:val="00E72F09"/>
    <w:rsid w:val="00E75117"/>
    <w:rsid w:val="00E75B4B"/>
    <w:rsid w:val="00E7631E"/>
    <w:rsid w:val="00E76D29"/>
    <w:rsid w:val="00E77270"/>
    <w:rsid w:val="00E80179"/>
    <w:rsid w:val="00E80253"/>
    <w:rsid w:val="00E80A5A"/>
    <w:rsid w:val="00E80B7A"/>
    <w:rsid w:val="00E80E7E"/>
    <w:rsid w:val="00E81841"/>
    <w:rsid w:val="00E81A69"/>
    <w:rsid w:val="00E8329D"/>
    <w:rsid w:val="00E84782"/>
    <w:rsid w:val="00E84902"/>
    <w:rsid w:val="00E84937"/>
    <w:rsid w:val="00E84C91"/>
    <w:rsid w:val="00E853F3"/>
    <w:rsid w:val="00E861E5"/>
    <w:rsid w:val="00E86B0D"/>
    <w:rsid w:val="00E86DF3"/>
    <w:rsid w:val="00E875F1"/>
    <w:rsid w:val="00E907AA"/>
    <w:rsid w:val="00E90FBE"/>
    <w:rsid w:val="00E910A1"/>
    <w:rsid w:val="00E91491"/>
    <w:rsid w:val="00E9200D"/>
    <w:rsid w:val="00E92107"/>
    <w:rsid w:val="00E921B3"/>
    <w:rsid w:val="00E9278F"/>
    <w:rsid w:val="00E94E4E"/>
    <w:rsid w:val="00E95CE0"/>
    <w:rsid w:val="00E96907"/>
    <w:rsid w:val="00E96CEB"/>
    <w:rsid w:val="00E97AA1"/>
    <w:rsid w:val="00EA09A9"/>
    <w:rsid w:val="00EA1E53"/>
    <w:rsid w:val="00EA1FD6"/>
    <w:rsid w:val="00EA265C"/>
    <w:rsid w:val="00EA2CF6"/>
    <w:rsid w:val="00EA368F"/>
    <w:rsid w:val="00EA4123"/>
    <w:rsid w:val="00EA423E"/>
    <w:rsid w:val="00EA445A"/>
    <w:rsid w:val="00EA484B"/>
    <w:rsid w:val="00EA499F"/>
    <w:rsid w:val="00EA52BC"/>
    <w:rsid w:val="00EA5BA9"/>
    <w:rsid w:val="00EA5DC3"/>
    <w:rsid w:val="00EA6103"/>
    <w:rsid w:val="00EA636C"/>
    <w:rsid w:val="00EA74B3"/>
    <w:rsid w:val="00EA7955"/>
    <w:rsid w:val="00EA7C0D"/>
    <w:rsid w:val="00EB15CB"/>
    <w:rsid w:val="00EB1AD9"/>
    <w:rsid w:val="00EB2D78"/>
    <w:rsid w:val="00EB2DAC"/>
    <w:rsid w:val="00EB2E2D"/>
    <w:rsid w:val="00EB40B0"/>
    <w:rsid w:val="00EB40C3"/>
    <w:rsid w:val="00EB4F42"/>
    <w:rsid w:val="00EB57C7"/>
    <w:rsid w:val="00EB657E"/>
    <w:rsid w:val="00EB6C55"/>
    <w:rsid w:val="00EC01DF"/>
    <w:rsid w:val="00EC03C0"/>
    <w:rsid w:val="00EC0DCF"/>
    <w:rsid w:val="00EC14E5"/>
    <w:rsid w:val="00EC1C1D"/>
    <w:rsid w:val="00EC23B1"/>
    <w:rsid w:val="00EC24BF"/>
    <w:rsid w:val="00EC3619"/>
    <w:rsid w:val="00EC36AF"/>
    <w:rsid w:val="00EC3D32"/>
    <w:rsid w:val="00EC580F"/>
    <w:rsid w:val="00EC5C6F"/>
    <w:rsid w:val="00EC5F69"/>
    <w:rsid w:val="00EC61B2"/>
    <w:rsid w:val="00EC71F3"/>
    <w:rsid w:val="00EC771D"/>
    <w:rsid w:val="00EC7724"/>
    <w:rsid w:val="00ED10B6"/>
    <w:rsid w:val="00ED169E"/>
    <w:rsid w:val="00ED1BAB"/>
    <w:rsid w:val="00ED261B"/>
    <w:rsid w:val="00ED3070"/>
    <w:rsid w:val="00ED3F89"/>
    <w:rsid w:val="00ED4091"/>
    <w:rsid w:val="00ED46E8"/>
    <w:rsid w:val="00ED4E0E"/>
    <w:rsid w:val="00ED4FF1"/>
    <w:rsid w:val="00ED514B"/>
    <w:rsid w:val="00ED5EF1"/>
    <w:rsid w:val="00ED6D78"/>
    <w:rsid w:val="00ED71E2"/>
    <w:rsid w:val="00ED74F5"/>
    <w:rsid w:val="00ED75E1"/>
    <w:rsid w:val="00ED7F8E"/>
    <w:rsid w:val="00EE0085"/>
    <w:rsid w:val="00EE08E2"/>
    <w:rsid w:val="00EE1A66"/>
    <w:rsid w:val="00EE42B9"/>
    <w:rsid w:val="00EE4913"/>
    <w:rsid w:val="00EE5EEB"/>
    <w:rsid w:val="00EE6B60"/>
    <w:rsid w:val="00EE6DB0"/>
    <w:rsid w:val="00EE78A9"/>
    <w:rsid w:val="00EE7E30"/>
    <w:rsid w:val="00EE7EB2"/>
    <w:rsid w:val="00EF1C5F"/>
    <w:rsid w:val="00EF2162"/>
    <w:rsid w:val="00EF21EE"/>
    <w:rsid w:val="00EF230B"/>
    <w:rsid w:val="00EF3228"/>
    <w:rsid w:val="00EF336D"/>
    <w:rsid w:val="00EF34E6"/>
    <w:rsid w:val="00EF36C5"/>
    <w:rsid w:val="00EF3D16"/>
    <w:rsid w:val="00EF4EE7"/>
    <w:rsid w:val="00EF62E4"/>
    <w:rsid w:val="00EF78B6"/>
    <w:rsid w:val="00EF7C60"/>
    <w:rsid w:val="00EF7E2D"/>
    <w:rsid w:val="00F001BF"/>
    <w:rsid w:val="00F002B6"/>
    <w:rsid w:val="00F002CF"/>
    <w:rsid w:val="00F00900"/>
    <w:rsid w:val="00F00A27"/>
    <w:rsid w:val="00F00B39"/>
    <w:rsid w:val="00F00FB7"/>
    <w:rsid w:val="00F01A68"/>
    <w:rsid w:val="00F02248"/>
    <w:rsid w:val="00F0229C"/>
    <w:rsid w:val="00F031FB"/>
    <w:rsid w:val="00F039C5"/>
    <w:rsid w:val="00F041D4"/>
    <w:rsid w:val="00F047C8"/>
    <w:rsid w:val="00F04D05"/>
    <w:rsid w:val="00F05E3D"/>
    <w:rsid w:val="00F06035"/>
    <w:rsid w:val="00F0624D"/>
    <w:rsid w:val="00F068E8"/>
    <w:rsid w:val="00F07101"/>
    <w:rsid w:val="00F07268"/>
    <w:rsid w:val="00F075C5"/>
    <w:rsid w:val="00F07C04"/>
    <w:rsid w:val="00F106ED"/>
    <w:rsid w:val="00F10A46"/>
    <w:rsid w:val="00F10DAD"/>
    <w:rsid w:val="00F116C7"/>
    <w:rsid w:val="00F12086"/>
    <w:rsid w:val="00F1290F"/>
    <w:rsid w:val="00F12E1B"/>
    <w:rsid w:val="00F12FBB"/>
    <w:rsid w:val="00F13673"/>
    <w:rsid w:val="00F143BF"/>
    <w:rsid w:val="00F14F39"/>
    <w:rsid w:val="00F15FEA"/>
    <w:rsid w:val="00F1619F"/>
    <w:rsid w:val="00F167EA"/>
    <w:rsid w:val="00F16D98"/>
    <w:rsid w:val="00F20878"/>
    <w:rsid w:val="00F210EE"/>
    <w:rsid w:val="00F21815"/>
    <w:rsid w:val="00F22175"/>
    <w:rsid w:val="00F23067"/>
    <w:rsid w:val="00F230A2"/>
    <w:rsid w:val="00F23546"/>
    <w:rsid w:val="00F23656"/>
    <w:rsid w:val="00F23776"/>
    <w:rsid w:val="00F238BE"/>
    <w:rsid w:val="00F23BA8"/>
    <w:rsid w:val="00F24170"/>
    <w:rsid w:val="00F245D1"/>
    <w:rsid w:val="00F252AB"/>
    <w:rsid w:val="00F26B13"/>
    <w:rsid w:val="00F2721C"/>
    <w:rsid w:val="00F2747F"/>
    <w:rsid w:val="00F2757D"/>
    <w:rsid w:val="00F27936"/>
    <w:rsid w:val="00F30061"/>
    <w:rsid w:val="00F3070D"/>
    <w:rsid w:val="00F3080B"/>
    <w:rsid w:val="00F30964"/>
    <w:rsid w:val="00F30A60"/>
    <w:rsid w:val="00F3149E"/>
    <w:rsid w:val="00F3166E"/>
    <w:rsid w:val="00F31896"/>
    <w:rsid w:val="00F328C2"/>
    <w:rsid w:val="00F32E4F"/>
    <w:rsid w:val="00F333C3"/>
    <w:rsid w:val="00F33ADF"/>
    <w:rsid w:val="00F34063"/>
    <w:rsid w:val="00F3417F"/>
    <w:rsid w:val="00F34F0A"/>
    <w:rsid w:val="00F351CB"/>
    <w:rsid w:val="00F401F3"/>
    <w:rsid w:val="00F4109D"/>
    <w:rsid w:val="00F41333"/>
    <w:rsid w:val="00F413B8"/>
    <w:rsid w:val="00F41570"/>
    <w:rsid w:val="00F42340"/>
    <w:rsid w:val="00F424C4"/>
    <w:rsid w:val="00F42E07"/>
    <w:rsid w:val="00F42EF4"/>
    <w:rsid w:val="00F44737"/>
    <w:rsid w:val="00F448A6"/>
    <w:rsid w:val="00F45198"/>
    <w:rsid w:val="00F4643D"/>
    <w:rsid w:val="00F466A6"/>
    <w:rsid w:val="00F46B94"/>
    <w:rsid w:val="00F47161"/>
    <w:rsid w:val="00F4721E"/>
    <w:rsid w:val="00F4729D"/>
    <w:rsid w:val="00F47E41"/>
    <w:rsid w:val="00F50622"/>
    <w:rsid w:val="00F507E8"/>
    <w:rsid w:val="00F51B87"/>
    <w:rsid w:val="00F51C68"/>
    <w:rsid w:val="00F520DB"/>
    <w:rsid w:val="00F52DD7"/>
    <w:rsid w:val="00F52E66"/>
    <w:rsid w:val="00F54623"/>
    <w:rsid w:val="00F551BF"/>
    <w:rsid w:val="00F5535E"/>
    <w:rsid w:val="00F55B6C"/>
    <w:rsid w:val="00F57917"/>
    <w:rsid w:val="00F57D61"/>
    <w:rsid w:val="00F6003F"/>
    <w:rsid w:val="00F60475"/>
    <w:rsid w:val="00F634D4"/>
    <w:rsid w:val="00F6371B"/>
    <w:rsid w:val="00F63A1C"/>
    <w:rsid w:val="00F646DB"/>
    <w:rsid w:val="00F64E92"/>
    <w:rsid w:val="00F658A2"/>
    <w:rsid w:val="00F65DF5"/>
    <w:rsid w:val="00F6607D"/>
    <w:rsid w:val="00F66139"/>
    <w:rsid w:val="00F66DA2"/>
    <w:rsid w:val="00F70007"/>
    <w:rsid w:val="00F7120F"/>
    <w:rsid w:val="00F7144F"/>
    <w:rsid w:val="00F71EEC"/>
    <w:rsid w:val="00F71EF4"/>
    <w:rsid w:val="00F721FC"/>
    <w:rsid w:val="00F72D1E"/>
    <w:rsid w:val="00F7338C"/>
    <w:rsid w:val="00F7373D"/>
    <w:rsid w:val="00F73958"/>
    <w:rsid w:val="00F739A0"/>
    <w:rsid w:val="00F73B43"/>
    <w:rsid w:val="00F73FC6"/>
    <w:rsid w:val="00F7400D"/>
    <w:rsid w:val="00F74B80"/>
    <w:rsid w:val="00F76604"/>
    <w:rsid w:val="00F76715"/>
    <w:rsid w:val="00F7771C"/>
    <w:rsid w:val="00F77E58"/>
    <w:rsid w:val="00F77F79"/>
    <w:rsid w:val="00F8091A"/>
    <w:rsid w:val="00F8107E"/>
    <w:rsid w:val="00F81EBE"/>
    <w:rsid w:val="00F82F72"/>
    <w:rsid w:val="00F8353E"/>
    <w:rsid w:val="00F841BB"/>
    <w:rsid w:val="00F851B3"/>
    <w:rsid w:val="00F85C06"/>
    <w:rsid w:val="00F860CC"/>
    <w:rsid w:val="00F86653"/>
    <w:rsid w:val="00F86FA9"/>
    <w:rsid w:val="00F8705D"/>
    <w:rsid w:val="00F87802"/>
    <w:rsid w:val="00F87A14"/>
    <w:rsid w:val="00F87F6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B70"/>
    <w:rsid w:val="00FA0317"/>
    <w:rsid w:val="00FA0B68"/>
    <w:rsid w:val="00FA1099"/>
    <w:rsid w:val="00FA1C54"/>
    <w:rsid w:val="00FA2275"/>
    <w:rsid w:val="00FA2968"/>
    <w:rsid w:val="00FA2FD9"/>
    <w:rsid w:val="00FA3184"/>
    <w:rsid w:val="00FA52DD"/>
    <w:rsid w:val="00FA59EB"/>
    <w:rsid w:val="00FA6FE5"/>
    <w:rsid w:val="00FA74E4"/>
    <w:rsid w:val="00FA768D"/>
    <w:rsid w:val="00FA794D"/>
    <w:rsid w:val="00FB0098"/>
    <w:rsid w:val="00FB13B0"/>
    <w:rsid w:val="00FB1706"/>
    <w:rsid w:val="00FB1D89"/>
    <w:rsid w:val="00FB33ED"/>
    <w:rsid w:val="00FB3965"/>
    <w:rsid w:val="00FB3BD8"/>
    <w:rsid w:val="00FB44DD"/>
    <w:rsid w:val="00FB4835"/>
    <w:rsid w:val="00FB48C3"/>
    <w:rsid w:val="00FB4A67"/>
    <w:rsid w:val="00FB5121"/>
    <w:rsid w:val="00FB5C72"/>
    <w:rsid w:val="00FB5CE4"/>
    <w:rsid w:val="00FB67CD"/>
    <w:rsid w:val="00FB7382"/>
    <w:rsid w:val="00FC045A"/>
    <w:rsid w:val="00FC06A4"/>
    <w:rsid w:val="00FC0F71"/>
    <w:rsid w:val="00FC1176"/>
    <w:rsid w:val="00FC1DD8"/>
    <w:rsid w:val="00FC2159"/>
    <w:rsid w:val="00FC2390"/>
    <w:rsid w:val="00FC266E"/>
    <w:rsid w:val="00FC3187"/>
    <w:rsid w:val="00FC3905"/>
    <w:rsid w:val="00FC40BB"/>
    <w:rsid w:val="00FC466A"/>
    <w:rsid w:val="00FC5BB8"/>
    <w:rsid w:val="00FC62C5"/>
    <w:rsid w:val="00FC7FB7"/>
    <w:rsid w:val="00FD0D4D"/>
    <w:rsid w:val="00FD1987"/>
    <w:rsid w:val="00FD34CC"/>
    <w:rsid w:val="00FD39FA"/>
    <w:rsid w:val="00FD3CD7"/>
    <w:rsid w:val="00FD4124"/>
    <w:rsid w:val="00FD5710"/>
    <w:rsid w:val="00FD58C4"/>
    <w:rsid w:val="00FD5FF3"/>
    <w:rsid w:val="00FD73D5"/>
    <w:rsid w:val="00FD7A7F"/>
    <w:rsid w:val="00FD7E32"/>
    <w:rsid w:val="00FE1B14"/>
    <w:rsid w:val="00FE20F5"/>
    <w:rsid w:val="00FE24AF"/>
    <w:rsid w:val="00FE29D1"/>
    <w:rsid w:val="00FE2DFF"/>
    <w:rsid w:val="00FE2E31"/>
    <w:rsid w:val="00FE30A7"/>
    <w:rsid w:val="00FE358C"/>
    <w:rsid w:val="00FE36E1"/>
    <w:rsid w:val="00FE3989"/>
    <w:rsid w:val="00FE39AD"/>
    <w:rsid w:val="00FE3B66"/>
    <w:rsid w:val="00FE45A8"/>
    <w:rsid w:val="00FE47B7"/>
    <w:rsid w:val="00FE47BB"/>
    <w:rsid w:val="00FE48F0"/>
    <w:rsid w:val="00FE65BD"/>
    <w:rsid w:val="00FE6BE3"/>
    <w:rsid w:val="00FE6EC5"/>
    <w:rsid w:val="00FE79E1"/>
    <w:rsid w:val="00FF0557"/>
    <w:rsid w:val="00FF0C44"/>
    <w:rsid w:val="00FF1365"/>
    <w:rsid w:val="00FF13E0"/>
    <w:rsid w:val="00FF1602"/>
    <w:rsid w:val="00FF17B3"/>
    <w:rsid w:val="00FF17D2"/>
    <w:rsid w:val="00FF2152"/>
    <w:rsid w:val="00FF22F3"/>
    <w:rsid w:val="00FF2CD9"/>
    <w:rsid w:val="00FF40D3"/>
    <w:rsid w:val="00FF4E16"/>
    <w:rsid w:val="00FF557C"/>
    <w:rsid w:val="00FF5C55"/>
    <w:rsid w:val="00FF64FB"/>
    <w:rsid w:val="00FF6D32"/>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5ED9DFBF"/>
  <w15:docId w15:val="{8AFA4C33-EDC7-44A4-B962-8686EAB7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97"/>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pPr>
      <w:ind w:left="354"/>
      <w:outlineLvl w:val="2"/>
    </w:pPr>
    <w:rPr>
      <w:rFonts w:cs="Times New Roman"/>
      <w:b/>
      <w:bCs/>
      <w:sz w:val="20"/>
      <w:szCs w:val="20"/>
    </w:rPr>
  </w:style>
  <w:style w:type="paragraph" w:styleId="Ttulo4">
    <w:name w:val="heading 4"/>
    <w:basedOn w:val="Normal"/>
    <w:next w:val="Sangranormal"/>
    <w:qFormat/>
    <w:pPr>
      <w:ind w:left="354"/>
      <w:outlineLvl w:val="3"/>
    </w:pPr>
    <w:rPr>
      <w:rFonts w:cs="Times New Roman"/>
      <w:sz w:val="20"/>
      <w:szCs w:val="20"/>
      <w:u w:val="single"/>
    </w:rPr>
  </w:style>
  <w:style w:type="paragraph" w:styleId="Ttulo5">
    <w:name w:val="heading 5"/>
    <w:basedOn w:val="Normal"/>
    <w:next w:val="Sangranormal"/>
    <w:qFormat/>
    <w:pPr>
      <w:ind w:left="708"/>
      <w:outlineLvl w:val="4"/>
    </w:pPr>
    <w:rPr>
      <w:rFonts w:cs="Times New Roman"/>
      <w:b/>
      <w:bCs/>
      <w:sz w:val="20"/>
      <w:szCs w:val="20"/>
    </w:rPr>
  </w:style>
  <w:style w:type="paragraph" w:styleId="Ttulo6">
    <w:name w:val="heading 6"/>
    <w:basedOn w:val="Normal"/>
    <w:next w:val="Sangranormal"/>
    <w:qFormat/>
    <w:pPr>
      <w:ind w:left="708"/>
      <w:outlineLvl w:val="5"/>
    </w:pPr>
    <w:rPr>
      <w:rFonts w:cs="Times New Roman"/>
      <w:sz w:val="20"/>
      <w:szCs w:val="20"/>
      <w:u w:val="single"/>
    </w:rPr>
  </w:style>
  <w:style w:type="paragraph" w:styleId="Ttulo7">
    <w:name w:val="heading 7"/>
    <w:basedOn w:val="Normal"/>
    <w:next w:val="Sangranormal"/>
    <w:qFormat/>
    <w:pPr>
      <w:ind w:left="708"/>
      <w:outlineLvl w:val="6"/>
    </w:pPr>
    <w:rPr>
      <w:rFonts w:cs="Times New Roman"/>
      <w:i/>
      <w:iCs/>
      <w:sz w:val="20"/>
      <w:szCs w:val="20"/>
    </w:rPr>
  </w:style>
  <w:style w:type="paragraph" w:styleId="Ttulo8">
    <w:name w:val="heading 8"/>
    <w:basedOn w:val="Normal"/>
    <w:next w:val="Sangranormal"/>
    <w:qFormat/>
    <w:pPr>
      <w:ind w:left="708"/>
      <w:outlineLvl w:val="7"/>
    </w:pPr>
    <w:rPr>
      <w:rFonts w:cs="Times New Roman"/>
      <w:i/>
      <w:iCs/>
      <w:sz w:val="20"/>
      <w:szCs w:val="20"/>
    </w:rPr>
  </w:style>
  <w:style w:type="paragraph" w:styleId="Ttulo9">
    <w:name w:val="heading 9"/>
    <w:basedOn w:val="Normal"/>
    <w:next w:val="Sangranormal"/>
    <w:qFormat/>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pPr>
  </w:style>
  <w:style w:type="character" w:customStyle="1" w:styleId="Heading1Char">
    <w:name w:val="Heading 1 Char"/>
    <w:aliases w:val="título 1 Char,título 11 Char,título 12 Char"/>
    <w:rPr>
      <w:rFonts w:ascii="Helv" w:hAnsi="Helv" w:cs="Helv"/>
      <w:b/>
      <w:bCs/>
      <w:sz w:val="20"/>
      <w:szCs w:val="20"/>
      <w:u w:val="single"/>
      <w:lang w:val="es-ES_tradnl" w:eastAsia="es-ES"/>
    </w:rPr>
  </w:style>
  <w:style w:type="character" w:customStyle="1" w:styleId="Ttulo2Car">
    <w:name w:val="Título 2 Car"/>
    <w:aliases w:val="Tight Slug Car,título 2 Car"/>
    <w:locked/>
    <w:rPr>
      <w:rFonts w:ascii="Helv" w:hAnsi="Helv" w:cs="Helv"/>
      <w:b/>
      <w:bCs/>
      <w:sz w:val="20"/>
      <w:szCs w:val="20"/>
      <w:lang w:val="es-ES_tradnl" w:eastAsia="es-ES"/>
    </w:rPr>
  </w:style>
  <w:style w:type="character" w:customStyle="1" w:styleId="Ttulo3Car">
    <w:name w:val="Título 3 Car"/>
    <w:aliases w:val="Note to Director Car,título 3 Car"/>
    <w:locked/>
    <w:rPr>
      <w:rFonts w:ascii="Arial" w:hAnsi="Arial" w:cs="Arial"/>
      <w:b/>
      <w:bCs/>
      <w:sz w:val="20"/>
      <w:szCs w:val="20"/>
      <w:lang w:val="es-ES_tradnl" w:eastAsia="es-ES"/>
    </w:rPr>
  </w:style>
  <w:style w:type="character" w:customStyle="1" w:styleId="Ttulo4Car">
    <w:name w:val="Título 4 Car"/>
    <w:locked/>
    <w:rPr>
      <w:rFonts w:ascii="Arial" w:hAnsi="Arial" w:cs="Arial"/>
      <w:sz w:val="20"/>
      <w:szCs w:val="20"/>
      <w:u w:val="single"/>
      <w:lang w:val="es-ES_tradnl" w:eastAsia="es-ES"/>
    </w:rPr>
  </w:style>
  <w:style w:type="character" w:customStyle="1" w:styleId="Ttulo5Car">
    <w:name w:val="Título 5 Car"/>
    <w:locked/>
    <w:rPr>
      <w:rFonts w:ascii="Arial" w:hAnsi="Arial" w:cs="Arial"/>
      <w:b/>
      <w:bCs/>
      <w:sz w:val="20"/>
      <w:szCs w:val="20"/>
      <w:lang w:val="es-ES_tradnl" w:eastAsia="es-ES"/>
    </w:rPr>
  </w:style>
  <w:style w:type="character" w:customStyle="1" w:styleId="Ttulo6Car">
    <w:name w:val="Título 6 Car"/>
    <w:locked/>
    <w:rPr>
      <w:rFonts w:ascii="Arial" w:hAnsi="Arial" w:cs="Arial"/>
      <w:sz w:val="20"/>
      <w:szCs w:val="20"/>
      <w:u w:val="single"/>
      <w:lang w:val="es-ES_tradnl" w:eastAsia="es-ES"/>
    </w:rPr>
  </w:style>
  <w:style w:type="character" w:customStyle="1" w:styleId="Ttulo7Car">
    <w:name w:val="Título 7 Car"/>
    <w:locked/>
    <w:rPr>
      <w:rFonts w:ascii="Arial" w:hAnsi="Arial" w:cs="Arial"/>
      <w:i/>
      <w:iCs/>
      <w:sz w:val="20"/>
      <w:szCs w:val="20"/>
      <w:lang w:val="es-ES_tradnl" w:eastAsia="es-ES"/>
    </w:rPr>
  </w:style>
  <w:style w:type="character" w:customStyle="1" w:styleId="Ttulo8Car">
    <w:name w:val="Título 8 Car"/>
    <w:locked/>
    <w:rPr>
      <w:rFonts w:ascii="Arial" w:hAnsi="Arial" w:cs="Arial"/>
      <w:i/>
      <w:iCs/>
      <w:sz w:val="20"/>
      <w:szCs w:val="20"/>
      <w:lang w:val="es-ES_tradnl" w:eastAsia="es-ES"/>
    </w:rPr>
  </w:style>
  <w:style w:type="character" w:customStyle="1" w:styleId="Ttulo9Car">
    <w:name w:val="Título 9 Car"/>
    <w:locked/>
    <w:rPr>
      <w:rFonts w:ascii="Arial" w:hAnsi="Arial" w:cs="Arial"/>
      <w:i/>
      <w:iCs/>
      <w:sz w:val="20"/>
      <w:szCs w:val="20"/>
      <w:lang w:val="es-ES_tradnl" w:eastAsia="es-ES"/>
    </w:rPr>
  </w:style>
  <w:style w:type="character" w:customStyle="1" w:styleId="Ttulo1Car">
    <w:name w:val="Título 1 Car"/>
    <w:aliases w:val="título 1 Car,título 11 Car,título 12 Car"/>
    <w:locked/>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Pr>
      <w:rFonts w:ascii="Arial" w:hAnsi="Arial" w:cs="Arial"/>
      <w:sz w:val="20"/>
      <w:szCs w:val="20"/>
      <w:lang w:val="es-ES_tradnl" w:eastAsia="es-ES"/>
    </w:rPr>
  </w:style>
  <w:style w:type="paragraph" w:styleId="Encabezado">
    <w:name w:val="header"/>
    <w:aliases w:val="encabezado,encabezado1,encabezado2,Page Header,Header"/>
    <w:basedOn w:val="Normal"/>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Pr>
      <w:rFonts w:ascii="Arial" w:hAnsi="Arial" w:cs="Arial"/>
      <w:sz w:val="20"/>
      <w:szCs w:val="20"/>
      <w:lang w:val="es-ES_tradnl" w:eastAsia="es-ES"/>
    </w:rPr>
  </w:style>
  <w:style w:type="character" w:styleId="Refdenotaalpie">
    <w:name w:val="footnote reference"/>
    <w:semiHidden/>
    <w:rPr>
      <w:rFonts w:cs="Times New Roman"/>
      <w:position w:val="6"/>
      <w:sz w:val="16"/>
      <w:szCs w:val="16"/>
    </w:rPr>
  </w:style>
  <w:style w:type="paragraph" w:styleId="Textonotapie">
    <w:name w:val="footnote text"/>
    <w:basedOn w:val="Normal"/>
    <w:semiHidden/>
    <w:rPr>
      <w:rFonts w:cs="Times New Roman"/>
      <w:sz w:val="20"/>
      <w:szCs w:val="20"/>
    </w:rPr>
  </w:style>
  <w:style w:type="character" w:customStyle="1" w:styleId="TextonotapieCar">
    <w:name w:val="Texto nota pie Car"/>
    <w:semiHidden/>
    <w:locked/>
    <w:rPr>
      <w:rFonts w:ascii="Arial" w:hAnsi="Arial" w:cs="Arial"/>
      <w:sz w:val="20"/>
      <w:szCs w:val="20"/>
      <w:lang w:val="es-ES_tradnl" w:eastAsia="es-ES"/>
    </w:rPr>
  </w:style>
  <w:style w:type="paragraph" w:customStyle="1" w:styleId="notaalpie">
    <w:name w:val="nota al pie"/>
    <w:basedOn w:val="Normal"/>
    <w:rPr>
      <w:sz w:val="20"/>
      <w:szCs w:val="20"/>
    </w:rPr>
  </w:style>
  <w:style w:type="paragraph" w:customStyle="1" w:styleId="refnotaalpie">
    <w:name w:val="ref. nota al pie"/>
    <w:basedOn w:val="Normal"/>
    <w:rPr>
      <w:position w:val="6"/>
      <w:sz w:val="20"/>
      <w:szCs w:val="20"/>
    </w:rPr>
  </w:style>
  <w:style w:type="paragraph" w:customStyle="1" w:styleId="Textual">
    <w:name w:val="Textual"/>
    <w:basedOn w:val="Normal"/>
    <w:pPr>
      <w:pBdr>
        <w:top w:val="single" w:sz="6" w:space="1" w:color="auto"/>
        <w:left w:val="single" w:sz="6" w:space="1" w:color="auto"/>
        <w:bottom w:val="single" w:sz="6" w:space="1" w:color="auto"/>
        <w:right w:val="single" w:sz="6" w:space="1" w:color="auto"/>
      </w:pBdr>
    </w:pPr>
  </w:style>
  <w:style w:type="character" w:styleId="Nmerodepgina">
    <w:name w:val="page number"/>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semiHidden/>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Pr>
      <w:rFonts w:ascii="Arial" w:hAnsi="Arial" w:cs="Arial"/>
      <w:b/>
      <w:bCs/>
      <w:sz w:val="20"/>
      <w:szCs w:val="20"/>
      <w:lang w:val="es-ES_tradnl" w:eastAsia="es-ES"/>
    </w:rPr>
  </w:style>
  <w:style w:type="paragraph" w:styleId="Textoindependiente2">
    <w:name w:val="Body Text 2"/>
    <w:basedOn w:val="Normal"/>
    <w:pPr>
      <w:keepNext/>
    </w:pPr>
    <w:rPr>
      <w:rFonts w:cs="Times New Roman"/>
      <w:i/>
      <w:iCs/>
      <w:color w:val="000000"/>
      <w:sz w:val="20"/>
      <w:szCs w:val="20"/>
    </w:rPr>
  </w:style>
  <w:style w:type="character" w:customStyle="1" w:styleId="Textoindependiente2Car">
    <w:name w:val="Texto independiente 2 Car"/>
    <w:locked/>
    <w:rPr>
      <w:rFonts w:ascii="Arial" w:hAnsi="Arial" w:cs="Arial"/>
      <w:i/>
      <w:iCs/>
      <w:color w:val="000000"/>
      <w:sz w:val="20"/>
      <w:szCs w:val="20"/>
      <w:lang w:val="es-ES_tradnl" w:eastAsia="es-ES"/>
    </w:rPr>
  </w:style>
  <w:style w:type="paragraph" w:styleId="Ttulo">
    <w:name w:val="Title"/>
    <w:basedOn w:val="Normal"/>
    <w:qFormat/>
    <w:pPr>
      <w:spacing w:line="240" w:lineRule="atLeast"/>
      <w:jc w:val="center"/>
    </w:pPr>
    <w:rPr>
      <w:rFonts w:cs="Times New Roman"/>
      <w:b/>
      <w:bCs/>
      <w:color w:val="000000"/>
      <w:sz w:val="20"/>
      <w:szCs w:val="20"/>
    </w:rPr>
  </w:style>
  <w:style w:type="character" w:customStyle="1" w:styleId="TtuloCar">
    <w:name w:val="Título Car"/>
    <w:link w:val="1"/>
    <w:locked/>
    <w:rPr>
      <w:rFonts w:ascii="Arial" w:hAnsi="Arial" w:cs="Arial"/>
      <w:b/>
      <w:bCs/>
      <w:color w:val="000000"/>
      <w:sz w:val="20"/>
      <w:szCs w:val="20"/>
      <w:lang w:val="es-ES_tradnl" w:eastAsia="es-ES"/>
    </w:rPr>
  </w:style>
  <w:style w:type="paragraph" w:styleId="Textoindependiente3">
    <w:name w:val="Body Text 3"/>
    <w:basedOn w:val="Normal"/>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Pr>
      <w:rFonts w:ascii="Arial" w:hAnsi="Arial" w:cs="Arial"/>
      <w:i/>
      <w:iCs/>
      <w:color w:val="000000"/>
      <w:sz w:val="20"/>
      <w:szCs w:val="20"/>
      <w:lang w:val="es-ES_tradnl" w:eastAsia="es-ES"/>
    </w:rPr>
  </w:style>
  <w:style w:type="paragraph" w:customStyle="1" w:styleId="Textoindependiente21">
    <w:name w:val="Texto independiente 21"/>
    <w:basedOn w:val="Normal"/>
    <w:pPr>
      <w:widowControl w:val="0"/>
    </w:pPr>
    <w:rPr>
      <w:rFonts w:cs="Times New Roman"/>
      <w:b/>
      <w:bCs/>
      <w:sz w:val="22"/>
      <w:szCs w:val="22"/>
      <w:lang w:val="es-AR"/>
    </w:rPr>
  </w:style>
  <w:style w:type="character" w:styleId="Hipervnculo">
    <w:name w:val="Hyperlink"/>
    <w:uiPriority w:val="99"/>
    <w:rPr>
      <w:rFonts w:cs="Times New Roman"/>
      <w:color w:val="0000FF"/>
      <w:u w:val="single"/>
    </w:rPr>
  </w:style>
  <w:style w:type="paragraph" w:styleId="Sangradetextonormal">
    <w:name w:val="Body Text Indent"/>
    <w:basedOn w:val="Normal"/>
    <w:pPr>
      <w:ind w:left="1134" w:hanging="426"/>
      <w:jc w:val="left"/>
    </w:pPr>
    <w:rPr>
      <w:rFonts w:cs="Times New Roman"/>
      <w:snapToGrid w:val="0"/>
      <w:sz w:val="20"/>
      <w:szCs w:val="20"/>
      <w:lang w:val="x-none"/>
    </w:rPr>
  </w:style>
  <w:style w:type="character" w:customStyle="1" w:styleId="SangradetextonormalCar">
    <w:name w:val="Sangría de texto normal Car"/>
    <w:locked/>
    <w:rPr>
      <w:rFonts w:ascii="Arial" w:hAnsi="Arial" w:cs="Arial"/>
      <w:snapToGrid w:val="0"/>
      <w:sz w:val="20"/>
      <w:szCs w:val="20"/>
      <w:lang w:val="x-none" w:eastAsia="es-ES"/>
    </w:rPr>
  </w:style>
  <w:style w:type="paragraph" w:customStyle="1" w:styleId="Texto">
    <w:name w:val="Texto"/>
    <w:basedOn w:val="Normal"/>
    <w:rPr>
      <w:rFonts w:ascii="Book Antiqua" w:hAnsi="Book Antiqua" w:cs="Book Antiqua"/>
      <w:sz w:val="20"/>
      <w:szCs w:val="20"/>
    </w:rPr>
  </w:style>
  <w:style w:type="paragraph" w:customStyle="1" w:styleId="xl24">
    <w:name w:val="xl24"/>
    <w:basedOn w:val="Normal"/>
    <w:pPr>
      <w:spacing w:before="100" w:beforeAutospacing="1" w:after="100" w:afterAutospacing="1"/>
      <w:jc w:val="left"/>
    </w:pPr>
    <w:rPr>
      <w:rFonts w:eastAsia="Arial Unicode MS"/>
      <w:i/>
      <w:iCs/>
      <w:sz w:val="24"/>
      <w:szCs w:val="24"/>
      <w:lang w:val="es-ES"/>
    </w:rPr>
  </w:style>
  <w:style w:type="paragraph" w:customStyle="1" w:styleId="xl25">
    <w:name w:val="xl25"/>
    <w:basedOn w:val="Normal"/>
    <w:pPr>
      <w:spacing w:before="100" w:beforeAutospacing="1" w:after="100" w:afterAutospacing="1"/>
      <w:jc w:val="center"/>
    </w:pPr>
    <w:rPr>
      <w:rFonts w:eastAsia="Arial Unicode MS"/>
      <w:i/>
      <w:iC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pPr>
      <w:spacing w:before="100" w:beforeAutospacing="1" w:after="100" w:afterAutospacing="1"/>
      <w:jc w:val="center"/>
    </w:pPr>
    <w:rPr>
      <w:rFonts w:eastAsia="Arial Unicode MS"/>
      <w:i/>
      <w:iCs/>
      <w:sz w:val="24"/>
      <w:szCs w:val="24"/>
      <w:lang w:val="es-E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pPr>
      <w:spacing w:before="100" w:beforeAutospacing="1" w:after="100" w:afterAutospacing="1"/>
      <w:jc w:val="right"/>
    </w:pPr>
    <w:rPr>
      <w:rFonts w:eastAsia="Arial Unicode MS"/>
      <w:i/>
      <w:iCs/>
      <w:sz w:val="24"/>
      <w:szCs w:val="24"/>
      <w:lang w:val="es-ES"/>
    </w:rPr>
  </w:style>
  <w:style w:type="paragraph" w:customStyle="1" w:styleId="xl35">
    <w:name w:val="xl35"/>
    <w:basedOn w:val="Normal"/>
    <w:pPr>
      <w:spacing w:before="100" w:beforeAutospacing="1" w:after="100" w:afterAutospacing="1"/>
      <w:jc w:val="center"/>
    </w:pPr>
    <w:rPr>
      <w:rFonts w:eastAsia="Arial Unicode MS"/>
      <w:i/>
      <w:iCs/>
      <w:sz w:val="24"/>
      <w:szCs w:val="24"/>
      <w:lang w:val="es-ES"/>
    </w:rPr>
  </w:style>
  <w:style w:type="paragraph" w:customStyle="1" w:styleId="xl36">
    <w:name w:val="xl36"/>
    <w:basedOn w:val="Normal"/>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Pr>
      <w:rFonts w:cs="Times New Roman"/>
      <w:color w:val="800080"/>
      <w:u w:val="single"/>
    </w:rPr>
  </w:style>
  <w:style w:type="paragraph" w:customStyle="1" w:styleId="xl37">
    <w:name w:val="xl37"/>
    <w:basedOn w:val="Normal"/>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pPr>
      <w:spacing w:line="240" w:lineRule="atLeast"/>
      <w:ind w:left="567" w:hanging="567"/>
    </w:pPr>
    <w:rPr>
      <w:rFonts w:cs="Times New Roman"/>
      <w:i/>
      <w:iCs/>
      <w:sz w:val="20"/>
      <w:szCs w:val="20"/>
    </w:rPr>
  </w:style>
  <w:style w:type="character" w:customStyle="1" w:styleId="Sangra2detindependienteCar">
    <w:name w:val="Sangría 2 de t. independiente Car"/>
    <w:locked/>
    <w:rPr>
      <w:rFonts w:ascii="Arial" w:hAnsi="Arial" w:cs="Arial"/>
      <w:i/>
      <w:iCs/>
      <w:sz w:val="20"/>
      <w:szCs w:val="20"/>
      <w:lang w:val="es-ES_tradnl" w:eastAsia="es-ES"/>
    </w:rPr>
  </w:style>
  <w:style w:type="paragraph" w:styleId="Textodeglobo">
    <w:name w:val="Balloon Text"/>
    <w:basedOn w:val="Normal"/>
    <w:semiHidden/>
    <w:rPr>
      <w:rFonts w:ascii="Tahoma" w:hAnsi="Tahoma" w:cs="Times New Roman"/>
      <w:sz w:val="16"/>
      <w:szCs w:val="16"/>
    </w:rPr>
  </w:style>
  <w:style w:type="character" w:customStyle="1" w:styleId="TextodegloboCar">
    <w:name w:val="Texto de globo Car"/>
    <w:semiHidden/>
    <w:locked/>
    <w:rPr>
      <w:rFonts w:ascii="Tahoma" w:hAnsi="Tahoma" w:cs="Tahoma"/>
      <w:sz w:val="16"/>
      <w:szCs w:val="16"/>
      <w:lang w:val="es-ES_tradnl" w:eastAsia="es-ES"/>
    </w:rPr>
  </w:style>
  <w:style w:type="paragraph" w:styleId="Descripcin">
    <w:name w:val="caption"/>
    <w:basedOn w:val="Normal"/>
    <w:next w:val="Normal"/>
    <w:qFormat/>
    <w:pPr>
      <w:keepNext/>
      <w:jc w:val="center"/>
    </w:pPr>
    <w:rPr>
      <w:b/>
      <w:bCs/>
      <w:i/>
      <w:iCs/>
      <w:color w:val="000000"/>
      <w:sz w:val="20"/>
      <w:szCs w:val="20"/>
    </w:rPr>
  </w:style>
  <w:style w:type="paragraph" w:customStyle="1" w:styleId="xl38">
    <w:name w:val="xl38"/>
    <w:basedOn w:val="Normal"/>
    <w:pPr>
      <w:spacing w:before="100" w:beforeAutospacing="1" w:after="100" w:afterAutospacing="1"/>
      <w:jc w:val="center"/>
    </w:pPr>
    <w:rPr>
      <w:rFonts w:eastAsia="Arial Unicode MS"/>
      <w:i/>
      <w:iCs/>
      <w:sz w:val="14"/>
      <w:szCs w:val="14"/>
      <w:lang w:val="es-ES"/>
    </w:rPr>
  </w:style>
  <w:style w:type="character" w:styleId="nfasis">
    <w:name w:val="Emphasis"/>
    <w:qFormat/>
    <w:rPr>
      <w:rFonts w:cs="Times New Roman"/>
      <w:i/>
      <w:iCs/>
    </w:rPr>
  </w:style>
  <w:style w:type="character" w:styleId="Textoennegrita">
    <w:name w:val="Strong"/>
    <w:qFormat/>
    <w:rPr>
      <w:rFonts w:cs="Times New Roman"/>
      <w:b/>
      <w:bCs/>
    </w:rPr>
  </w:style>
  <w:style w:type="paragraph" w:styleId="Sangra3detindependiente">
    <w:name w:val="Body Text Indent 3"/>
    <w:basedOn w:val="Normal"/>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Pr>
      <w:rFonts w:ascii="Arial" w:hAnsi="Arial" w:cs="Arial"/>
      <w:i/>
      <w:iCs/>
      <w:color w:val="000000"/>
      <w:sz w:val="20"/>
      <w:szCs w:val="20"/>
      <w:lang w:val="es-ES_tradnl" w:eastAsia="es-ES"/>
    </w:rPr>
  </w:style>
  <w:style w:type="character" w:styleId="Refdecomentario">
    <w:name w:val="annotation reference"/>
    <w:semiHidden/>
    <w:rPr>
      <w:rFonts w:cs="Times New Roman"/>
      <w:sz w:val="16"/>
      <w:szCs w:val="16"/>
    </w:rPr>
  </w:style>
  <w:style w:type="paragraph" w:styleId="Textocomentario">
    <w:name w:val="annotation text"/>
    <w:basedOn w:val="Normal"/>
    <w:uiPriority w:val="99"/>
    <w:semiHidden/>
    <w:rPr>
      <w:rFonts w:cs="Times New Roman"/>
      <w:sz w:val="20"/>
      <w:szCs w:val="20"/>
    </w:rPr>
  </w:style>
  <w:style w:type="character" w:customStyle="1" w:styleId="TextocomentarioCar">
    <w:name w:val="Texto comentario Car"/>
    <w:uiPriority w:val="99"/>
    <w:semiHidden/>
    <w:locked/>
    <w:rPr>
      <w:rFonts w:ascii="Arial" w:hAnsi="Arial" w:cs="Arial"/>
      <w:sz w:val="20"/>
      <w:szCs w:val="20"/>
      <w:lang w:val="es-ES_tradnl" w:eastAsia="es-ES"/>
    </w:rPr>
  </w:style>
  <w:style w:type="paragraph" w:styleId="Asuntodelcomentario">
    <w:name w:val="annotation subject"/>
    <w:basedOn w:val="Textocomentario"/>
    <w:next w:val="Textocomentario"/>
    <w:semiHidden/>
    <w:rPr>
      <w:b/>
      <w:bCs/>
    </w:rPr>
  </w:style>
  <w:style w:type="character" w:customStyle="1" w:styleId="AsuntodelcomentarioCar">
    <w:name w:val="Asunto del comentario Car"/>
    <w:semiHidden/>
    <w:locked/>
    <w:rPr>
      <w:rFonts w:ascii="Arial" w:hAnsi="Arial" w:cs="Arial"/>
      <w:b/>
      <w:bCs/>
      <w:sz w:val="20"/>
      <w:szCs w:val="20"/>
      <w:lang w:val="es-ES_tradnl" w:eastAsia="es-ES"/>
    </w:rPr>
  </w:style>
  <w:style w:type="paragraph" w:customStyle="1" w:styleId="OmniPage770">
    <w:name w:val="OmniPage #770"/>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Pr>
      <w:sz w:val="22"/>
      <w:szCs w:val="22"/>
      <w:lang w:val="es-AR"/>
    </w:rPr>
  </w:style>
  <w:style w:type="paragraph" w:customStyle="1" w:styleId="Estndar">
    <w:name w:val="Estándar"/>
    <w:basedOn w:val="Normal"/>
    <w:pPr>
      <w:jc w:val="left"/>
    </w:pPr>
    <w:rPr>
      <w:rFonts w:cs="Times New Roman"/>
      <w:sz w:val="24"/>
      <w:szCs w:val="24"/>
    </w:rPr>
  </w:style>
  <w:style w:type="paragraph" w:customStyle="1" w:styleId="textopredeterminado1">
    <w:name w:val="textopredeterminado1"/>
    <w:basedOn w:val="Normal"/>
    <w:pPr>
      <w:spacing w:before="100" w:beforeAutospacing="1" w:after="100" w:afterAutospacing="1"/>
      <w:jc w:val="left"/>
    </w:pPr>
    <w:rPr>
      <w:rFonts w:cs="Times New Roman"/>
      <w:sz w:val="24"/>
      <w:szCs w:val="24"/>
      <w:lang w:val="es-ES"/>
    </w:rPr>
  </w:style>
  <w:style w:type="paragraph" w:customStyle="1" w:styleId="estndar0">
    <w:name w:val="estndar"/>
    <w:basedOn w:val="Normal"/>
    <w:pPr>
      <w:spacing w:before="100" w:beforeAutospacing="1" w:after="100" w:afterAutospacing="1"/>
      <w:jc w:val="left"/>
    </w:pPr>
    <w:rPr>
      <w:rFonts w:cs="Times New Roman"/>
      <w:sz w:val="24"/>
      <w:szCs w:val="24"/>
      <w:lang w:val="es-ES"/>
    </w:rPr>
  </w:style>
  <w:style w:type="paragraph" w:styleId="Subttulo">
    <w:name w:val="Subtitle"/>
    <w:basedOn w:val="Normal"/>
    <w:qFormat/>
    <w:rPr>
      <w:rFonts w:cs="Times New Roman"/>
      <w:i/>
      <w:iCs/>
      <w:sz w:val="24"/>
      <w:szCs w:val="24"/>
      <w:lang w:val="x-none"/>
    </w:rPr>
  </w:style>
  <w:style w:type="character" w:customStyle="1" w:styleId="SubttuloCar">
    <w:name w:val="Subtítulo Car"/>
    <w:locked/>
    <w:rPr>
      <w:rFonts w:ascii="Arial" w:hAnsi="Arial" w:cs="Arial"/>
      <w:i/>
      <w:iCs/>
      <w:sz w:val="24"/>
      <w:szCs w:val="24"/>
      <w:lang w:val="x-none"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pPr>
      <w:widowControl w:val="0"/>
      <w:ind w:left="709" w:right="-178" w:hanging="709"/>
    </w:pPr>
    <w:rPr>
      <w:i/>
      <w:iCs/>
      <w:sz w:val="22"/>
      <w:szCs w:val="22"/>
      <w:lang w:val="es-AR"/>
    </w:rPr>
  </w:style>
  <w:style w:type="paragraph" w:customStyle="1" w:styleId="BodyText22">
    <w:name w:val="Body Text 22"/>
    <w:basedOn w:val="Normal"/>
    <w:pPr>
      <w:widowControl w:val="0"/>
    </w:pPr>
    <w:rPr>
      <w:rFonts w:cs="Times New Roman"/>
      <w:sz w:val="20"/>
      <w:szCs w:val="20"/>
      <w:lang w:val="es-AR"/>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pPr>
      <w:autoSpaceDE w:val="0"/>
      <w:autoSpaceDN w:val="0"/>
      <w:jc w:val="left"/>
    </w:pPr>
    <w:rPr>
      <w:rFonts w:eastAsia="Arial Unicode MS"/>
      <w:color w:val="000000"/>
      <w:sz w:val="24"/>
      <w:szCs w:val="24"/>
      <w:lang w:val="es-ES"/>
    </w:rPr>
  </w:style>
  <w:style w:type="paragraph" w:styleId="Mapadeldocumento">
    <w:name w:val="Document Map"/>
    <w:basedOn w:val="Normal"/>
    <w:semiHidden/>
    <w:rPr>
      <w:rFonts w:ascii="Tahoma" w:hAnsi="Tahoma" w:cs="Times New Roman"/>
      <w:sz w:val="16"/>
      <w:szCs w:val="16"/>
    </w:rPr>
  </w:style>
  <w:style w:type="character" w:customStyle="1" w:styleId="MapadeldocumentoCar">
    <w:name w:val="Mapa del documento Car"/>
    <w:semiHidden/>
    <w:locked/>
    <w:rPr>
      <w:rFonts w:ascii="Tahoma" w:hAnsi="Tahoma" w:cs="Tahoma"/>
      <w:sz w:val="16"/>
      <w:szCs w:val="16"/>
      <w:lang w:val="es-ES_tradnl" w:eastAsia="es-ES"/>
    </w:rPr>
  </w:style>
  <w:style w:type="paragraph" w:styleId="Textosinformato">
    <w:name w:val="Plain Text"/>
    <w:basedOn w:val="Normal"/>
    <w:pPr>
      <w:jc w:val="left"/>
    </w:pPr>
    <w:rPr>
      <w:rFonts w:ascii="Consolas" w:hAnsi="Consolas" w:cs="Times New Roman"/>
      <w:sz w:val="21"/>
      <w:szCs w:val="21"/>
      <w:lang w:val="x-none" w:eastAsia="x-none"/>
    </w:rPr>
  </w:style>
  <w:style w:type="character" w:customStyle="1" w:styleId="TextosinformatoCar">
    <w:name w:val="Texto sin formato Car"/>
    <w:locked/>
    <w:rPr>
      <w:rFonts w:ascii="Consolas" w:hAnsi="Consolas" w:cs="Consolas"/>
      <w:sz w:val="21"/>
      <w:szCs w:val="21"/>
    </w:rPr>
  </w:style>
  <w:style w:type="paragraph" w:customStyle="1" w:styleId="bodytext220">
    <w:name w:val="bodytext22"/>
    <w:basedOn w:val="Normal"/>
    <w:rPr>
      <w:rFonts w:ascii="CG Times (W1)" w:hAnsi="CG Times (W1)" w:cs="CG Times (W1)"/>
      <w:sz w:val="20"/>
      <w:szCs w:val="20"/>
      <w:lang w:val="es-ES"/>
    </w:rPr>
  </w:style>
  <w:style w:type="paragraph" w:customStyle="1" w:styleId="xl68">
    <w:name w:val="xl68"/>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pPr>
      <w:spacing w:before="100" w:beforeAutospacing="1" w:after="100" w:afterAutospacing="1"/>
      <w:jc w:val="left"/>
    </w:pPr>
    <w:rPr>
      <w:rFonts w:eastAsia="Arial Unicode MS"/>
      <w:i/>
      <w:iCs/>
      <w:sz w:val="24"/>
      <w:szCs w:val="24"/>
      <w:lang w:val="es-ES"/>
    </w:rPr>
  </w:style>
  <w:style w:type="paragraph" w:customStyle="1" w:styleId="xl72">
    <w:name w:val="xl72"/>
    <w:basedOn w:val="Normal"/>
    <w:pPr>
      <w:spacing w:before="100" w:beforeAutospacing="1" w:after="100" w:afterAutospacing="1"/>
      <w:jc w:val="center"/>
    </w:pPr>
    <w:rPr>
      <w:rFonts w:eastAsia="Arial Unicode MS"/>
      <w:i/>
      <w:iCs/>
      <w:sz w:val="24"/>
      <w:szCs w:val="24"/>
      <w:lang w:val="es-ES"/>
    </w:rPr>
  </w:style>
  <w:style w:type="paragraph" w:customStyle="1" w:styleId="xl73">
    <w:name w:val="xl73"/>
    <w:basedOn w:val="Normal"/>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pPr>
      <w:spacing w:before="100" w:beforeAutospacing="1" w:after="100" w:afterAutospacing="1"/>
      <w:jc w:val="center"/>
    </w:pPr>
    <w:rPr>
      <w:rFonts w:eastAsia="Arial Unicode MS"/>
      <w:i/>
      <w:iCs/>
      <w:sz w:val="24"/>
      <w:szCs w:val="24"/>
      <w:lang w:val="es-ES"/>
    </w:rPr>
  </w:style>
  <w:style w:type="paragraph" w:customStyle="1" w:styleId="xl78">
    <w:name w:val="xl78"/>
    <w:basedOn w:val="Normal"/>
    <w:pPr>
      <w:spacing w:before="100" w:beforeAutospacing="1" w:after="100" w:afterAutospacing="1"/>
      <w:jc w:val="left"/>
    </w:pPr>
    <w:rPr>
      <w:rFonts w:eastAsia="Arial Unicode MS"/>
      <w:i/>
      <w:iCs/>
      <w:sz w:val="24"/>
      <w:szCs w:val="24"/>
      <w:lang w:val="es-ES"/>
    </w:rPr>
  </w:style>
  <w:style w:type="paragraph" w:customStyle="1" w:styleId="xl79">
    <w:name w:val="xl79"/>
    <w:basedOn w:val="Normal"/>
    <w:pPr>
      <w:spacing w:before="100" w:beforeAutospacing="1" w:after="100" w:afterAutospacing="1"/>
      <w:jc w:val="right"/>
    </w:pPr>
    <w:rPr>
      <w:rFonts w:eastAsia="Arial Unicode MS"/>
      <w:i/>
      <w:iCs/>
      <w:sz w:val="24"/>
      <w:szCs w:val="24"/>
      <w:lang w:val="es-ES"/>
    </w:rPr>
  </w:style>
  <w:style w:type="paragraph" w:customStyle="1" w:styleId="xl80">
    <w:name w:val="xl80"/>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pPr>
      <w:tabs>
        <w:tab w:val="num" w:pos="360"/>
      </w:tabs>
      <w:ind w:left="360" w:hanging="360"/>
    </w:pPr>
  </w:style>
  <w:style w:type="paragraph" w:styleId="Listaconnmeros2">
    <w:name w:val="List Number 2"/>
    <w:basedOn w:val="Normal"/>
    <w:pPr>
      <w:tabs>
        <w:tab w:val="num" w:pos="643"/>
      </w:tabs>
      <w:ind w:left="643" w:hanging="360"/>
    </w:pPr>
  </w:style>
  <w:style w:type="paragraph" w:styleId="Listaconnmeros3">
    <w:name w:val="List Number 3"/>
    <w:basedOn w:val="Normal"/>
    <w:pPr>
      <w:tabs>
        <w:tab w:val="num" w:pos="926"/>
      </w:tabs>
      <w:ind w:left="926" w:hanging="360"/>
    </w:pPr>
  </w:style>
  <w:style w:type="paragraph" w:styleId="Listaconnmeros4">
    <w:name w:val="List Number 4"/>
    <w:basedOn w:val="Normal"/>
    <w:pPr>
      <w:tabs>
        <w:tab w:val="num" w:pos="1209"/>
      </w:tabs>
      <w:ind w:left="1209" w:hanging="360"/>
    </w:pPr>
  </w:style>
  <w:style w:type="paragraph" w:styleId="Listaconnmeros5">
    <w:name w:val="List Number 5"/>
    <w:basedOn w:val="Normal"/>
    <w:pPr>
      <w:tabs>
        <w:tab w:val="num" w:pos="1492"/>
      </w:tabs>
      <w:ind w:left="1492" w:hanging="360"/>
    </w:pPr>
  </w:style>
  <w:style w:type="paragraph" w:styleId="Listaconvietas">
    <w:name w:val="List Bullet"/>
    <w:basedOn w:val="Normal"/>
    <w:autoRedefine/>
    <w:pPr>
      <w:tabs>
        <w:tab w:val="num" w:pos="360"/>
      </w:tabs>
      <w:ind w:left="360" w:hanging="360"/>
    </w:pPr>
  </w:style>
  <w:style w:type="paragraph" w:styleId="Listaconvietas2">
    <w:name w:val="List Bullet 2"/>
    <w:basedOn w:val="Normal"/>
    <w:autoRedefine/>
    <w:pPr>
      <w:tabs>
        <w:tab w:val="num" w:pos="643"/>
      </w:tabs>
      <w:ind w:left="643" w:hanging="360"/>
    </w:pPr>
  </w:style>
  <w:style w:type="paragraph" w:styleId="Listaconvietas3">
    <w:name w:val="List Bullet 3"/>
    <w:basedOn w:val="Normal"/>
    <w:autoRedefine/>
    <w:pPr>
      <w:tabs>
        <w:tab w:val="num" w:pos="926"/>
      </w:tabs>
      <w:ind w:left="926" w:hanging="360"/>
    </w:pPr>
  </w:style>
  <w:style w:type="paragraph" w:styleId="Listaconvietas4">
    <w:name w:val="List Bullet 4"/>
    <w:basedOn w:val="Normal"/>
    <w:autoRedefine/>
    <w:pPr>
      <w:tabs>
        <w:tab w:val="num" w:pos="1209"/>
      </w:tabs>
      <w:ind w:left="1209" w:hanging="360"/>
    </w:pPr>
  </w:style>
  <w:style w:type="paragraph" w:styleId="Listaconvietas5">
    <w:name w:val="List Bullet 5"/>
    <w:basedOn w:val="Normal"/>
    <w:autoRedefine/>
    <w:pPr>
      <w:tabs>
        <w:tab w:val="num" w:pos="1492"/>
      </w:tabs>
      <w:ind w:left="1492" w:hanging="360"/>
    </w:pPr>
  </w:style>
  <w:style w:type="paragraph" w:customStyle="1" w:styleId="StyleBulleted1">
    <w:name w:val="Style Bulleted 1"/>
    <w:basedOn w:val="Normal"/>
    <w:autoRedefine/>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Pr>
      <w:rFonts w:ascii="Book Antiqua" w:eastAsia="Arial Unicode MS" w:hAnsi="Book Antiqua" w:cs="Book Antiqua"/>
      <w:sz w:val="20"/>
      <w:szCs w:val="20"/>
      <w:lang w:val="es-ES"/>
    </w:rPr>
  </w:style>
  <w:style w:type="paragraph" w:customStyle="1" w:styleId="Style2">
    <w:name w:val="Style 2"/>
    <w:basedOn w:val="Normal"/>
    <w:pPr>
      <w:widowControl w:val="0"/>
      <w:autoSpaceDE w:val="0"/>
      <w:autoSpaceDN w:val="0"/>
      <w:spacing w:line="360" w:lineRule="auto"/>
    </w:pPr>
    <w:rPr>
      <w:rFonts w:cs="Times New Roman"/>
      <w:sz w:val="24"/>
      <w:szCs w:val="24"/>
      <w:lang w:val="en-US"/>
    </w:rPr>
  </w:style>
  <w:style w:type="paragraph" w:customStyle="1" w:styleId="Style4">
    <w:name w:val="Style 4"/>
    <w:basedOn w:val="Normal"/>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Pr>
      <w:rFonts w:cs="Times New Roman"/>
      <w:sz w:val="19"/>
      <w:szCs w:val="19"/>
    </w:rPr>
  </w:style>
  <w:style w:type="paragraph" w:customStyle="1" w:styleId="Revisin1">
    <w:name w:val="Revisión1"/>
    <w:hidden/>
    <w:semiHidden/>
    <w:rPr>
      <w:rFonts w:ascii="Arial" w:hAnsi="Arial" w:cs="Arial"/>
      <w:sz w:val="26"/>
      <w:szCs w:val="26"/>
      <w:lang w:val="es-ES_tradnl" w:eastAsia="es-ES"/>
    </w:rPr>
  </w:style>
  <w:style w:type="paragraph" w:customStyle="1" w:styleId="xl67">
    <w:name w:val="xl67"/>
    <w:basedOn w:val="Normal"/>
    <w:pPr>
      <w:spacing w:before="100" w:beforeAutospacing="1" w:after="100" w:afterAutospacing="1"/>
      <w:jc w:val="left"/>
    </w:pPr>
    <w:rPr>
      <w:rFonts w:eastAsia="Arial Unicode MS"/>
      <w:i/>
      <w:iCs/>
      <w:sz w:val="24"/>
      <w:szCs w:val="24"/>
      <w:lang w:val="es-ES"/>
    </w:rPr>
  </w:style>
  <w:style w:type="character" w:customStyle="1" w:styleId="Car1">
    <w:name w:val="Car1"/>
    <w:semiHidden/>
    <w:rPr>
      <w:rFonts w:ascii="Arial" w:hAnsi="Arial" w:cs="Arial"/>
      <w:lang w:val="es-ES_tradnl" w:eastAsia="x-none"/>
    </w:rPr>
  </w:style>
  <w:style w:type="paragraph" w:customStyle="1" w:styleId="style20">
    <w:name w:val="style2"/>
    <w:basedOn w:val="Normal"/>
    <w:pPr>
      <w:spacing w:before="100" w:beforeAutospacing="1" w:after="100" w:afterAutospacing="1"/>
      <w:jc w:val="left"/>
    </w:pPr>
    <w:rPr>
      <w:rFonts w:cs="Times New Roman"/>
      <w:sz w:val="24"/>
      <w:szCs w:val="24"/>
      <w:lang w:val="es-ES"/>
    </w:rPr>
  </w:style>
  <w:style w:type="paragraph" w:customStyle="1" w:styleId="omnipage7700">
    <w:name w:val="omnipage770"/>
    <w:basedOn w:val="Normal"/>
    <w:rPr>
      <w:rFonts w:ascii="Times New Roman" w:eastAsia="Times New Roman" w:hAnsi="Times New Roman" w:cs="Times New Roman"/>
      <w:sz w:val="18"/>
      <w:szCs w:val="18"/>
      <w:lang w:val="es-ES"/>
    </w:rPr>
  </w:style>
  <w:style w:type="paragraph" w:customStyle="1" w:styleId="Textopredete">
    <w:name w:val="Texto predete"/>
    <w:rPr>
      <w:rFonts w:ascii="Arial" w:hAnsi="Arial"/>
      <w:color w:val="000000"/>
      <w:sz w:val="24"/>
      <w:szCs w:val="24"/>
      <w:lang w:val="es-ES_tradnl" w:eastAsia="es-ES"/>
    </w:rPr>
  </w:style>
  <w:style w:type="paragraph" w:customStyle="1" w:styleId="epgrafe">
    <w:name w:val="epígrafe"/>
    <w:basedOn w:val="Normal"/>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Pr>
      <w:rFonts w:eastAsia="Arial Unicode MS"/>
      <w:sz w:val="20"/>
      <w:szCs w:val="20"/>
      <w:lang w:val="es-ES"/>
    </w:rPr>
  </w:style>
  <w:style w:type="character" w:customStyle="1" w:styleId="Car2">
    <w:name w:val="Car2"/>
    <w:semiHidden/>
    <w:rPr>
      <w:rFonts w:ascii="Arial" w:hAnsi="Arial" w:cs="Arial"/>
      <w:lang w:val="es-ES_tradnl" w:eastAsia="x-none"/>
    </w:rPr>
  </w:style>
  <w:style w:type="paragraph" w:customStyle="1" w:styleId="xl582">
    <w:name w:val="xl582"/>
    <w:basedOn w:val="Normal"/>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pPr>
      <w:spacing w:before="200"/>
    </w:pPr>
    <w:rPr>
      <w:rFonts w:cs="Times New Roman"/>
      <w:sz w:val="20"/>
      <w:szCs w:val="20"/>
      <w:lang w:val="en-US" w:eastAsia="en-US"/>
    </w:rPr>
  </w:style>
  <w:style w:type="paragraph" w:customStyle="1" w:styleId="TitleL">
    <w:name w:val="Title L"/>
    <w:basedOn w:val="Ttulo"/>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Pr>
      <w:rFonts w:ascii="Arial" w:hAnsi="Arial" w:cs="Arial"/>
      <w:i/>
      <w:iCs/>
      <w:color w:val="000000"/>
      <w:sz w:val="18"/>
      <w:szCs w:val="18"/>
      <w:lang w:val="es-ES_tradnl" w:eastAsia="x-none"/>
    </w:rPr>
  </w:style>
  <w:style w:type="character" w:customStyle="1" w:styleId="st1">
    <w:name w:val="st1"/>
    <w:rPr>
      <w:rFonts w:ascii="Times New Roman" w:hAnsi="Times New Roman" w:cs="Times New Roman"/>
    </w:rPr>
  </w:style>
  <w:style w:type="character" w:customStyle="1" w:styleId="Car21">
    <w:name w:val="Car21"/>
    <w:rPr>
      <w:rFonts w:ascii="Arial" w:hAnsi="Arial" w:cs="Arial"/>
      <w:lang w:val="es-ES_tradnl" w:eastAsia="x-none"/>
    </w:rPr>
  </w:style>
  <w:style w:type="paragraph" w:customStyle="1" w:styleId="Style5">
    <w:name w:val="Style 5"/>
    <w:basedOn w:val="Normal"/>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Pr>
      <w:rFonts w:ascii="Arial" w:hAnsi="Arial"/>
      <w:sz w:val="26"/>
      <w:lang w:val="es-ES_tradnl" w:eastAsia="es-ES"/>
    </w:rPr>
  </w:style>
  <w:style w:type="paragraph" w:styleId="Revisin">
    <w:name w:val="Revision"/>
    <w:hidden/>
    <w:semiHidden/>
    <w:rPr>
      <w:rFonts w:ascii="Arial" w:hAnsi="Arial" w:cs="Arial"/>
      <w:sz w:val="26"/>
      <w:szCs w:val="26"/>
      <w:lang w:val="es-ES_tradnl" w:eastAsia="es-ES"/>
    </w:rPr>
  </w:style>
  <w:style w:type="character" w:customStyle="1" w:styleId="cuit">
    <w:name w:val="cuit"/>
    <w:basedOn w:val="Fuentedeprrafopredeter"/>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rsid w:val="008B29C3"/>
  </w:style>
  <w:style w:type="paragraph" w:customStyle="1" w:styleId="Prrafodelista1">
    <w:name w:val="Párrafo de lista1"/>
    <w:basedOn w:val="Normal"/>
    <w:uiPriority w:val="99"/>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Ttul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styleId="Sombreadoclaro">
    <w:name w:val="Light Shading"/>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991A47"/>
    <w:pPr>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hyperlink" Target="http://www.cnv.gob.ar" TargetMode="External"/><Relationship Id="rId39" Type="http://schemas.openxmlformats.org/officeDocument/2006/relationships/image" Target="media/image18.emf"/><Relationship Id="rId21" Type="http://schemas.openxmlformats.org/officeDocument/2006/relationships/hyperlink" Target="http://www.argentina.gob.ar" TargetMode="Externa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image" Target="media/image26.png"/><Relationship Id="rId50" Type="http://schemas.openxmlformats.org/officeDocument/2006/relationships/image" Target="media/image29.emf"/><Relationship Id="rId55" Type="http://schemas.openxmlformats.org/officeDocument/2006/relationships/image" Target="media/image32.emf"/><Relationship Id="rId63" Type="http://schemas.openxmlformats.org/officeDocument/2006/relationships/image" Target="media/image40.emf"/><Relationship Id="rId68" Type="http://schemas.openxmlformats.org/officeDocument/2006/relationships/image" Target="media/image45.emf"/><Relationship Id="rId97"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image" Target="media/image48.emf"/><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8.emf"/><Relationship Id="rId11" Type="http://schemas.openxmlformats.org/officeDocument/2006/relationships/footnotes" Target="footnotes.xml"/><Relationship Id="rId24" Type="http://schemas.openxmlformats.org/officeDocument/2006/relationships/hyperlink" Target="http://www.rosfid.com.ar" TargetMode="External"/><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hyperlink" Target="http://www.cobroexpress.com.ar/" TargetMode="External"/><Relationship Id="rId58" Type="http://schemas.openxmlformats.org/officeDocument/2006/relationships/image" Target="media/image35.emf"/><Relationship Id="rId66" Type="http://schemas.openxmlformats.org/officeDocument/2006/relationships/image" Target="media/image43.emf"/><Relationship Id="rId74" Type="http://schemas.openxmlformats.org/officeDocument/2006/relationships/image" Target="media/image51.emf"/><Relationship Id="rId5" Type="http://schemas.openxmlformats.org/officeDocument/2006/relationships/customXml" Target="../customXml/item5.xml"/><Relationship Id="rId61" Type="http://schemas.openxmlformats.org/officeDocument/2006/relationships/image" Target="media/image38.emf"/><Relationship Id="rId95" Type="http://schemas.openxmlformats.org/officeDocument/2006/relationships/hyperlink" Target="http://www.afip.gob.ar" TargetMode="Externa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0.emf"/><Relationship Id="rId44" Type="http://schemas.openxmlformats.org/officeDocument/2006/relationships/image" Target="media/image23.emf"/><Relationship Id="rId52" Type="http://schemas.openxmlformats.org/officeDocument/2006/relationships/hyperlink" Target="mailto:info@cobroexpress.com.ar" TargetMode="External"/><Relationship Id="rId60" Type="http://schemas.openxmlformats.org/officeDocument/2006/relationships/image" Target="media/image37.emf"/><Relationship Id="rId65" Type="http://schemas.openxmlformats.org/officeDocument/2006/relationships/image" Target="media/image42.emf"/><Relationship Id="rId73" Type="http://schemas.openxmlformats.org/officeDocument/2006/relationships/image" Target="media/image50.emf"/><Relationship Id="rId94" Type="http://schemas.openxmlformats.org/officeDocument/2006/relationships/hyperlink" Target="http://www.afip.gob.ar/jurisdiccionesCooperantes/"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cnv.gov.ar" TargetMode="External"/><Relationship Id="rId27" Type="http://schemas.openxmlformats.org/officeDocument/2006/relationships/hyperlink" Target="mailto:infofid@bamegatone.com" TargetMode="External"/><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3.emf"/><Relationship Id="rId64" Type="http://schemas.openxmlformats.org/officeDocument/2006/relationships/image" Target="media/image41.emf"/><Relationship Id="rId69" Type="http://schemas.openxmlformats.org/officeDocument/2006/relationships/image" Target="media/image46.emf"/><Relationship Id="rId8" Type="http://schemas.openxmlformats.org/officeDocument/2006/relationships/styles" Target="styles.xml"/><Relationship Id="rId51" Type="http://schemas.openxmlformats.org/officeDocument/2006/relationships/image" Target="media/image30.emf"/><Relationship Id="rId72" Type="http://schemas.openxmlformats.org/officeDocument/2006/relationships/image" Target="media/image49.emf"/><Relationship Id="rId93" Type="http://schemas.openxmlformats.org/officeDocument/2006/relationships/image" Target="media/image70.emf"/><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www.rosfid.com.ar" TargetMode="External"/><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image" Target="media/image36.emf"/><Relationship Id="rId67" Type="http://schemas.openxmlformats.org/officeDocument/2006/relationships/image" Target="media/image44.emf"/><Relationship Id="rId20" Type="http://schemas.openxmlformats.org/officeDocument/2006/relationships/hyperlink" Target="http://www.cnv.gov.ar" TargetMode="External"/><Relationship Id="rId41" Type="http://schemas.openxmlformats.org/officeDocument/2006/relationships/image" Target="media/image20.emf"/><Relationship Id="rId54" Type="http://schemas.openxmlformats.org/officeDocument/2006/relationships/image" Target="media/image31.emf"/><Relationship Id="rId62" Type="http://schemas.openxmlformats.org/officeDocument/2006/relationships/image" Target="media/image39.emf"/><Relationship Id="rId70" Type="http://schemas.openxmlformats.org/officeDocument/2006/relationships/image" Target="media/image47.emf"/><Relationship Id="rId96" Type="http://schemas.openxmlformats.org/officeDocument/2006/relationships/hyperlink" Target="mailto:infofid@bamegatone.co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hyperlink" Target="mailto:administracion@rosfid.com.ar" TargetMode="External"/><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1D820-8A6F-4FA3-A250-D1475FB951B0}">
  <ds:schemaRefs>
    <ds:schemaRef ds:uri="http://schemas.openxmlformats.org/officeDocument/2006/bibliography"/>
  </ds:schemaRefs>
</ds:datastoreItem>
</file>

<file path=customXml/itemProps2.xml><?xml version="1.0" encoding="utf-8"?>
<ds:datastoreItem xmlns:ds="http://schemas.openxmlformats.org/officeDocument/2006/customXml" ds:itemID="{A1ED9460-57E9-4E03-849B-0EC75045EC5A}">
  <ds:schemaRefs>
    <ds:schemaRef ds:uri="http://schemas.openxmlformats.org/officeDocument/2006/bibliography"/>
  </ds:schemaRefs>
</ds:datastoreItem>
</file>

<file path=customXml/itemProps3.xml><?xml version="1.0" encoding="utf-8"?>
<ds:datastoreItem xmlns:ds="http://schemas.openxmlformats.org/officeDocument/2006/customXml" ds:itemID="{86350248-D95A-4F60-83D2-7861BCCDFABE}">
  <ds:schemaRefs>
    <ds:schemaRef ds:uri="http://schemas.openxmlformats.org/officeDocument/2006/bibliography"/>
  </ds:schemaRefs>
</ds:datastoreItem>
</file>

<file path=customXml/itemProps4.xml><?xml version="1.0" encoding="utf-8"?>
<ds:datastoreItem xmlns:ds="http://schemas.openxmlformats.org/officeDocument/2006/customXml" ds:itemID="{5EC91507-ED39-4BE9-BE0C-33B1D326B853}">
  <ds:schemaRefs>
    <ds:schemaRef ds:uri="http://schemas.openxmlformats.org/officeDocument/2006/bibliography"/>
  </ds:schemaRefs>
</ds:datastoreItem>
</file>

<file path=customXml/itemProps5.xml><?xml version="1.0" encoding="utf-8"?>
<ds:datastoreItem xmlns:ds="http://schemas.openxmlformats.org/officeDocument/2006/customXml" ds:itemID="{3E597DFB-7EE3-440A-9082-D13E03D7AD46}">
  <ds:schemaRefs>
    <ds:schemaRef ds:uri="http://schemas.openxmlformats.org/officeDocument/2006/bibliography"/>
  </ds:schemaRefs>
</ds:datastoreItem>
</file>

<file path=customXml/itemProps6.xml><?xml version="1.0" encoding="utf-8"?>
<ds:datastoreItem xmlns:ds="http://schemas.openxmlformats.org/officeDocument/2006/customXml" ds:itemID="{618A70E4-C783-4D78-B21D-6BC3A17D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112</Pages>
  <Words>47905</Words>
  <Characters>262662</Characters>
  <Application>Microsoft Office Word</Application>
  <DocSecurity>0</DocSecurity>
  <Lines>2188</Lines>
  <Paragraphs>619</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309948</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creator>Francisco Jose Grasso</dc:creator>
  <cp:lastModifiedBy>María Celeste Romero</cp:lastModifiedBy>
  <cp:revision>7</cp:revision>
  <cp:lastPrinted>2019-09-26T19:31:00Z</cp:lastPrinted>
  <dcterms:created xsi:type="dcterms:W3CDTF">2020-01-02T21:35:00Z</dcterms:created>
  <dcterms:modified xsi:type="dcterms:W3CDTF">2020-01-03T15:40:00Z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