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F934D" w14:textId="6E6466BB" w:rsidR="00F03039" w:rsidRPr="00F44670" w:rsidRDefault="004F3DBB" w:rsidP="00F3428B">
      <w:pPr>
        <w:jc w:val="center"/>
        <w:rPr>
          <w:b/>
          <w:sz w:val="22"/>
          <w:szCs w:val="22"/>
          <w:lang w:val="es-ES_tradnl"/>
        </w:rPr>
      </w:pPr>
      <w:bookmarkStart w:id="0" w:name="_GoBack"/>
      <w:bookmarkEnd w:id="0"/>
      <w:r w:rsidRPr="00F44670">
        <w:rPr>
          <w:noProof/>
          <w:sz w:val="22"/>
          <w:szCs w:val="22"/>
          <w:lang w:val="es-AR" w:eastAsia="es-AR"/>
        </w:rPr>
        <w:drawing>
          <wp:inline distT="0" distB="0" distL="0" distR="0" wp14:anchorId="6BDCA118" wp14:editId="7BEB2080">
            <wp:extent cx="1952625" cy="22860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228600"/>
                    </a:xfrm>
                    <a:prstGeom prst="rect">
                      <a:avLst/>
                    </a:prstGeom>
                    <a:noFill/>
                    <a:ln>
                      <a:noFill/>
                    </a:ln>
                  </pic:spPr>
                </pic:pic>
              </a:graphicData>
            </a:graphic>
          </wp:inline>
        </w:drawing>
      </w:r>
    </w:p>
    <w:p w14:paraId="65B2CFD4" w14:textId="77777777" w:rsidR="008A4EAD" w:rsidRPr="00F44670" w:rsidRDefault="008A4EAD" w:rsidP="008A4EAD">
      <w:pPr>
        <w:widowControl w:val="0"/>
        <w:suppressLineNumbers/>
        <w:suppressAutoHyphens/>
        <w:jc w:val="center"/>
        <w:rPr>
          <w:sz w:val="22"/>
          <w:szCs w:val="22"/>
        </w:rPr>
      </w:pPr>
      <w:r w:rsidRPr="00F44670">
        <w:rPr>
          <w:b/>
          <w:sz w:val="22"/>
          <w:szCs w:val="22"/>
        </w:rPr>
        <w:t>Rizobacter Argentina S.A</w:t>
      </w:r>
    </w:p>
    <w:p w14:paraId="17DBF693" w14:textId="77777777" w:rsidR="008A4EAD" w:rsidRPr="00F44670" w:rsidRDefault="008A4EAD" w:rsidP="008A4EAD">
      <w:pPr>
        <w:widowControl w:val="0"/>
        <w:suppressLineNumbers/>
        <w:suppressAutoHyphens/>
        <w:jc w:val="center"/>
        <w:rPr>
          <w:b/>
          <w:noProof/>
          <w:sz w:val="22"/>
          <w:szCs w:val="22"/>
        </w:rPr>
      </w:pPr>
      <w:r w:rsidRPr="00F44670">
        <w:rPr>
          <w:b/>
          <w:noProof/>
          <w:sz w:val="22"/>
          <w:szCs w:val="22"/>
        </w:rPr>
        <w:t>Emisor</w:t>
      </w:r>
    </w:p>
    <w:p w14:paraId="6C8F10DC" w14:textId="77777777" w:rsidR="008A4EAD" w:rsidRPr="00F44670" w:rsidRDefault="008A4EAD" w:rsidP="00F3428B">
      <w:pPr>
        <w:jc w:val="center"/>
        <w:rPr>
          <w:b/>
          <w:sz w:val="22"/>
          <w:szCs w:val="22"/>
        </w:rPr>
      </w:pPr>
    </w:p>
    <w:p w14:paraId="4786AF3F" w14:textId="77777777" w:rsidR="00544376" w:rsidRPr="00F44670" w:rsidRDefault="008A4EAD" w:rsidP="00F3428B">
      <w:pPr>
        <w:jc w:val="center"/>
        <w:rPr>
          <w:b/>
          <w:sz w:val="22"/>
          <w:szCs w:val="22"/>
        </w:rPr>
      </w:pPr>
      <w:r w:rsidRPr="00F44670">
        <w:rPr>
          <w:b/>
          <w:sz w:val="22"/>
          <w:szCs w:val="22"/>
        </w:rPr>
        <w:t>SUPLEMENTO DE PROSPECTO DE OFERTA PÚBLICA</w:t>
      </w:r>
    </w:p>
    <w:p w14:paraId="14FDF050" w14:textId="77777777" w:rsidR="008A4EAD" w:rsidRPr="00F44670" w:rsidRDefault="008A4EAD" w:rsidP="003C03AE">
      <w:pPr>
        <w:jc w:val="center"/>
        <w:rPr>
          <w:b/>
          <w:sz w:val="22"/>
          <w:szCs w:val="22"/>
        </w:rPr>
      </w:pPr>
      <w:r w:rsidRPr="00F44670">
        <w:rPr>
          <w:b/>
          <w:sz w:val="22"/>
          <w:szCs w:val="22"/>
        </w:rPr>
        <w:t xml:space="preserve">Programa </w:t>
      </w:r>
      <w:r w:rsidR="004B74C2">
        <w:rPr>
          <w:b/>
          <w:sz w:val="22"/>
          <w:szCs w:val="22"/>
        </w:rPr>
        <w:t>Glo</w:t>
      </w:r>
      <w:r w:rsidRPr="00F44670">
        <w:rPr>
          <w:b/>
          <w:sz w:val="22"/>
          <w:szCs w:val="22"/>
        </w:rPr>
        <w:t>bal de Obligaciones Negociables Simples</w:t>
      </w:r>
    </w:p>
    <w:p w14:paraId="6CF8DA2B" w14:textId="77777777" w:rsidR="008A4EAD" w:rsidRPr="00F44670" w:rsidRDefault="008A4EAD" w:rsidP="003C03AE">
      <w:pPr>
        <w:jc w:val="center"/>
        <w:rPr>
          <w:b/>
          <w:sz w:val="22"/>
          <w:szCs w:val="22"/>
        </w:rPr>
      </w:pPr>
      <w:r w:rsidRPr="00F44670">
        <w:rPr>
          <w:b/>
          <w:sz w:val="22"/>
          <w:szCs w:val="22"/>
        </w:rPr>
        <w:t>por hasta un valor nominal de U$S 40.000.000 (o su equivalente en otras monedas)</w:t>
      </w:r>
    </w:p>
    <w:p w14:paraId="21D68ACD" w14:textId="77777777" w:rsidR="008A4EAD" w:rsidRPr="00F44670" w:rsidRDefault="008A4EAD" w:rsidP="00F3428B">
      <w:pPr>
        <w:jc w:val="center"/>
        <w:rPr>
          <w:b/>
          <w:sz w:val="22"/>
          <w:szCs w:val="22"/>
        </w:rPr>
      </w:pPr>
    </w:p>
    <w:p w14:paraId="25F15B66" w14:textId="3CFF64EB" w:rsidR="001D21A0" w:rsidRDefault="001D21A0" w:rsidP="00F3428B">
      <w:pPr>
        <w:jc w:val="center"/>
        <w:rPr>
          <w:b/>
          <w:sz w:val="22"/>
          <w:szCs w:val="22"/>
        </w:rPr>
      </w:pPr>
      <w:r w:rsidRPr="00F44670">
        <w:rPr>
          <w:b/>
          <w:sz w:val="22"/>
          <w:szCs w:val="22"/>
        </w:rPr>
        <w:t xml:space="preserve">OBLIGACIONES NEGOCIABLES SERIE II </w:t>
      </w:r>
    </w:p>
    <w:p w14:paraId="0D6414B2" w14:textId="2FCF7CB1" w:rsidR="001D21A0" w:rsidRDefault="00C0478A" w:rsidP="00F3428B">
      <w:pPr>
        <w:jc w:val="center"/>
        <w:rPr>
          <w:b/>
          <w:sz w:val="22"/>
          <w:szCs w:val="22"/>
        </w:rPr>
      </w:pPr>
      <w:r w:rsidRPr="00F44670">
        <w:rPr>
          <w:b/>
          <w:sz w:val="22"/>
          <w:szCs w:val="22"/>
        </w:rPr>
        <w:t xml:space="preserve">por hasta </w:t>
      </w:r>
      <w:r w:rsidR="001D21A0">
        <w:rPr>
          <w:b/>
          <w:sz w:val="22"/>
          <w:szCs w:val="22"/>
        </w:rPr>
        <w:t>un valor nominal</w:t>
      </w:r>
      <w:r w:rsidRPr="00F44670">
        <w:rPr>
          <w:b/>
          <w:sz w:val="22"/>
          <w:szCs w:val="22"/>
        </w:rPr>
        <w:t xml:space="preserve"> </w:t>
      </w:r>
      <w:r w:rsidR="001D21A0">
        <w:rPr>
          <w:b/>
          <w:sz w:val="22"/>
          <w:szCs w:val="22"/>
        </w:rPr>
        <w:t xml:space="preserve">en conjunto de </w:t>
      </w:r>
      <w:r w:rsidR="008A4EAD" w:rsidRPr="00F44670">
        <w:rPr>
          <w:b/>
          <w:sz w:val="22"/>
          <w:szCs w:val="22"/>
        </w:rPr>
        <w:t xml:space="preserve">U$$ </w:t>
      </w:r>
      <w:r w:rsidR="00107723">
        <w:rPr>
          <w:b/>
          <w:sz w:val="22"/>
          <w:szCs w:val="22"/>
        </w:rPr>
        <w:t>10.000.000</w:t>
      </w:r>
      <w:r w:rsidR="002B5F20">
        <w:rPr>
          <w:b/>
          <w:sz w:val="22"/>
          <w:szCs w:val="22"/>
        </w:rPr>
        <w:t xml:space="preserve"> (ampliables por hasta </w:t>
      </w:r>
      <w:r w:rsidR="002B5F20" w:rsidRPr="00F44670">
        <w:rPr>
          <w:b/>
          <w:sz w:val="22"/>
          <w:szCs w:val="22"/>
        </w:rPr>
        <w:t xml:space="preserve">U$$ </w:t>
      </w:r>
      <w:r w:rsidR="00107723">
        <w:rPr>
          <w:b/>
          <w:sz w:val="22"/>
          <w:szCs w:val="22"/>
        </w:rPr>
        <w:t>20.000.000</w:t>
      </w:r>
      <w:r w:rsidR="002B5F20">
        <w:rPr>
          <w:b/>
          <w:sz w:val="22"/>
          <w:szCs w:val="22"/>
        </w:rPr>
        <w:t>)</w:t>
      </w:r>
      <w:r w:rsidR="001D21A0">
        <w:rPr>
          <w:b/>
          <w:sz w:val="22"/>
          <w:szCs w:val="22"/>
        </w:rPr>
        <w:t xml:space="preserve"> </w:t>
      </w:r>
      <w:r w:rsidR="00D57B9F">
        <w:rPr>
          <w:b/>
          <w:sz w:val="22"/>
          <w:szCs w:val="22"/>
        </w:rPr>
        <w:t>que serán</w:t>
      </w:r>
      <w:r w:rsidR="00643DA4">
        <w:rPr>
          <w:b/>
          <w:sz w:val="22"/>
          <w:szCs w:val="22"/>
        </w:rPr>
        <w:t xml:space="preserve"> </w:t>
      </w:r>
      <w:r w:rsidR="001D21A0">
        <w:rPr>
          <w:b/>
          <w:sz w:val="22"/>
          <w:szCs w:val="22"/>
        </w:rPr>
        <w:t>indistintamente</w:t>
      </w:r>
      <w:r w:rsidR="00643DA4">
        <w:rPr>
          <w:b/>
          <w:sz w:val="22"/>
          <w:szCs w:val="22"/>
        </w:rPr>
        <w:t xml:space="preserve"> </w:t>
      </w:r>
    </w:p>
    <w:p w14:paraId="4283B39A" w14:textId="77777777" w:rsidR="001D21A0" w:rsidRDefault="001D21A0" w:rsidP="00F3428B">
      <w:pPr>
        <w:jc w:val="center"/>
        <w:rPr>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D21A0" w14:paraId="0F862034" w14:textId="77777777" w:rsidTr="00B758A4">
        <w:tc>
          <w:tcPr>
            <w:tcW w:w="4729" w:type="dxa"/>
          </w:tcPr>
          <w:p w14:paraId="1B56D843" w14:textId="00DE4FBC" w:rsidR="001D21A0" w:rsidRDefault="00D06251" w:rsidP="00D12EDE">
            <w:pPr>
              <w:jc w:val="center"/>
              <w:rPr>
                <w:b/>
                <w:sz w:val="22"/>
                <w:szCs w:val="22"/>
              </w:rPr>
            </w:pPr>
            <w:r w:rsidRPr="00504203">
              <w:rPr>
                <w:b/>
                <w:sz w:val="22"/>
                <w:szCs w:val="22"/>
              </w:rPr>
              <w:t xml:space="preserve">Obligaciones Negociables simples  Clase </w:t>
            </w:r>
            <w:r w:rsidR="0086308F" w:rsidRPr="00504203">
              <w:rPr>
                <w:b/>
                <w:sz w:val="22"/>
                <w:szCs w:val="22"/>
              </w:rPr>
              <w:t>A</w:t>
            </w:r>
            <w:r w:rsidRPr="00B758A4">
              <w:rPr>
                <w:sz w:val="22"/>
                <w:szCs w:val="22"/>
              </w:rPr>
              <w:t xml:space="preserve"> </w:t>
            </w:r>
          </w:p>
        </w:tc>
        <w:tc>
          <w:tcPr>
            <w:tcW w:w="4729" w:type="dxa"/>
          </w:tcPr>
          <w:p w14:paraId="6DB3385C" w14:textId="63129054" w:rsidR="001D21A0" w:rsidRDefault="0086308F">
            <w:pPr>
              <w:jc w:val="center"/>
              <w:rPr>
                <w:b/>
                <w:sz w:val="22"/>
                <w:szCs w:val="22"/>
              </w:rPr>
            </w:pPr>
            <w:r w:rsidRPr="00504203">
              <w:rPr>
                <w:b/>
                <w:sz w:val="22"/>
                <w:szCs w:val="22"/>
              </w:rPr>
              <w:t xml:space="preserve">Obligaciones Negociables simples  Clase B </w:t>
            </w:r>
          </w:p>
        </w:tc>
      </w:tr>
    </w:tbl>
    <w:p w14:paraId="3E979298" w14:textId="20D26544" w:rsidR="00F75B04" w:rsidRPr="00F44670" w:rsidRDefault="001D21A0" w:rsidP="00F3428B">
      <w:pPr>
        <w:jc w:val="center"/>
        <w:rPr>
          <w:b/>
          <w:sz w:val="22"/>
          <w:szCs w:val="22"/>
        </w:rPr>
      </w:pPr>
      <w:r>
        <w:rPr>
          <w:b/>
          <w:sz w:val="22"/>
          <w:szCs w:val="22"/>
        </w:rPr>
        <w:t xml:space="preserve"> </w:t>
      </w:r>
    </w:p>
    <w:p w14:paraId="3AFA0CE3" w14:textId="3624CFAE" w:rsidR="00544376" w:rsidRPr="00F44670" w:rsidRDefault="00544376" w:rsidP="00CB6DA4">
      <w:pPr>
        <w:jc w:val="both"/>
        <w:rPr>
          <w:b/>
          <w:sz w:val="22"/>
          <w:szCs w:val="22"/>
        </w:rPr>
      </w:pPr>
      <w:r w:rsidRPr="00F44670">
        <w:rPr>
          <w:sz w:val="22"/>
          <w:szCs w:val="22"/>
        </w:rPr>
        <w:t xml:space="preserve">El presente Suplemento de Prospecto (el </w:t>
      </w:r>
      <w:r w:rsidRPr="00973C2B">
        <w:rPr>
          <w:sz w:val="22"/>
          <w:szCs w:val="22"/>
        </w:rPr>
        <w:t xml:space="preserve">“Suplemento”) corresponde a la emisión de obligaciones negociables Serie </w:t>
      </w:r>
      <w:r w:rsidR="000630A6" w:rsidRPr="00973C2B">
        <w:rPr>
          <w:sz w:val="22"/>
          <w:szCs w:val="22"/>
          <w:lang w:val="es-AR"/>
        </w:rPr>
        <w:t>I</w:t>
      </w:r>
      <w:r w:rsidR="009F384C" w:rsidRPr="00973C2B">
        <w:rPr>
          <w:sz w:val="22"/>
          <w:szCs w:val="22"/>
          <w:lang w:val="es-AR"/>
        </w:rPr>
        <w:t>I</w:t>
      </w:r>
      <w:r w:rsidR="00973C2B" w:rsidRPr="00973C2B">
        <w:rPr>
          <w:sz w:val="22"/>
          <w:szCs w:val="22"/>
          <w:lang w:val="es-AR"/>
        </w:rPr>
        <w:t xml:space="preserve"> </w:t>
      </w:r>
      <w:r w:rsidR="00D57B9F" w:rsidRPr="00973C2B">
        <w:rPr>
          <w:sz w:val="22"/>
          <w:szCs w:val="22"/>
        </w:rPr>
        <w:t xml:space="preserve">(las “Obligaciones Negociables Serie </w:t>
      </w:r>
      <w:r w:rsidR="00D57B9F" w:rsidRPr="00973C2B">
        <w:rPr>
          <w:sz w:val="22"/>
          <w:szCs w:val="22"/>
          <w:lang w:val="es-AR"/>
        </w:rPr>
        <w:t>I</w:t>
      </w:r>
      <w:r w:rsidR="00D57B9F" w:rsidRPr="008A6AC0">
        <w:rPr>
          <w:sz w:val="22"/>
          <w:szCs w:val="22"/>
          <w:lang w:val="es-AR"/>
        </w:rPr>
        <w:t>I</w:t>
      </w:r>
      <w:r w:rsidR="00D57B9F" w:rsidRPr="008A6AC0">
        <w:rPr>
          <w:sz w:val="22"/>
          <w:szCs w:val="22"/>
        </w:rPr>
        <w:t xml:space="preserve">” </w:t>
      </w:r>
      <w:r w:rsidR="00D57B9F" w:rsidRPr="008A6AC0">
        <w:rPr>
          <w:sz w:val="22"/>
          <w:szCs w:val="22"/>
          <w:lang w:val="es-AR"/>
        </w:rPr>
        <w:t>u</w:t>
      </w:r>
      <w:r w:rsidR="00D57B9F" w:rsidRPr="008A6AC0">
        <w:rPr>
          <w:sz w:val="22"/>
          <w:szCs w:val="22"/>
        </w:rPr>
        <w:t xml:space="preserve"> “ON Serie </w:t>
      </w:r>
      <w:r w:rsidR="00D57B9F" w:rsidRPr="008A6AC0">
        <w:rPr>
          <w:sz w:val="22"/>
          <w:szCs w:val="22"/>
          <w:lang w:val="es-AR"/>
        </w:rPr>
        <w:t>II</w:t>
      </w:r>
      <w:r w:rsidR="00D57B9F" w:rsidRPr="008A6AC0">
        <w:rPr>
          <w:sz w:val="22"/>
          <w:szCs w:val="22"/>
        </w:rPr>
        <w:t>”)</w:t>
      </w:r>
      <w:r w:rsidR="00D57B9F">
        <w:rPr>
          <w:sz w:val="22"/>
          <w:szCs w:val="22"/>
          <w:lang w:val="es-AR"/>
        </w:rPr>
        <w:t xml:space="preserve"> </w:t>
      </w:r>
      <w:r w:rsidR="00973C2B" w:rsidRPr="008A6AC0">
        <w:rPr>
          <w:sz w:val="22"/>
          <w:szCs w:val="22"/>
          <w:lang w:val="es-AR"/>
        </w:rPr>
        <w:t xml:space="preserve">denominadas en Dólares Estadounidenses (“Dólares”) </w:t>
      </w:r>
      <w:r w:rsidR="00EB519F">
        <w:rPr>
          <w:sz w:val="22"/>
          <w:szCs w:val="22"/>
          <w:lang w:val="es-AR"/>
        </w:rPr>
        <w:t xml:space="preserve">que serán indistintamente </w:t>
      </w:r>
      <w:r w:rsidR="00EA55E9" w:rsidRPr="00EA55E9">
        <w:rPr>
          <w:sz w:val="22"/>
          <w:szCs w:val="22"/>
          <w:lang w:val="es-AR"/>
        </w:rPr>
        <w:t xml:space="preserve">Obligaciones Negociables </w:t>
      </w:r>
      <w:r w:rsidR="00EB519F" w:rsidRPr="00EA55E9">
        <w:rPr>
          <w:sz w:val="22"/>
          <w:szCs w:val="22"/>
          <w:lang w:val="es-AR"/>
        </w:rPr>
        <w:t xml:space="preserve">Clase A </w:t>
      </w:r>
      <w:r w:rsidR="00EA55E9" w:rsidRPr="00504203">
        <w:rPr>
          <w:sz w:val="22"/>
          <w:szCs w:val="22"/>
        </w:rPr>
        <w:t xml:space="preserve">(a ser suscriptas y pagaderas en </w:t>
      </w:r>
      <w:r w:rsidR="00D12EDE">
        <w:rPr>
          <w:sz w:val="22"/>
          <w:szCs w:val="22"/>
          <w:lang w:val="es-AR"/>
        </w:rPr>
        <w:t>p</w:t>
      </w:r>
      <w:r w:rsidR="00EA55E9" w:rsidRPr="00504203">
        <w:rPr>
          <w:sz w:val="22"/>
          <w:szCs w:val="22"/>
        </w:rPr>
        <w:t xml:space="preserve">esos al Tipo de Cambio Aplicable conforme se define más adelante) a tasa fija con vencimiento a los </w:t>
      </w:r>
      <w:r w:rsidR="005210F4">
        <w:rPr>
          <w:sz w:val="22"/>
          <w:szCs w:val="22"/>
          <w:lang w:val="es-AR"/>
        </w:rPr>
        <w:t>18</w:t>
      </w:r>
      <w:r w:rsidR="00EA55E9" w:rsidRPr="00504203">
        <w:rPr>
          <w:sz w:val="22"/>
          <w:szCs w:val="22"/>
        </w:rPr>
        <w:t xml:space="preserve"> meses desde la Fecha de Emisión y Liquidación</w:t>
      </w:r>
      <w:r w:rsidR="00EA55E9">
        <w:rPr>
          <w:sz w:val="22"/>
          <w:szCs w:val="22"/>
          <w:lang w:val="es-AR"/>
        </w:rPr>
        <w:t xml:space="preserve"> </w:t>
      </w:r>
      <w:r w:rsidR="00EA55E9" w:rsidRPr="008A6AC0">
        <w:rPr>
          <w:sz w:val="22"/>
          <w:szCs w:val="22"/>
          <w:lang w:val="es-MX"/>
        </w:rPr>
        <w:t>(según este término se define más adelante)</w:t>
      </w:r>
      <w:r w:rsidR="00EA55E9">
        <w:rPr>
          <w:sz w:val="22"/>
          <w:szCs w:val="22"/>
          <w:lang w:val="es-AR"/>
        </w:rPr>
        <w:t xml:space="preserve"> </w:t>
      </w:r>
      <w:r w:rsidR="00EB519F">
        <w:rPr>
          <w:sz w:val="22"/>
          <w:szCs w:val="22"/>
          <w:lang w:val="es-AR"/>
        </w:rPr>
        <w:t xml:space="preserve">(las “ON Serie II Clase A”) y </w:t>
      </w:r>
      <w:r w:rsidR="00EA55E9">
        <w:rPr>
          <w:sz w:val="22"/>
          <w:szCs w:val="22"/>
          <w:lang w:val="es-AR"/>
        </w:rPr>
        <w:t xml:space="preserve">Obligaciones Negociables </w:t>
      </w:r>
      <w:r w:rsidR="00EB519F">
        <w:rPr>
          <w:sz w:val="22"/>
          <w:szCs w:val="22"/>
          <w:lang w:val="es-AR"/>
        </w:rPr>
        <w:t xml:space="preserve">Clase </w:t>
      </w:r>
      <w:r w:rsidR="00EB519F" w:rsidRPr="00EA55E9">
        <w:rPr>
          <w:sz w:val="22"/>
          <w:szCs w:val="22"/>
          <w:lang w:val="es-AR"/>
        </w:rPr>
        <w:t xml:space="preserve">B </w:t>
      </w:r>
      <w:r w:rsidR="00EA55E9">
        <w:rPr>
          <w:sz w:val="22"/>
          <w:szCs w:val="22"/>
          <w:lang w:val="es-AR"/>
        </w:rPr>
        <w:t xml:space="preserve">(a ser suscriptas </w:t>
      </w:r>
      <w:r w:rsidR="00EA55E9" w:rsidRPr="00504203">
        <w:rPr>
          <w:sz w:val="22"/>
          <w:szCs w:val="22"/>
        </w:rPr>
        <w:t xml:space="preserve">y pagaderas en Dólares a tasa fija con vencimiento a los </w:t>
      </w:r>
      <w:r w:rsidR="005210F4">
        <w:rPr>
          <w:sz w:val="22"/>
          <w:szCs w:val="22"/>
          <w:lang w:val="es-AR"/>
        </w:rPr>
        <w:t>12</w:t>
      </w:r>
      <w:r w:rsidR="00EA55E9" w:rsidRPr="00504203">
        <w:rPr>
          <w:sz w:val="22"/>
          <w:szCs w:val="22"/>
        </w:rPr>
        <w:t xml:space="preserve"> meses desde la Fecha de Emisión y Liquidación</w:t>
      </w:r>
      <w:r w:rsidR="00EA55E9">
        <w:rPr>
          <w:sz w:val="22"/>
          <w:szCs w:val="22"/>
          <w:lang w:val="es-AR"/>
        </w:rPr>
        <w:t xml:space="preserve"> </w:t>
      </w:r>
      <w:r w:rsidR="00EB519F">
        <w:rPr>
          <w:sz w:val="22"/>
          <w:szCs w:val="22"/>
          <w:lang w:val="es-AR"/>
        </w:rPr>
        <w:t>(las “ON Serie II Clase B”)</w:t>
      </w:r>
      <w:r w:rsidR="00973C2B" w:rsidRPr="008A6AC0">
        <w:rPr>
          <w:sz w:val="22"/>
          <w:szCs w:val="22"/>
          <w:lang w:val="es-MX"/>
        </w:rPr>
        <w:t xml:space="preserve"> por un valor nominal </w:t>
      </w:r>
      <w:r w:rsidR="00643DA4">
        <w:rPr>
          <w:sz w:val="22"/>
          <w:szCs w:val="22"/>
          <w:lang w:val="es-MX"/>
        </w:rPr>
        <w:t xml:space="preserve">en conjunto </w:t>
      </w:r>
      <w:r w:rsidR="00973C2B" w:rsidRPr="008A6AC0">
        <w:rPr>
          <w:sz w:val="22"/>
          <w:szCs w:val="22"/>
          <w:lang w:val="es-MX"/>
        </w:rPr>
        <w:t xml:space="preserve">de hasta U$S </w:t>
      </w:r>
      <w:r w:rsidR="00107723">
        <w:rPr>
          <w:sz w:val="22"/>
          <w:szCs w:val="22"/>
          <w:lang w:val="es-MX"/>
        </w:rPr>
        <w:t>10.000.000</w:t>
      </w:r>
      <w:r w:rsidR="00973C2B" w:rsidRPr="008A6AC0">
        <w:rPr>
          <w:sz w:val="22"/>
          <w:szCs w:val="22"/>
          <w:lang w:val="es-MX"/>
        </w:rPr>
        <w:t xml:space="preserve"> (Dólares </w:t>
      </w:r>
      <w:r w:rsidR="00107723">
        <w:rPr>
          <w:sz w:val="22"/>
          <w:szCs w:val="22"/>
          <w:lang w:val="es-MX"/>
        </w:rPr>
        <w:t>diez millones</w:t>
      </w:r>
      <w:r w:rsidR="00973C2B" w:rsidRPr="008A6AC0">
        <w:rPr>
          <w:sz w:val="22"/>
          <w:szCs w:val="22"/>
          <w:lang w:val="es-MX"/>
        </w:rPr>
        <w:t>)</w:t>
      </w:r>
      <w:r w:rsidR="0086308F">
        <w:rPr>
          <w:sz w:val="22"/>
          <w:szCs w:val="22"/>
          <w:lang w:val="es-MX"/>
        </w:rPr>
        <w:t>, ampliables por hasta U$S</w:t>
      </w:r>
      <w:r w:rsidR="0086308F" w:rsidRPr="0086308F">
        <w:rPr>
          <w:sz w:val="22"/>
          <w:szCs w:val="22"/>
          <w:lang w:val="es-MX"/>
        </w:rPr>
        <w:t xml:space="preserve"> </w:t>
      </w:r>
      <w:r w:rsidR="00107723">
        <w:rPr>
          <w:sz w:val="22"/>
          <w:szCs w:val="22"/>
          <w:lang w:val="es-MX"/>
        </w:rPr>
        <w:t>20.000.000</w:t>
      </w:r>
      <w:r w:rsidR="0086308F" w:rsidRPr="008A6AC0">
        <w:rPr>
          <w:sz w:val="22"/>
          <w:szCs w:val="22"/>
          <w:lang w:val="es-MX"/>
        </w:rPr>
        <w:t xml:space="preserve"> (Dólares </w:t>
      </w:r>
      <w:r w:rsidR="00107723">
        <w:rPr>
          <w:sz w:val="22"/>
          <w:szCs w:val="22"/>
          <w:lang w:val="es-MX"/>
        </w:rPr>
        <w:t>veinte millones</w:t>
      </w:r>
      <w:r w:rsidR="0086308F" w:rsidRPr="008A6AC0">
        <w:rPr>
          <w:sz w:val="22"/>
          <w:szCs w:val="22"/>
          <w:lang w:val="es-MX"/>
        </w:rPr>
        <w:t>)</w:t>
      </w:r>
      <w:r w:rsidR="0086308F">
        <w:rPr>
          <w:sz w:val="22"/>
          <w:szCs w:val="22"/>
          <w:lang w:val="es-MX"/>
        </w:rPr>
        <w:t xml:space="preserve"> (el “Monto Máximo”), </w:t>
      </w:r>
      <w:r w:rsidRPr="008A6AC0">
        <w:rPr>
          <w:sz w:val="22"/>
          <w:szCs w:val="22"/>
        </w:rPr>
        <w:t>que podrán ser emitidas</w:t>
      </w:r>
      <w:r w:rsidRPr="00973C2B">
        <w:rPr>
          <w:sz w:val="22"/>
          <w:szCs w:val="22"/>
        </w:rPr>
        <w:t xml:space="preserve"> por R</w:t>
      </w:r>
      <w:r w:rsidR="005454EF" w:rsidRPr="00973C2B">
        <w:rPr>
          <w:sz w:val="22"/>
          <w:szCs w:val="22"/>
          <w:lang w:val="es-AR"/>
        </w:rPr>
        <w:t xml:space="preserve">IZOBACTER ARGENTINA S.A. </w:t>
      </w:r>
      <w:r w:rsidRPr="00973C2B">
        <w:rPr>
          <w:sz w:val="22"/>
          <w:szCs w:val="22"/>
        </w:rPr>
        <w:t>(“R</w:t>
      </w:r>
      <w:r w:rsidR="005454EF" w:rsidRPr="008A6AC0">
        <w:rPr>
          <w:sz w:val="22"/>
          <w:szCs w:val="22"/>
          <w:lang w:val="es-AR"/>
        </w:rPr>
        <w:t>izobacter</w:t>
      </w:r>
      <w:r w:rsidRPr="008A6AC0">
        <w:rPr>
          <w:sz w:val="22"/>
          <w:szCs w:val="22"/>
        </w:rPr>
        <w:t>”, la “Emisora” o la “Sociedad”, en forma indistinta)</w:t>
      </w:r>
      <w:r w:rsidR="007A199F" w:rsidRPr="008A6AC0">
        <w:rPr>
          <w:sz w:val="22"/>
          <w:szCs w:val="22"/>
          <w:lang w:val="es-AR"/>
        </w:rPr>
        <w:t>,</w:t>
      </w:r>
      <w:r w:rsidR="000630A6" w:rsidRPr="008A6AC0">
        <w:rPr>
          <w:sz w:val="22"/>
          <w:szCs w:val="22"/>
          <w:lang w:val="es-AR"/>
        </w:rPr>
        <w:t xml:space="preserve"> </w:t>
      </w:r>
      <w:r w:rsidRPr="008A6AC0">
        <w:rPr>
          <w:sz w:val="22"/>
          <w:szCs w:val="22"/>
        </w:rPr>
        <w:t xml:space="preserve">en el marco de su Programa Global de Obligaciones Negociables </w:t>
      </w:r>
      <w:r w:rsidR="00973C2B">
        <w:rPr>
          <w:sz w:val="22"/>
          <w:szCs w:val="22"/>
          <w:lang w:val="es-AR"/>
        </w:rPr>
        <w:t xml:space="preserve">Simples </w:t>
      </w:r>
      <w:r w:rsidRPr="00F44670">
        <w:rPr>
          <w:sz w:val="22"/>
          <w:szCs w:val="22"/>
        </w:rPr>
        <w:t xml:space="preserve">por hasta </w:t>
      </w:r>
      <w:r w:rsidR="005454EF" w:rsidRPr="00F44670">
        <w:rPr>
          <w:sz w:val="22"/>
          <w:szCs w:val="22"/>
          <w:lang w:val="es-AR"/>
        </w:rPr>
        <w:t>U</w:t>
      </w:r>
      <w:r w:rsidRPr="00F44670">
        <w:rPr>
          <w:sz w:val="22"/>
          <w:szCs w:val="22"/>
        </w:rPr>
        <w:t>$</w:t>
      </w:r>
      <w:r w:rsidR="005454EF" w:rsidRPr="00F44670">
        <w:rPr>
          <w:sz w:val="22"/>
          <w:szCs w:val="22"/>
          <w:lang w:val="es-AR"/>
        </w:rPr>
        <w:t>S 40.000.000</w:t>
      </w:r>
      <w:r w:rsidRPr="00F44670">
        <w:rPr>
          <w:sz w:val="22"/>
          <w:szCs w:val="22"/>
        </w:rPr>
        <w:t xml:space="preserve"> (o su equivalente en otras monedas) (el “Programa”). </w:t>
      </w:r>
    </w:p>
    <w:p w14:paraId="25CD45EB" w14:textId="19A65087" w:rsidR="004B74C2" w:rsidRPr="00F2691D" w:rsidRDefault="004B74C2" w:rsidP="00B92136">
      <w:pPr>
        <w:rPr>
          <w:b/>
          <w:sz w:val="22"/>
          <w:szCs w:val="22"/>
          <w:lang w:val="es-MX"/>
        </w:rPr>
      </w:pPr>
    </w:p>
    <w:p w14:paraId="1C6BFE39" w14:textId="4DC1D222" w:rsidR="00100738" w:rsidRPr="00F2691D" w:rsidRDefault="00100738" w:rsidP="00B92136">
      <w:pPr>
        <w:rPr>
          <w:b/>
          <w:sz w:val="22"/>
          <w:szCs w:val="22"/>
        </w:rPr>
      </w:pPr>
      <w:r w:rsidRPr="00F2691D">
        <w:rPr>
          <w:sz w:val="22"/>
          <w:szCs w:val="22"/>
        </w:rPr>
        <w:t>El capital de las ON Serie II Clase A y de las ON Serie II Clase B se pagará en forma íntegra en la fecha de vencimiento de cada clase. Los intereses de las ON Serie II Clase A y de las ON Serie II Clase B se pagarán trimestralmente en forma vencida.</w:t>
      </w:r>
    </w:p>
    <w:p w14:paraId="42C95566" w14:textId="77777777" w:rsidR="00100738" w:rsidRPr="00F2691D" w:rsidRDefault="00100738" w:rsidP="00F2691D">
      <w:pPr>
        <w:rPr>
          <w:lang w:val="es-MX" w:eastAsia="x-none"/>
        </w:rPr>
      </w:pPr>
    </w:p>
    <w:p w14:paraId="4F001FF6" w14:textId="5CD8725A" w:rsidR="00973C2B" w:rsidRPr="008A6AC0" w:rsidRDefault="00973C2B" w:rsidP="00973C2B">
      <w:pPr>
        <w:pStyle w:val="Textoindependienteprimerasangra"/>
        <w:spacing w:after="0"/>
        <w:ind w:firstLine="0"/>
        <w:jc w:val="both"/>
        <w:rPr>
          <w:sz w:val="22"/>
          <w:szCs w:val="18"/>
          <w:lang w:val="es-MX"/>
        </w:rPr>
      </w:pPr>
      <w:r w:rsidRPr="008A6AC0">
        <w:rPr>
          <w:sz w:val="22"/>
          <w:szCs w:val="18"/>
          <w:lang w:val="es-MX"/>
        </w:rPr>
        <w:t>Las Obligaciones Negociables Serie II serán emitidas y colocadas conforme con la Ley N° 23.576 de Obligaciones Negociables y sus modificatorias (</w:t>
      </w:r>
      <w:r w:rsidRPr="003A3D9A">
        <w:rPr>
          <w:sz w:val="22"/>
          <w:szCs w:val="18"/>
          <w:lang w:val="es-MX"/>
        </w:rPr>
        <w:t>la “</w:t>
      </w:r>
      <w:r w:rsidRPr="009856C2">
        <w:rPr>
          <w:sz w:val="22"/>
          <w:szCs w:val="18"/>
          <w:lang w:val="es-MX"/>
        </w:rPr>
        <w:t>Ley de Obligaciones Negociables</w:t>
      </w:r>
      <w:r w:rsidRPr="003A3D9A">
        <w:rPr>
          <w:sz w:val="22"/>
          <w:szCs w:val="18"/>
          <w:lang w:val="es-MX"/>
        </w:rPr>
        <w:t>”), la Ley N° 26.831 de Mercado de Capitales y sus modificatorias (la “</w:t>
      </w:r>
      <w:r w:rsidRPr="009856C2">
        <w:rPr>
          <w:sz w:val="22"/>
          <w:szCs w:val="18"/>
          <w:lang w:val="es-MX"/>
        </w:rPr>
        <w:t>Ley de Mercado de Capitales</w:t>
      </w:r>
      <w:r w:rsidRPr="003A3D9A">
        <w:rPr>
          <w:sz w:val="22"/>
          <w:szCs w:val="18"/>
          <w:lang w:val="es-MX"/>
        </w:rPr>
        <w:t>”) y demás normas vigentes, y serán obligaciones negociables simples, sin garantía</w:t>
      </w:r>
      <w:r w:rsidR="009F2917">
        <w:rPr>
          <w:sz w:val="22"/>
          <w:szCs w:val="18"/>
          <w:lang w:val="es-MX"/>
        </w:rPr>
        <w:t>. Las</w:t>
      </w:r>
      <w:r w:rsidRPr="003A3D9A">
        <w:rPr>
          <w:sz w:val="22"/>
          <w:szCs w:val="18"/>
          <w:lang w:val="es-MX"/>
        </w:rPr>
        <w:t xml:space="preserve"> Obligaciones Negociables Serie II tendrán en todo momento igual prioridad de pago entre sí y con todas las demás obligaciones no subordinadas de la Sociedad, presentes o futuras, salvo las obligaciones que go</w:t>
      </w:r>
      <w:r w:rsidR="009F2917">
        <w:rPr>
          <w:sz w:val="22"/>
          <w:szCs w:val="18"/>
          <w:lang w:val="es-MX"/>
        </w:rPr>
        <w:t>ce</w:t>
      </w:r>
      <w:r w:rsidRPr="003A3D9A">
        <w:rPr>
          <w:sz w:val="22"/>
          <w:szCs w:val="18"/>
          <w:lang w:val="es-MX"/>
        </w:rPr>
        <w:t>n de privilegios en vi</w:t>
      </w:r>
      <w:r w:rsidR="009F2917">
        <w:rPr>
          <w:sz w:val="22"/>
          <w:szCs w:val="18"/>
          <w:lang w:val="es-MX"/>
        </w:rPr>
        <w:t xml:space="preserve">rtud de disposiciones legales </w:t>
      </w:r>
      <w:r w:rsidRPr="003A3D9A">
        <w:rPr>
          <w:sz w:val="22"/>
          <w:szCs w:val="18"/>
          <w:lang w:val="es-MX"/>
        </w:rPr>
        <w:t xml:space="preserve">o contractuales. Las Obligaciones Negociables Serie II serán (i) </w:t>
      </w:r>
      <w:r w:rsidR="009F2917">
        <w:rPr>
          <w:sz w:val="22"/>
          <w:szCs w:val="18"/>
          <w:lang w:val="es-MX"/>
        </w:rPr>
        <w:t>documentadas en un</w:t>
      </w:r>
      <w:r w:rsidRPr="003A3D9A">
        <w:rPr>
          <w:sz w:val="22"/>
          <w:szCs w:val="18"/>
          <w:lang w:val="es-MX"/>
        </w:rPr>
        <w:t xml:space="preserve"> certificado global </w:t>
      </w:r>
      <w:r w:rsidR="009F2917">
        <w:rPr>
          <w:sz w:val="22"/>
          <w:szCs w:val="18"/>
          <w:lang w:val="es-MX"/>
        </w:rPr>
        <w:t xml:space="preserve">permanente </w:t>
      </w:r>
      <w:r w:rsidRPr="003A3D9A">
        <w:rPr>
          <w:sz w:val="22"/>
          <w:szCs w:val="18"/>
          <w:lang w:val="es-MX"/>
        </w:rPr>
        <w:t>que será depositado en Caja de Valores S.A. (la “</w:t>
      </w:r>
      <w:r w:rsidRPr="009856C2">
        <w:rPr>
          <w:sz w:val="22"/>
          <w:szCs w:val="18"/>
          <w:lang w:val="es-MX"/>
        </w:rPr>
        <w:t>Caja de Valores</w:t>
      </w:r>
      <w:r w:rsidRPr="003A3D9A">
        <w:rPr>
          <w:sz w:val="22"/>
          <w:szCs w:val="18"/>
          <w:lang w:val="es-MX"/>
        </w:rPr>
        <w:t>”); y (ii) colocadas en Argentina de conformidad con las normas (T.O. 622/2013) (las “</w:t>
      </w:r>
      <w:r w:rsidRPr="009856C2">
        <w:rPr>
          <w:sz w:val="22"/>
          <w:szCs w:val="18"/>
          <w:lang w:val="es-MX"/>
        </w:rPr>
        <w:t>Normas de la CNV</w:t>
      </w:r>
      <w:r w:rsidRPr="003A3D9A">
        <w:rPr>
          <w:sz w:val="22"/>
          <w:szCs w:val="18"/>
          <w:lang w:val="es-MX"/>
        </w:rPr>
        <w:t>”) de la Comisión Nacional de Valores (la “</w:t>
      </w:r>
      <w:r w:rsidRPr="009856C2">
        <w:rPr>
          <w:sz w:val="22"/>
          <w:szCs w:val="18"/>
          <w:lang w:val="es-MX"/>
        </w:rPr>
        <w:t>CNV</w:t>
      </w:r>
      <w:r w:rsidRPr="003A3D9A">
        <w:rPr>
          <w:sz w:val="22"/>
          <w:szCs w:val="18"/>
          <w:lang w:val="es-MX"/>
        </w:rPr>
        <w:t>”).</w:t>
      </w:r>
      <w:r w:rsidRPr="008A6AC0">
        <w:rPr>
          <w:sz w:val="22"/>
          <w:szCs w:val="18"/>
          <w:lang w:val="es-MX"/>
        </w:rPr>
        <w:t xml:space="preserve"> </w:t>
      </w:r>
    </w:p>
    <w:p w14:paraId="52D7072B" w14:textId="77777777" w:rsidR="00973C2B" w:rsidRPr="00F44670" w:rsidRDefault="00973C2B" w:rsidP="00F3428B">
      <w:pPr>
        <w:jc w:val="both"/>
        <w:outlineLvl w:val="0"/>
        <w:rPr>
          <w:b/>
          <w:sz w:val="22"/>
          <w:szCs w:val="22"/>
        </w:rPr>
      </w:pPr>
    </w:p>
    <w:p w14:paraId="450615D3" w14:textId="77777777" w:rsidR="00D04488" w:rsidRDefault="008A4EAD" w:rsidP="00D04488">
      <w:pPr>
        <w:autoSpaceDE w:val="0"/>
        <w:autoSpaceDN w:val="0"/>
        <w:adjustRightInd w:val="0"/>
        <w:jc w:val="both"/>
        <w:rPr>
          <w:color w:val="0D0D0D"/>
          <w:sz w:val="22"/>
          <w:szCs w:val="22"/>
          <w:lang w:val="es-AR"/>
        </w:rPr>
      </w:pPr>
      <w:r w:rsidRPr="00F44670">
        <w:rPr>
          <w:sz w:val="22"/>
          <w:szCs w:val="22"/>
        </w:rPr>
        <w:t>Se solicitará el listado de las ON Serie II a Bolsas y Mercados Argentinos S.A. (“ByMA”)</w:t>
      </w:r>
      <w:r w:rsidR="00EA55E9">
        <w:rPr>
          <w:sz w:val="22"/>
          <w:szCs w:val="22"/>
        </w:rPr>
        <w:t>,</w:t>
      </w:r>
      <w:r w:rsidRPr="00F44670">
        <w:rPr>
          <w:sz w:val="22"/>
          <w:szCs w:val="22"/>
        </w:rPr>
        <w:t xml:space="preserve"> </w:t>
      </w:r>
      <w:r w:rsidR="00463BB6" w:rsidRPr="00F44670">
        <w:rPr>
          <w:sz w:val="22"/>
          <w:szCs w:val="22"/>
        </w:rPr>
        <w:t xml:space="preserve">al Mercado Argentino de Valores S.A. (“MAV”) </w:t>
      </w:r>
      <w:r w:rsidRPr="00F44670">
        <w:rPr>
          <w:sz w:val="22"/>
          <w:szCs w:val="22"/>
        </w:rPr>
        <w:t>y</w:t>
      </w:r>
      <w:r w:rsidR="009F2917">
        <w:rPr>
          <w:sz w:val="22"/>
          <w:szCs w:val="22"/>
        </w:rPr>
        <w:t xml:space="preserve"> al Mercado</w:t>
      </w:r>
      <w:r w:rsidRPr="00F44670">
        <w:rPr>
          <w:sz w:val="22"/>
          <w:szCs w:val="22"/>
        </w:rPr>
        <w:t xml:space="preserve"> Abierto Electrónico S.A</w:t>
      </w:r>
      <w:r w:rsidRPr="00F44670">
        <w:rPr>
          <w:color w:val="0D0D0D"/>
          <w:sz w:val="22"/>
          <w:szCs w:val="22"/>
        </w:rPr>
        <w:t>.</w:t>
      </w:r>
      <w:r w:rsidR="00487A7E">
        <w:rPr>
          <w:color w:val="0D0D0D"/>
          <w:sz w:val="22"/>
          <w:szCs w:val="22"/>
          <w:lang w:val="es-AR"/>
        </w:rPr>
        <w:t xml:space="preserve"> (“MAE”)</w:t>
      </w:r>
      <w:r w:rsidR="00D3496C">
        <w:rPr>
          <w:color w:val="0D0D0D"/>
          <w:sz w:val="22"/>
          <w:szCs w:val="22"/>
          <w:lang w:val="es-AR"/>
        </w:rPr>
        <w:t>.</w:t>
      </w:r>
      <w:r w:rsidR="005363F9">
        <w:rPr>
          <w:color w:val="0D0D0D"/>
          <w:sz w:val="22"/>
          <w:szCs w:val="22"/>
          <w:lang w:val="es-AR"/>
        </w:rPr>
        <w:t xml:space="preserve"> Sin perjuicio de ello la Sociedad no puede garantizar que dichas autorizaciones sean otorgadas.</w:t>
      </w:r>
    </w:p>
    <w:p w14:paraId="3840E5FD" w14:textId="77777777" w:rsidR="00100738" w:rsidRDefault="00100738" w:rsidP="00D04488">
      <w:pPr>
        <w:autoSpaceDE w:val="0"/>
        <w:autoSpaceDN w:val="0"/>
        <w:adjustRightInd w:val="0"/>
        <w:jc w:val="both"/>
        <w:rPr>
          <w:color w:val="0D0D0D"/>
          <w:sz w:val="22"/>
          <w:szCs w:val="22"/>
          <w:lang w:val="es-AR"/>
        </w:rPr>
      </w:pPr>
    </w:p>
    <w:p w14:paraId="1F580313" w14:textId="09A5C9F1" w:rsidR="00D04488" w:rsidRPr="00F2691D" w:rsidRDefault="00D04488" w:rsidP="00D04488">
      <w:pPr>
        <w:autoSpaceDE w:val="0"/>
        <w:autoSpaceDN w:val="0"/>
        <w:adjustRightInd w:val="0"/>
        <w:jc w:val="both"/>
        <w:rPr>
          <w:color w:val="0D0D0D"/>
          <w:sz w:val="22"/>
          <w:szCs w:val="22"/>
          <w:lang w:val="es-AR"/>
        </w:rPr>
      </w:pPr>
      <w:r w:rsidRPr="00F2691D">
        <w:rPr>
          <w:color w:val="0D0D0D"/>
          <w:sz w:val="22"/>
          <w:szCs w:val="22"/>
          <w:lang w:val="es-AR"/>
        </w:rPr>
        <w:t>La Sociedad solicitará que las ON Serie II sean elegibles para su transferencia a través de Euroclear, cuya aceptación de la solicitud dependerá de dicha central de depósito, no teniendo la Sociedad ni los Organizadores y Colocadores responsabilidad alguna respecto de ello.</w:t>
      </w:r>
    </w:p>
    <w:p w14:paraId="1E3ADE8E" w14:textId="5FAE9935" w:rsidR="008A4EAD" w:rsidRPr="00F2691D" w:rsidRDefault="008A4EAD" w:rsidP="008A4EAD">
      <w:pPr>
        <w:pStyle w:val="Textoindependiente"/>
        <w:rPr>
          <w:color w:val="0D0D0D"/>
          <w:sz w:val="22"/>
          <w:szCs w:val="22"/>
          <w:lang w:val="es-ES"/>
        </w:rPr>
      </w:pPr>
    </w:p>
    <w:p w14:paraId="5378B092" w14:textId="77777777" w:rsidR="008A4EAD" w:rsidRPr="00F44670" w:rsidRDefault="008A4EAD" w:rsidP="00F3428B">
      <w:pPr>
        <w:jc w:val="both"/>
        <w:outlineLvl w:val="0"/>
        <w:rPr>
          <w:b/>
          <w:sz w:val="22"/>
          <w:szCs w:val="22"/>
          <w:lang w:val="x-none"/>
        </w:rPr>
      </w:pPr>
    </w:p>
    <w:p w14:paraId="6041BAE2" w14:textId="77777777" w:rsidR="008A4EAD" w:rsidRPr="00F44670" w:rsidRDefault="008A4EAD" w:rsidP="008A4EAD">
      <w:pPr>
        <w:suppressLineNumbers/>
        <w:jc w:val="both"/>
        <w:rPr>
          <w:rFonts w:eastAsia="MS Mincho"/>
          <w:sz w:val="22"/>
          <w:szCs w:val="22"/>
          <w:lang w:eastAsia="ja-JP"/>
        </w:rPr>
      </w:pPr>
      <w:r w:rsidRPr="00F44670">
        <w:rPr>
          <w:rFonts w:eastAsia="Lucida Sans Unicode"/>
          <w:sz w:val="22"/>
          <w:szCs w:val="22"/>
          <w:lang w:val="es-ES_tradnl" w:eastAsia="es-ES_tradnl"/>
        </w:rPr>
        <w:t xml:space="preserve">Rizobacter </w:t>
      </w:r>
      <w:r w:rsidR="00463BB6" w:rsidRPr="00F44670">
        <w:rPr>
          <w:rFonts w:eastAsia="Lucida Sans Unicode"/>
          <w:sz w:val="22"/>
          <w:szCs w:val="22"/>
          <w:lang w:val="es-ES_tradnl" w:eastAsia="es-ES_tradnl"/>
        </w:rPr>
        <w:t xml:space="preserve">tiene su sede social </w:t>
      </w:r>
      <w:r w:rsidRPr="00F44670">
        <w:rPr>
          <w:rFonts w:eastAsia="MS Mincho"/>
          <w:sz w:val="22"/>
          <w:szCs w:val="22"/>
          <w:lang w:eastAsia="ja-JP"/>
        </w:rPr>
        <w:t xml:space="preserve">en Avda. Presidente Dr. Arturo Frondizi Nº 1150 (ex ruta 32), Parque Industrial, Pergamino, Provincia de Buenos Aires. </w:t>
      </w:r>
      <w:r w:rsidRPr="00F44670">
        <w:rPr>
          <w:rFonts w:eastAsia="Lucida Sans Unicode"/>
          <w:sz w:val="22"/>
          <w:szCs w:val="22"/>
          <w:lang w:eastAsia="es-ES_tradnl"/>
        </w:rPr>
        <w:t xml:space="preserve">CUIT: 30-59317405-7, Tel: 02477 409429 / Fax: +54 2477 432893. </w:t>
      </w:r>
      <w:hyperlink r:id="rId13" w:history="1">
        <w:r w:rsidRPr="00F44670">
          <w:rPr>
            <w:rFonts w:eastAsia="Lucida Sans Unicode"/>
            <w:sz w:val="22"/>
            <w:szCs w:val="22"/>
            <w:lang w:eastAsia="es-ES_tradnl"/>
          </w:rPr>
          <w:t>http://www.rizobacter.com.ar/</w:t>
        </w:r>
      </w:hyperlink>
      <w:r w:rsidRPr="00F44670">
        <w:rPr>
          <w:rFonts w:eastAsia="Lucida Sans Unicode"/>
          <w:sz w:val="22"/>
          <w:szCs w:val="22"/>
          <w:lang w:val="es-ES_tradnl" w:eastAsia="es-ES_tradnl"/>
        </w:rPr>
        <w:t xml:space="preserve">. Dirección de correo electrónico: </w:t>
      </w:r>
      <w:hyperlink r:id="rId14" w:history="1">
        <w:r w:rsidRPr="00F44670">
          <w:rPr>
            <w:rStyle w:val="Hipervnculo"/>
            <w:rFonts w:eastAsia="Lucida Sans Unicode"/>
            <w:sz w:val="22"/>
            <w:szCs w:val="22"/>
            <w:lang w:val="es-ES_tradnl" w:eastAsia="es-ES_tradnl"/>
          </w:rPr>
          <w:t>jwagner@rizobacter.com.ar</w:t>
        </w:r>
      </w:hyperlink>
      <w:r w:rsidRPr="00F44670">
        <w:rPr>
          <w:rFonts w:eastAsia="Lucida Sans Unicode"/>
          <w:sz w:val="22"/>
          <w:szCs w:val="22"/>
          <w:lang w:val="es-ES_tradnl" w:eastAsia="es-ES_tradnl"/>
        </w:rPr>
        <w:t xml:space="preserve">; </w:t>
      </w:r>
      <w:hyperlink r:id="rId15" w:history="1">
        <w:r w:rsidRPr="00F44670">
          <w:rPr>
            <w:rStyle w:val="Hipervnculo"/>
            <w:rFonts w:eastAsia="Lucida Sans Unicode"/>
            <w:sz w:val="22"/>
            <w:szCs w:val="22"/>
            <w:lang w:val="es-ES_tradnl" w:eastAsia="es-ES_tradnl"/>
          </w:rPr>
          <w:t>lescrina@biocerescrops.com</w:t>
        </w:r>
      </w:hyperlink>
      <w:r w:rsidRPr="00F44670">
        <w:rPr>
          <w:rFonts w:eastAsia="Lucida Sans Unicode"/>
          <w:sz w:val="22"/>
          <w:szCs w:val="22"/>
          <w:lang w:val="es-ES_tradnl" w:eastAsia="es-ES_tradnl"/>
        </w:rPr>
        <w:t xml:space="preserve"> y frodenas@rizobacter.com.ar.</w:t>
      </w:r>
    </w:p>
    <w:p w14:paraId="54AB6224" w14:textId="77777777" w:rsidR="008A4EAD" w:rsidRPr="00F44670" w:rsidRDefault="008A4EAD" w:rsidP="00F3428B">
      <w:pPr>
        <w:jc w:val="both"/>
        <w:outlineLvl w:val="0"/>
        <w:rPr>
          <w:b/>
          <w:sz w:val="22"/>
          <w:szCs w:val="22"/>
        </w:rPr>
      </w:pPr>
    </w:p>
    <w:p w14:paraId="4DE0EA73" w14:textId="512074A1" w:rsidR="00696F29" w:rsidRPr="00F44670" w:rsidRDefault="00696F29" w:rsidP="00B92136">
      <w:pPr>
        <w:rPr>
          <w:b/>
          <w:bCs/>
          <w:sz w:val="22"/>
          <w:szCs w:val="22"/>
        </w:rPr>
      </w:pPr>
      <w:r w:rsidRPr="00F44670">
        <w:rPr>
          <w:b/>
          <w:sz w:val="22"/>
          <w:szCs w:val="22"/>
        </w:rPr>
        <w:lastRenderedPageBreak/>
        <w:t xml:space="preserve">LAS OBLIGACIONES NEGOCIABLES SERIE </w:t>
      </w:r>
      <w:r w:rsidR="000630A6" w:rsidRPr="00F44670">
        <w:rPr>
          <w:b/>
          <w:sz w:val="22"/>
          <w:szCs w:val="22"/>
        </w:rPr>
        <w:t>I</w:t>
      </w:r>
      <w:r w:rsidR="009F384C" w:rsidRPr="00F44670">
        <w:rPr>
          <w:b/>
          <w:sz w:val="22"/>
          <w:szCs w:val="22"/>
        </w:rPr>
        <w:t>I</w:t>
      </w:r>
      <w:r w:rsidRPr="00F44670">
        <w:rPr>
          <w:b/>
          <w:sz w:val="22"/>
          <w:szCs w:val="22"/>
        </w:rPr>
        <w:t xml:space="preserve"> CUENTAN CON CALIFICACIÓN DE RIE</w:t>
      </w:r>
      <w:r w:rsidR="00251EBE">
        <w:rPr>
          <w:b/>
          <w:sz w:val="22"/>
          <w:szCs w:val="22"/>
        </w:rPr>
        <w:t>S</w:t>
      </w:r>
      <w:r w:rsidRPr="00F44670">
        <w:rPr>
          <w:b/>
          <w:sz w:val="22"/>
          <w:szCs w:val="22"/>
        </w:rPr>
        <w:t>GO OTORGADA POR FI</w:t>
      </w:r>
      <w:r w:rsidR="00C2162F" w:rsidRPr="00F44670">
        <w:rPr>
          <w:b/>
          <w:sz w:val="22"/>
          <w:szCs w:val="22"/>
        </w:rPr>
        <w:t>X SCR S.A. AGENTE DE CALIFICACION DE RIESGO</w:t>
      </w:r>
      <w:r w:rsidRPr="00F44670">
        <w:rPr>
          <w:b/>
          <w:sz w:val="22"/>
          <w:szCs w:val="22"/>
        </w:rPr>
        <w:t xml:space="preserve">. QUIEN HA OTORGADO LA </w:t>
      </w:r>
      <w:r w:rsidRPr="00F44670">
        <w:rPr>
          <w:b/>
          <w:bCs/>
          <w:sz w:val="22"/>
          <w:szCs w:val="22"/>
        </w:rPr>
        <w:t xml:space="preserve">CALIFICACION </w:t>
      </w:r>
      <w:r w:rsidR="003170E8">
        <w:rPr>
          <w:b/>
          <w:bCs/>
          <w:sz w:val="22"/>
          <w:szCs w:val="22"/>
        </w:rPr>
        <w:t>BBB+</w:t>
      </w:r>
      <w:r w:rsidR="00B54BE7" w:rsidRPr="00F44670">
        <w:rPr>
          <w:b/>
          <w:bCs/>
          <w:sz w:val="22"/>
          <w:szCs w:val="22"/>
        </w:rPr>
        <w:t xml:space="preserve"> </w:t>
      </w:r>
      <w:r w:rsidR="00C2162F" w:rsidRPr="00F44670">
        <w:rPr>
          <w:b/>
          <w:bCs/>
          <w:sz w:val="22"/>
          <w:szCs w:val="22"/>
        </w:rPr>
        <w:t>(arg)</w:t>
      </w:r>
      <w:r w:rsidR="003170E8">
        <w:rPr>
          <w:b/>
          <w:bCs/>
          <w:sz w:val="22"/>
          <w:szCs w:val="22"/>
        </w:rPr>
        <w:t xml:space="preserve"> PARA LAS ON SERIE II CLASE A Y A3(arg) PARA LAS ON SERIE II CLASE B</w:t>
      </w:r>
      <w:r w:rsidR="007A199F" w:rsidRPr="00F44670">
        <w:rPr>
          <w:b/>
          <w:bCs/>
          <w:sz w:val="22"/>
          <w:szCs w:val="22"/>
        </w:rPr>
        <w:t>.</w:t>
      </w:r>
    </w:p>
    <w:p w14:paraId="488F22C8" w14:textId="77777777" w:rsidR="008444E3" w:rsidRPr="00F44670" w:rsidRDefault="008444E3" w:rsidP="00F3428B">
      <w:pPr>
        <w:widowControl w:val="0"/>
        <w:suppressLineNumbers/>
        <w:suppressAutoHyphens/>
        <w:jc w:val="both"/>
        <w:rPr>
          <w:sz w:val="22"/>
          <w:szCs w:val="22"/>
        </w:rPr>
      </w:pPr>
    </w:p>
    <w:p w14:paraId="363626CD" w14:textId="2A83BC0A" w:rsidR="00463BB6" w:rsidRPr="00F44670" w:rsidRDefault="00463BB6" w:rsidP="00463BB6">
      <w:pPr>
        <w:widowControl w:val="0"/>
        <w:suppressLineNumbers/>
        <w:suppressAutoHyphens/>
        <w:jc w:val="both"/>
        <w:rPr>
          <w:rFonts w:eastAsia="MS Mincho"/>
          <w:b/>
          <w:bCs/>
          <w:color w:val="000000"/>
          <w:sz w:val="22"/>
          <w:szCs w:val="22"/>
          <w:lang w:eastAsia="ja-JP"/>
        </w:rPr>
      </w:pPr>
      <w:r w:rsidRPr="00F44670">
        <w:rPr>
          <w:b/>
          <w:color w:val="000000"/>
          <w:sz w:val="22"/>
          <w:szCs w:val="22"/>
        </w:rPr>
        <w:t xml:space="preserve">LA CREACIÓN DEL PROGRAMA Y LA OFERTA PÚBLICA DE LAS OBLIGACIONES NEGOCIABLES HA SIDO AUTORIZADA POR EL DIRECTORIO DE LA COMISIÓN NACIONAL DE VALORES </w:t>
      </w:r>
      <w:r w:rsidRPr="003A3D9A">
        <w:rPr>
          <w:rFonts w:eastAsia="MS Mincho"/>
          <w:b/>
          <w:sz w:val="22"/>
          <w:szCs w:val="22"/>
          <w:lang w:eastAsia="ja-JP"/>
        </w:rPr>
        <w:t>(“</w:t>
      </w:r>
      <w:r w:rsidRPr="009856C2">
        <w:rPr>
          <w:rFonts w:eastAsia="MS Mincho"/>
          <w:b/>
          <w:sz w:val="22"/>
          <w:szCs w:val="22"/>
          <w:lang w:eastAsia="ja-JP"/>
        </w:rPr>
        <w:t>CNV</w:t>
      </w:r>
      <w:r w:rsidRPr="003A3D9A">
        <w:rPr>
          <w:rFonts w:eastAsia="MS Mincho"/>
          <w:b/>
          <w:sz w:val="22"/>
          <w:szCs w:val="22"/>
          <w:lang w:eastAsia="ja-JP"/>
        </w:rPr>
        <w:t>”)</w:t>
      </w:r>
      <w:r w:rsidRPr="00F44670">
        <w:rPr>
          <w:rFonts w:eastAsia="MS Mincho"/>
          <w:b/>
          <w:sz w:val="22"/>
          <w:szCs w:val="22"/>
          <w:lang w:eastAsia="ja-JP"/>
        </w:rPr>
        <w:t xml:space="preserve"> POR RESOLUCIÓN N° 17.737 DEL 16 DE JULIO DE 2015 Y LA PRÓRROGA DEL PROGRAMA FUE AUTORIZADA POR DISPOSICIÓN DE LA GERENCIA DE EMISORAS DE LA CNV NRO </w:t>
      </w:r>
      <w:r w:rsidR="00EA55E9" w:rsidRPr="00504203">
        <w:rPr>
          <w:rFonts w:eastAsia="MS Mincho"/>
          <w:b/>
          <w:sz w:val="22"/>
          <w:szCs w:val="22"/>
          <w:lang w:eastAsia="ja-JP"/>
        </w:rPr>
        <w:t>DI-2020-6-APN-GE#CNV</w:t>
      </w:r>
      <w:r w:rsidRPr="00F44670">
        <w:rPr>
          <w:rFonts w:eastAsia="MS Mincho"/>
          <w:b/>
          <w:sz w:val="22"/>
          <w:szCs w:val="22"/>
          <w:lang w:eastAsia="ja-JP"/>
        </w:rPr>
        <w:t xml:space="preserve"> DE FECHA </w:t>
      </w:r>
      <w:r w:rsidR="00EA55E9">
        <w:rPr>
          <w:rFonts w:eastAsia="MS Mincho"/>
          <w:b/>
          <w:sz w:val="22"/>
          <w:szCs w:val="22"/>
          <w:lang w:eastAsia="ja-JP"/>
        </w:rPr>
        <w:t>30</w:t>
      </w:r>
      <w:r w:rsidRPr="00F44670">
        <w:rPr>
          <w:rFonts w:eastAsia="MS Mincho"/>
          <w:b/>
          <w:sz w:val="22"/>
          <w:szCs w:val="22"/>
          <w:lang w:eastAsia="ja-JP"/>
        </w:rPr>
        <w:t xml:space="preserve"> DE </w:t>
      </w:r>
      <w:r w:rsidR="00EA55E9">
        <w:rPr>
          <w:rFonts w:eastAsia="MS Mincho"/>
          <w:b/>
          <w:sz w:val="22"/>
          <w:szCs w:val="22"/>
          <w:lang w:eastAsia="ja-JP"/>
        </w:rPr>
        <w:t>ENERO</w:t>
      </w:r>
      <w:r w:rsidRPr="00F44670">
        <w:rPr>
          <w:rFonts w:eastAsia="MS Mincho"/>
          <w:b/>
          <w:sz w:val="22"/>
          <w:szCs w:val="22"/>
          <w:lang w:eastAsia="ja-JP"/>
        </w:rPr>
        <w:t xml:space="preserve"> DE 2020. ESTAS AUTORIZACIONES SÓLO SIGNIFICAN QUE SE HA CUMPLIDO CON LOS REQUISITOS ESTABLECIDOS EN MATERIA DE INFORMACIÓN. LA CNV NO HA EMITIDO JUICIO SOBRE LOS DATOS CONTENIDOS EN EL SUPLEMENTO. LA VERACIDAD DE LA INFORMACIÓN CONTABLE, ECONÓMICA Y FINANCIERA ASÍ COMO TODA OTRA INFORMACIÓN SUMINISTRADA EN EL PRESENTE SUPLEMENTO ES DE EXCLUSIVA RESPONSABILIDAD DEL </w:t>
      </w:r>
      <w:r w:rsidR="009F2917">
        <w:rPr>
          <w:rFonts w:eastAsia="MS Mincho"/>
          <w:b/>
          <w:sz w:val="22"/>
          <w:szCs w:val="22"/>
          <w:lang w:eastAsia="ja-JP"/>
        </w:rPr>
        <w:t>DIRECTORIO</w:t>
      </w:r>
      <w:r w:rsidRPr="00F44670">
        <w:rPr>
          <w:rFonts w:eastAsia="MS Mincho"/>
          <w:b/>
          <w:sz w:val="22"/>
          <w:szCs w:val="22"/>
          <w:lang w:eastAsia="ja-JP"/>
        </w:rPr>
        <w:t xml:space="preserve"> Y, EN LO QUE LES ATAÑE, DEL ÓRGANO DE FISCALIZACIÓN DE LA SOCIEDAD Y DE LOS AUDITORES EN CUANTO A SUS RESPECTIVOS INFORMES SOBRE LOS ESTADOS FINANCIEROS QUE SE ACOMPAÑAN Y DEMÁS RESPONSABLES CONTEMPLADOS EN LOS ARTÍCULOS 119 Y 120 DE LA LEY </w:t>
      </w:r>
      <w:r w:rsidRPr="004B74C2">
        <w:rPr>
          <w:rFonts w:eastAsia="MS Mincho"/>
          <w:b/>
          <w:color w:val="000000"/>
          <w:sz w:val="22"/>
          <w:szCs w:val="22"/>
          <w:lang w:eastAsia="ja-JP"/>
        </w:rPr>
        <w:t>DE MERCADO DE CAPITALES</w:t>
      </w:r>
      <w:r w:rsidRPr="00F44670">
        <w:rPr>
          <w:rFonts w:eastAsia="MS Mincho"/>
          <w:b/>
          <w:sz w:val="22"/>
          <w:szCs w:val="22"/>
          <w:lang w:eastAsia="ja-JP"/>
        </w:rPr>
        <w:t xml:space="preserve">. EL </w:t>
      </w:r>
      <w:r w:rsidR="009F2917">
        <w:rPr>
          <w:rFonts w:eastAsia="MS Mincho"/>
          <w:b/>
          <w:sz w:val="22"/>
          <w:szCs w:val="22"/>
          <w:lang w:eastAsia="ja-JP"/>
        </w:rPr>
        <w:t>DIRECTORIO</w:t>
      </w:r>
      <w:r w:rsidRPr="00F44670">
        <w:rPr>
          <w:rFonts w:eastAsia="MS Mincho"/>
          <w:b/>
          <w:sz w:val="22"/>
          <w:szCs w:val="22"/>
          <w:lang w:eastAsia="ja-JP"/>
        </w:rPr>
        <w:t xml:space="preserve"> MANIFIESTA, CON CARÁCTER DE DECLARACIÓN JURADA, QUE EL PRESENTE SUPLEMENTO CONTIENE A LA FECHA DE SU PUBLICACIÓN INFORMACIÓN VERAZ Y SUFICIENTE SOBRE TODO HECHO RELEVANTE QUE PUEDA AFECTAR LA SITUACIÓN PATRIMONIAL, ECONÓMICA Y FINANCIERA DE LA SOCIEDAD Y DE TODA AQUELLA QUE DEBA SER DE CONOCIMIENTO DEL PÚBLICO INVERSOR CON RELACIÓN A LA PRESENTE EMISIÓN, CONFORME LAS NORMAS LEGALES VIGENTES.</w:t>
      </w:r>
      <w:r w:rsidRPr="00F44670">
        <w:rPr>
          <w:rFonts w:eastAsia="MS Mincho"/>
          <w:b/>
          <w:bCs/>
          <w:color w:val="000000"/>
          <w:sz w:val="22"/>
          <w:szCs w:val="22"/>
          <w:lang w:eastAsia="ja-JP"/>
        </w:rPr>
        <w:t xml:space="preserve"> </w:t>
      </w:r>
    </w:p>
    <w:p w14:paraId="567B5FA3" w14:textId="77777777" w:rsidR="00463BB6" w:rsidRPr="00F44670" w:rsidRDefault="00463BB6" w:rsidP="00463BB6">
      <w:pPr>
        <w:pStyle w:val="Textoindependiente2"/>
        <w:tabs>
          <w:tab w:val="left" w:pos="851"/>
        </w:tabs>
        <w:rPr>
          <w:sz w:val="22"/>
          <w:szCs w:val="22"/>
        </w:rPr>
      </w:pPr>
    </w:p>
    <w:p w14:paraId="5610CFE6" w14:textId="77777777" w:rsidR="00463BB6" w:rsidRPr="00F44670" w:rsidRDefault="00463BB6" w:rsidP="00463BB6">
      <w:pPr>
        <w:pStyle w:val="Textoindependiente"/>
        <w:rPr>
          <w:color w:val="0D0D0D"/>
          <w:sz w:val="22"/>
          <w:szCs w:val="22"/>
          <w:lang w:val="es-MX"/>
        </w:rPr>
      </w:pPr>
      <w:r w:rsidRPr="00F44670">
        <w:rPr>
          <w:color w:val="0D0D0D"/>
          <w:sz w:val="22"/>
          <w:szCs w:val="22"/>
          <w:lang w:val="es-MX"/>
        </w:rPr>
        <w:t>LA OFERTA PÚBLICA DE LAS OBLIGACIONES NEGOCIABLES SERIE II QUE SE DESCRIBEN EN EL PRESENTE SUPLEMENTO SE ENCUENTRA COMPRENDIDA DENTRO DE LA AUTORIZACIÓN DE OFERTA PÚBLICA OTORGADA POR LA CNV EN EL MARCO DEL PROGRAMA, EN VIRTUD DE LO ESTABLECIDO EN EL ARTÍCULO 41, SECCIÓN V, CAPÍTULO V, TÍTULO II DE LAS NORMAS DE LA CNV. ESTE SUPLEMENTO NO HA SIDO PREVIAMENTE REVISADO NI CONFORMADO POR LA CNV. DE CONFORMIDAD CON EL PROCEDIMIENTO ESTABLECIDO POR EL ARTÍCULO 51, SECCIÓN V, CAPÍTULO V, TÍTULO II DE LAS NORMAS DE LA CNV, DENTRO DE LOS CINCO (5) DÍAS HÁBILES DE SUSCRIPTAS LAS OBLIGACIONES NEGOCIABLES SERIE II LA SOCIEDAD PRESENTARÁ LA DOCUMENTACIÓN DEFINITIVA RELATIVA A LAS MISMAS ANTE LA CNV.</w:t>
      </w:r>
    </w:p>
    <w:p w14:paraId="5E0482AB" w14:textId="77777777" w:rsidR="00EF7CA7" w:rsidRPr="00F44670" w:rsidRDefault="00EF7CA7" w:rsidP="00463BB6">
      <w:pPr>
        <w:pStyle w:val="Textoindependiente"/>
        <w:rPr>
          <w:color w:val="0D0D0D"/>
          <w:sz w:val="22"/>
          <w:szCs w:val="22"/>
          <w:lang w:val="es-MX"/>
        </w:rPr>
      </w:pPr>
    </w:p>
    <w:p w14:paraId="6E15CB56" w14:textId="1AD19032" w:rsidR="00EF7CA7" w:rsidRPr="00F44670" w:rsidRDefault="00EF7CA7" w:rsidP="00EF7CA7">
      <w:pPr>
        <w:pStyle w:val="Textoindependiente"/>
        <w:rPr>
          <w:color w:val="0D0D0D"/>
          <w:sz w:val="22"/>
          <w:szCs w:val="22"/>
          <w:lang w:val="es-MX"/>
        </w:rPr>
      </w:pPr>
      <w:r w:rsidRPr="00F44670">
        <w:rPr>
          <w:color w:val="0D0D0D"/>
          <w:sz w:val="22"/>
          <w:szCs w:val="22"/>
          <w:lang w:val="es-MX"/>
        </w:rPr>
        <w:t xml:space="preserve">El presente Suplemento debe leerse junto con el Prospecto del Programa autorizado por la CNV para cada emisión de valores negociables bajo el Programa publicado en la Autopista de la Información Financiera de la CNV el </w:t>
      </w:r>
      <w:r w:rsidR="0080216A">
        <w:rPr>
          <w:color w:val="0D0D0D"/>
          <w:sz w:val="22"/>
          <w:szCs w:val="22"/>
          <w:lang w:val="es-MX"/>
        </w:rPr>
        <w:t>3</w:t>
      </w:r>
      <w:r w:rsidRPr="00F44670">
        <w:rPr>
          <w:color w:val="0D0D0D"/>
          <w:sz w:val="22"/>
          <w:szCs w:val="22"/>
          <w:lang w:val="es-MX"/>
        </w:rPr>
        <w:t xml:space="preserve"> de </w:t>
      </w:r>
      <w:r w:rsidR="00B56E2D">
        <w:rPr>
          <w:color w:val="0D0D0D"/>
          <w:sz w:val="22"/>
          <w:szCs w:val="22"/>
          <w:lang w:val="es-MX"/>
        </w:rPr>
        <w:t>febrero</w:t>
      </w:r>
      <w:r w:rsidRPr="00F44670">
        <w:rPr>
          <w:color w:val="0D0D0D"/>
          <w:sz w:val="22"/>
          <w:szCs w:val="22"/>
          <w:lang w:val="es-MX"/>
        </w:rPr>
        <w:t xml:space="preserve"> de 2020 (el </w:t>
      </w:r>
      <w:r w:rsidRPr="00F44670">
        <w:rPr>
          <w:bCs/>
          <w:color w:val="0D0D0D"/>
          <w:sz w:val="22"/>
          <w:szCs w:val="22"/>
          <w:lang w:val="es-MX"/>
        </w:rPr>
        <w:t>“Prospecto”</w:t>
      </w:r>
      <w:r w:rsidRPr="00F44670">
        <w:rPr>
          <w:color w:val="0D0D0D"/>
          <w:sz w:val="22"/>
          <w:szCs w:val="22"/>
          <w:lang w:val="es-MX"/>
        </w:rPr>
        <w:t>). Los responsables del presente documento, manifiestan con carácter de declaración jurada, que la totalidad de los términos y condiciones en el Suplemento se encuentran vigentes. El Prospecto y el Suplemento se encuentran a disposición del público inversor en las oficinas de la Sociedad, de los Colocadores (conforme este término se define más adelante)</w:t>
      </w:r>
      <w:r w:rsidR="00487A7E">
        <w:rPr>
          <w:color w:val="0D0D0D"/>
          <w:sz w:val="22"/>
          <w:szCs w:val="22"/>
          <w:lang w:val="es-MX"/>
        </w:rPr>
        <w:t>,</w:t>
      </w:r>
      <w:r w:rsidRPr="00F44670">
        <w:rPr>
          <w:color w:val="0D0D0D"/>
          <w:sz w:val="22"/>
          <w:szCs w:val="22"/>
          <w:lang w:val="es-MX"/>
        </w:rPr>
        <w:t xml:space="preserve"> en la página de Internet de la CNV (</w:t>
      </w:r>
      <w:hyperlink r:id="rId16" w:history="1">
        <w:r w:rsidRPr="00F44670">
          <w:rPr>
            <w:color w:val="0D0D0D"/>
            <w:sz w:val="22"/>
            <w:szCs w:val="22"/>
          </w:rPr>
          <w:t>www.cnv.gov.ar</w:t>
        </w:r>
      </w:hyperlink>
      <w:r w:rsidRPr="00F44670">
        <w:rPr>
          <w:color w:val="0D0D0D"/>
          <w:sz w:val="22"/>
          <w:szCs w:val="22"/>
          <w:lang w:val="es-MX"/>
        </w:rPr>
        <w:t xml:space="preserve"> - Información Financiera) (la “AIF</w:t>
      </w:r>
      <w:r w:rsidRPr="00A93908">
        <w:rPr>
          <w:color w:val="0D0D0D"/>
          <w:sz w:val="22"/>
          <w:szCs w:val="22"/>
          <w:lang w:val="es-MX"/>
        </w:rPr>
        <w:t>”)</w:t>
      </w:r>
      <w:r w:rsidR="00D3496C" w:rsidRPr="00A93908">
        <w:rPr>
          <w:color w:val="0D0D0D"/>
          <w:sz w:val="22"/>
          <w:szCs w:val="22"/>
          <w:lang w:val="es-MX"/>
        </w:rPr>
        <w:t>,</w:t>
      </w:r>
      <w:r w:rsidRPr="00C274DD">
        <w:rPr>
          <w:color w:val="0D0D0D"/>
          <w:sz w:val="22"/>
          <w:szCs w:val="22"/>
          <w:lang w:val="es-MX"/>
        </w:rPr>
        <w:t xml:space="preserve"> en “</w:t>
      </w:r>
      <w:hyperlink r:id="rId17" w:history="1">
        <w:r w:rsidR="00623BFB" w:rsidRPr="00204955">
          <w:rPr>
            <w:rStyle w:val="Hipervnculo"/>
            <w:sz w:val="22"/>
            <w:szCs w:val="22"/>
            <w:lang w:val="es-MX"/>
          </w:rPr>
          <w:t>www.bolsar.com</w:t>
        </w:r>
      </w:hyperlink>
      <w:r w:rsidRPr="00C274DD">
        <w:rPr>
          <w:color w:val="0D0D0D"/>
          <w:sz w:val="22"/>
          <w:szCs w:val="22"/>
          <w:lang w:val="es-MX"/>
        </w:rPr>
        <w:t>”</w:t>
      </w:r>
      <w:r w:rsidR="003170E8">
        <w:rPr>
          <w:color w:val="0D0D0D"/>
          <w:sz w:val="22"/>
          <w:szCs w:val="22"/>
          <w:lang w:val="es-MX"/>
        </w:rPr>
        <w:t>, en www</w:t>
      </w:r>
      <w:r w:rsidR="00623BFB">
        <w:rPr>
          <w:color w:val="0D0D0D"/>
          <w:sz w:val="22"/>
          <w:szCs w:val="22"/>
          <w:lang w:val="es-MX"/>
        </w:rPr>
        <w:t>.</w:t>
      </w:r>
      <w:r w:rsidR="003170E8">
        <w:rPr>
          <w:color w:val="0D0D0D"/>
          <w:sz w:val="22"/>
          <w:szCs w:val="22"/>
          <w:lang w:val="es-MX"/>
        </w:rPr>
        <w:t>bcr.com.ar</w:t>
      </w:r>
      <w:r w:rsidR="009F2917" w:rsidRPr="00C274DD">
        <w:rPr>
          <w:color w:val="0D0D0D"/>
          <w:sz w:val="22"/>
          <w:szCs w:val="22"/>
          <w:lang w:val="es-MX"/>
        </w:rPr>
        <w:t xml:space="preserve"> y www.mae.com.ar</w:t>
      </w:r>
      <w:r w:rsidRPr="00C274DD">
        <w:rPr>
          <w:color w:val="0D0D0D"/>
          <w:sz w:val="22"/>
          <w:szCs w:val="22"/>
          <w:lang w:val="es-MX"/>
        </w:rPr>
        <w:t>.</w:t>
      </w:r>
      <w:r w:rsidRPr="00F44670">
        <w:rPr>
          <w:color w:val="0D0D0D"/>
          <w:sz w:val="22"/>
          <w:szCs w:val="22"/>
          <w:lang w:val="es-MX"/>
        </w:rPr>
        <w:t xml:space="preserve"> </w:t>
      </w:r>
    </w:p>
    <w:p w14:paraId="55268DB0" w14:textId="77777777" w:rsidR="00EF7CA7" w:rsidRPr="00F44670" w:rsidRDefault="00EF7CA7" w:rsidP="00463BB6">
      <w:pPr>
        <w:pStyle w:val="Textoindependiente"/>
        <w:rPr>
          <w:color w:val="0D0D0D"/>
          <w:sz w:val="22"/>
          <w:szCs w:val="22"/>
          <w:lang w:val="es-MX"/>
        </w:rPr>
      </w:pPr>
    </w:p>
    <w:p w14:paraId="4316850F" w14:textId="77777777" w:rsidR="00663B33" w:rsidRPr="00F44670" w:rsidRDefault="00663B33" w:rsidP="00663B33">
      <w:pPr>
        <w:widowControl w:val="0"/>
        <w:suppressLineNumbers/>
        <w:suppressAutoHyphens/>
        <w:jc w:val="both"/>
        <w:rPr>
          <w:rFonts w:eastAsia="MS Mincho"/>
          <w:bCs/>
          <w:sz w:val="22"/>
          <w:szCs w:val="22"/>
          <w:lang w:eastAsia="ja-JP"/>
        </w:rPr>
      </w:pPr>
      <w:r w:rsidRPr="00F44670">
        <w:rPr>
          <w:rFonts w:eastAsia="MS Mincho"/>
          <w:bCs/>
          <w:sz w:val="22"/>
          <w:szCs w:val="22"/>
          <w:lang w:eastAsia="ja-JP"/>
        </w:rPr>
        <w:t xml:space="preserve">De conformidad con lo establecido en el artículo 12 de la Sección IV del Título XI de las </w:t>
      </w:r>
      <w:r w:rsidR="004B74C2">
        <w:rPr>
          <w:rFonts w:eastAsia="MS Mincho"/>
          <w:bCs/>
          <w:sz w:val="22"/>
          <w:szCs w:val="22"/>
          <w:lang w:eastAsia="ja-JP"/>
        </w:rPr>
        <w:t>N</w:t>
      </w:r>
      <w:r w:rsidRPr="00F44670">
        <w:rPr>
          <w:color w:val="000000"/>
          <w:sz w:val="22"/>
          <w:szCs w:val="22"/>
        </w:rPr>
        <w:t xml:space="preserve">ormas de la CNV </w:t>
      </w:r>
      <w:r w:rsidRPr="00F44670">
        <w:rPr>
          <w:rFonts w:eastAsia="MS Mincho"/>
          <w:bCs/>
          <w:sz w:val="22"/>
          <w:szCs w:val="22"/>
          <w:lang w:eastAsia="ja-JP"/>
        </w:rPr>
        <w:t>se declara que ni la Sociedad ni sus accionistas registran condenas por delitos de lavado de activos y/o financiamiento del terrorismo y no figuran en las listas de terroristas y organizaciones terroristas emitidas por el Consejo de Seguridad de las Naciones Unidas.</w:t>
      </w:r>
    </w:p>
    <w:p w14:paraId="51FB6E69" w14:textId="77777777" w:rsidR="000630A6" w:rsidRPr="00F44670" w:rsidRDefault="000630A6" w:rsidP="00F3428B">
      <w:pPr>
        <w:widowControl w:val="0"/>
        <w:tabs>
          <w:tab w:val="left" w:pos="851"/>
        </w:tabs>
        <w:jc w:val="both"/>
        <w:rPr>
          <w:sz w:val="22"/>
          <w:szCs w:val="22"/>
        </w:rPr>
      </w:pPr>
    </w:p>
    <w:p w14:paraId="35C78371" w14:textId="77777777" w:rsidR="00663B33" w:rsidRPr="00F44670" w:rsidRDefault="00663B33" w:rsidP="00663B33">
      <w:pPr>
        <w:pStyle w:val="Textoindependiente"/>
        <w:rPr>
          <w:color w:val="0D0D0D"/>
          <w:sz w:val="22"/>
          <w:szCs w:val="22"/>
        </w:rPr>
      </w:pPr>
      <w:r w:rsidRPr="00F44670">
        <w:rPr>
          <w:iCs/>
          <w:sz w:val="22"/>
          <w:szCs w:val="22"/>
        </w:rPr>
        <w:t>Todo eventual inversor deberá leer cuidadosamente los factores de riesgo para la inversión contenidos en el  Prospecto. Invertir en las ON Serie II implica riesgos. Véase la sección titulada Factores de Riesgo en e</w:t>
      </w:r>
      <w:r w:rsidRPr="00F44670">
        <w:rPr>
          <w:iCs/>
          <w:sz w:val="22"/>
          <w:szCs w:val="22"/>
          <w:lang w:val="es-AR"/>
        </w:rPr>
        <w:t>l</w:t>
      </w:r>
      <w:r w:rsidRPr="00F44670">
        <w:rPr>
          <w:iCs/>
          <w:sz w:val="22"/>
          <w:szCs w:val="22"/>
        </w:rPr>
        <w:t xml:space="preserve"> Prospecto</w:t>
      </w:r>
      <w:r w:rsidRPr="00F44670">
        <w:rPr>
          <w:iCs/>
          <w:sz w:val="22"/>
          <w:szCs w:val="22"/>
          <w:lang w:val="es-AR"/>
        </w:rPr>
        <w:t xml:space="preserve"> y en cualquier documento incorporado por referencia.</w:t>
      </w:r>
      <w:r w:rsidRPr="00F44670">
        <w:rPr>
          <w:color w:val="0D0D0D"/>
          <w:sz w:val="22"/>
          <w:szCs w:val="22"/>
        </w:rPr>
        <w:t xml:space="preserve"> </w:t>
      </w:r>
    </w:p>
    <w:p w14:paraId="420A62F6" w14:textId="32F06769" w:rsidR="00663B33" w:rsidRDefault="00663B33" w:rsidP="00F3428B">
      <w:pPr>
        <w:widowControl w:val="0"/>
        <w:tabs>
          <w:tab w:val="left" w:pos="851"/>
        </w:tabs>
        <w:jc w:val="both"/>
        <w:rPr>
          <w:sz w:val="22"/>
          <w:szCs w:val="22"/>
        </w:rPr>
      </w:pPr>
    </w:p>
    <w:p w14:paraId="01282069" w14:textId="425BE975" w:rsidR="00F44670" w:rsidRDefault="00504203" w:rsidP="00CB6DA4">
      <w:pPr>
        <w:widowControl w:val="0"/>
        <w:tabs>
          <w:tab w:val="left" w:pos="851"/>
        </w:tabs>
        <w:jc w:val="center"/>
        <w:rPr>
          <w:b/>
          <w:bCs/>
          <w:sz w:val="22"/>
          <w:szCs w:val="22"/>
          <w:highlight w:val="yellow"/>
          <w:u w:val="single"/>
        </w:rPr>
      </w:pPr>
      <w:r w:rsidRPr="00B411FD">
        <w:rPr>
          <w:sz w:val="22"/>
          <w:szCs w:val="22"/>
        </w:rPr>
        <w:t xml:space="preserve">La Fecha de este Suplemento es </w:t>
      </w:r>
      <w:r w:rsidR="00C95741">
        <w:rPr>
          <w:sz w:val="22"/>
          <w:szCs w:val="22"/>
        </w:rPr>
        <w:t>10</w:t>
      </w:r>
      <w:r w:rsidRPr="00B411FD">
        <w:rPr>
          <w:sz w:val="22"/>
          <w:szCs w:val="22"/>
        </w:rPr>
        <w:t xml:space="preserve"> de febrero de 2020.</w:t>
      </w:r>
      <w:r w:rsidR="00F44670">
        <w:rPr>
          <w:b/>
          <w:bCs/>
          <w:sz w:val="22"/>
          <w:szCs w:val="22"/>
          <w:highlight w:val="yellow"/>
          <w:u w:val="single"/>
        </w:rPr>
        <w:br w:type="page"/>
      </w:r>
    </w:p>
    <w:p w14:paraId="7B70135D" w14:textId="09017E16" w:rsidR="00663B33" w:rsidRDefault="00E57795" w:rsidP="00F44670">
      <w:pPr>
        <w:widowControl w:val="0"/>
        <w:tabs>
          <w:tab w:val="left" w:pos="851"/>
        </w:tabs>
        <w:jc w:val="center"/>
        <w:rPr>
          <w:b/>
          <w:bCs/>
          <w:sz w:val="22"/>
          <w:szCs w:val="22"/>
          <w:u w:val="single"/>
        </w:rPr>
      </w:pPr>
      <w:r>
        <w:rPr>
          <w:b/>
          <w:bCs/>
          <w:sz w:val="22"/>
          <w:szCs w:val="22"/>
          <w:u w:val="single"/>
        </w:rPr>
        <w:lastRenderedPageBreak/>
        <w:t>INDICE</w:t>
      </w:r>
    </w:p>
    <w:sdt>
      <w:sdtPr>
        <w:rPr>
          <w:rFonts w:ascii="Times New Roman" w:eastAsia="Times New Roman" w:hAnsi="Times New Roman" w:cs="Times New Roman"/>
          <w:color w:val="auto"/>
          <w:sz w:val="24"/>
          <w:szCs w:val="24"/>
          <w:lang w:val="es-ES" w:eastAsia="es-ES"/>
        </w:rPr>
        <w:id w:val="875659408"/>
        <w:docPartObj>
          <w:docPartGallery w:val="Table of Contents"/>
          <w:docPartUnique/>
        </w:docPartObj>
      </w:sdtPr>
      <w:sdtEndPr>
        <w:rPr>
          <w:b/>
          <w:bCs/>
        </w:rPr>
      </w:sdtEndPr>
      <w:sdtContent>
        <w:p w14:paraId="4D5ADFD5" w14:textId="16E9E8C8" w:rsidR="00E57795" w:rsidRDefault="00E57795">
          <w:pPr>
            <w:pStyle w:val="TtuloTDC"/>
          </w:pPr>
        </w:p>
        <w:p w14:paraId="55EE7110" w14:textId="381C4A0A" w:rsidR="00E57795" w:rsidRPr="00E57795" w:rsidRDefault="00E57795">
          <w:pPr>
            <w:pStyle w:val="TDC1"/>
            <w:rPr>
              <w:rFonts w:asciiTheme="minorHAnsi" w:eastAsiaTheme="minorEastAsia" w:hAnsiTheme="minorHAnsi" w:cstheme="minorBidi"/>
              <w:b/>
              <w:noProof/>
              <w:szCs w:val="22"/>
              <w:lang w:val="es-AR" w:eastAsia="es-AR"/>
            </w:rPr>
          </w:pPr>
          <w:r>
            <w:fldChar w:fldCharType="begin"/>
          </w:r>
          <w:r>
            <w:instrText xml:space="preserve"> TOC \o "1-3" \h \z \u </w:instrText>
          </w:r>
          <w:r>
            <w:fldChar w:fldCharType="separate"/>
          </w:r>
          <w:hyperlink w:anchor="_Toc32224777" w:history="1">
            <w:r w:rsidRPr="00E57795">
              <w:rPr>
                <w:rStyle w:val="Hipervnculo"/>
                <w:b/>
                <w:noProof/>
              </w:rPr>
              <w:t>I.- ADVERTENCIAS</w:t>
            </w:r>
            <w:r w:rsidRPr="00E57795">
              <w:rPr>
                <w:b/>
                <w:noProof/>
                <w:webHidden/>
              </w:rPr>
              <w:tab/>
            </w:r>
            <w:r w:rsidRPr="00E57795">
              <w:rPr>
                <w:b/>
                <w:noProof/>
                <w:webHidden/>
              </w:rPr>
              <w:fldChar w:fldCharType="begin"/>
            </w:r>
            <w:r w:rsidRPr="00E57795">
              <w:rPr>
                <w:b/>
                <w:noProof/>
                <w:webHidden/>
              </w:rPr>
              <w:instrText xml:space="preserve"> PAGEREF _Toc32224777 \h </w:instrText>
            </w:r>
            <w:r w:rsidRPr="00E57795">
              <w:rPr>
                <w:b/>
                <w:noProof/>
                <w:webHidden/>
              </w:rPr>
            </w:r>
            <w:r w:rsidRPr="00E57795">
              <w:rPr>
                <w:b/>
                <w:noProof/>
                <w:webHidden/>
              </w:rPr>
              <w:fldChar w:fldCharType="separate"/>
            </w:r>
            <w:r w:rsidRPr="00E57795">
              <w:rPr>
                <w:b/>
                <w:noProof/>
                <w:webHidden/>
              </w:rPr>
              <w:t>5</w:t>
            </w:r>
            <w:r w:rsidRPr="00E57795">
              <w:rPr>
                <w:b/>
                <w:noProof/>
                <w:webHidden/>
              </w:rPr>
              <w:fldChar w:fldCharType="end"/>
            </w:r>
          </w:hyperlink>
        </w:p>
        <w:p w14:paraId="377454E5" w14:textId="22E0E99B" w:rsidR="00E57795" w:rsidRPr="00E57795" w:rsidRDefault="00A34CCE">
          <w:pPr>
            <w:pStyle w:val="TDC1"/>
            <w:rPr>
              <w:rFonts w:asciiTheme="minorHAnsi" w:eastAsiaTheme="minorEastAsia" w:hAnsiTheme="minorHAnsi" w:cstheme="minorBidi"/>
              <w:b/>
              <w:noProof/>
              <w:szCs w:val="22"/>
              <w:lang w:val="es-AR" w:eastAsia="es-AR"/>
            </w:rPr>
          </w:pPr>
          <w:hyperlink w:anchor="_Toc32224778" w:history="1">
            <w:r w:rsidR="00E57795" w:rsidRPr="00E57795">
              <w:rPr>
                <w:rStyle w:val="Hipervnculo"/>
                <w:b/>
                <w:noProof/>
                <w:lang w:val="es-AR"/>
              </w:rPr>
              <w:t>II</w:t>
            </w:r>
            <w:r w:rsidR="00E57795" w:rsidRPr="00E57795">
              <w:rPr>
                <w:rStyle w:val="Hipervnculo"/>
                <w:b/>
                <w:noProof/>
              </w:rPr>
              <w:t xml:space="preserve">.- </w:t>
            </w:r>
            <w:r w:rsidR="00E57795" w:rsidRPr="00E57795">
              <w:rPr>
                <w:rStyle w:val="Hipervnculo"/>
                <w:b/>
                <w:noProof/>
                <w:lang w:val="es-AR"/>
              </w:rPr>
              <w:t>OFERTA DE LAS</w:t>
            </w:r>
            <w:r w:rsidR="00E57795" w:rsidRPr="00E57795">
              <w:rPr>
                <w:rStyle w:val="Hipervnculo"/>
                <w:b/>
                <w:noProof/>
              </w:rPr>
              <w:t xml:space="preserve"> ON SERIE </w:t>
            </w:r>
            <w:r w:rsidR="00E57795" w:rsidRPr="00E57795">
              <w:rPr>
                <w:rStyle w:val="Hipervnculo"/>
                <w:b/>
                <w:noProof/>
                <w:lang w:val="es-AR"/>
              </w:rPr>
              <w:t>II</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_Toc32224778 \h </w:instrText>
            </w:r>
            <w:r w:rsidR="00E57795" w:rsidRPr="00E57795">
              <w:rPr>
                <w:b/>
                <w:noProof/>
                <w:webHidden/>
              </w:rPr>
            </w:r>
            <w:r w:rsidR="00E57795" w:rsidRPr="00E57795">
              <w:rPr>
                <w:b/>
                <w:noProof/>
                <w:webHidden/>
              </w:rPr>
              <w:fldChar w:fldCharType="separate"/>
            </w:r>
            <w:r w:rsidR="00E57795" w:rsidRPr="00E57795">
              <w:rPr>
                <w:b/>
                <w:noProof/>
                <w:webHidden/>
              </w:rPr>
              <w:t>6</w:t>
            </w:r>
            <w:r w:rsidR="00E57795" w:rsidRPr="00E57795">
              <w:rPr>
                <w:b/>
                <w:noProof/>
                <w:webHidden/>
              </w:rPr>
              <w:fldChar w:fldCharType="end"/>
            </w:r>
          </w:hyperlink>
        </w:p>
        <w:p w14:paraId="04E9A61E" w14:textId="6175925F" w:rsidR="00E57795" w:rsidRPr="00E57795" w:rsidRDefault="00A34CCE">
          <w:pPr>
            <w:pStyle w:val="TDC1"/>
            <w:rPr>
              <w:rFonts w:asciiTheme="minorHAnsi" w:eastAsiaTheme="minorEastAsia" w:hAnsiTheme="minorHAnsi" w:cstheme="minorBidi"/>
              <w:b/>
              <w:noProof/>
              <w:szCs w:val="22"/>
              <w:lang w:val="es-AR" w:eastAsia="es-AR"/>
            </w:rPr>
          </w:pPr>
          <w:hyperlink w:anchor="_Toc32224779" w:history="1">
            <w:r w:rsidR="00E57795" w:rsidRPr="00E57795">
              <w:rPr>
                <w:rStyle w:val="Hipervnculo"/>
                <w:b/>
                <w:noProof/>
                <w:lang w:val="es-AR"/>
              </w:rPr>
              <w:t xml:space="preserve">III.- </w:t>
            </w:r>
            <w:r w:rsidR="00E57795" w:rsidRPr="00E57795">
              <w:rPr>
                <w:rStyle w:val="Hipervnculo"/>
                <w:b/>
                <w:noProof/>
              </w:rPr>
              <w:t>DETERIORO, SUSTRACCIÓN, PÉRDIDA Y DESTRUCCIÓN DE TÍTULOS VALORES O DE SUS REGISTROS</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_Toc32224779 \h </w:instrText>
            </w:r>
            <w:r w:rsidR="00E57795" w:rsidRPr="00E57795">
              <w:rPr>
                <w:b/>
                <w:noProof/>
                <w:webHidden/>
              </w:rPr>
            </w:r>
            <w:r w:rsidR="00E57795" w:rsidRPr="00E57795">
              <w:rPr>
                <w:b/>
                <w:noProof/>
                <w:webHidden/>
              </w:rPr>
              <w:fldChar w:fldCharType="separate"/>
            </w:r>
            <w:r w:rsidR="00E57795" w:rsidRPr="00E57795">
              <w:rPr>
                <w:b/>
                <w:noProof/>
                <w:webHidden/>
              </w:rPr>
              <w:t>12</w:t>
            </w:r>
            <w:r w:rsidR="00E57795" w:rsidRPr="00E57795">
              <w:rPr>
                <w:b/>
                <w:noProof/>
                <w:webHidden/>
              </w:rPr>
              <w:fldChar w:fldCharType="end"/>
            </w:r>
          </w:hyperlink>
        </w:p>
        <w:p w14:paraId="129686F9" w14:textId="75C80814" w:rsidR="00E57795" w:rsidRPr="00E57795" w:rsidRDefault="00A34CCE">
          <w:pPr>
            <w:pStyle w:val="TDC1"/>
            <w:rPr>
              <w:rFonts w:asciiTheme="minorHAnsi" w:eastAsiaTheme="minorEastAsia" w:hAnsiTheme="minorHAnsi" w:cstheme="minorBidi"/>
              <w:b/>
              <w:noProof/>
              <w:szCs w:val="22"/>
              <w:lang w:val="es-AR" w:eastAsia="es-AR"/>
            </w:rPr>
          </w:pPr>
          <w:hyperlink w:anchor="_Toc32224780" w:history="1">
            <w:r w:rsidR="00E57795" w:rsidRPr="00E57795">
              <w:rPr>
                <w:rStyle w:val="Hipervnculo"/>
                <w:b/>
                <w:noProof/>
              </w:rPr>
              <w:t>IV.- PLAN DE DISTRIBUCION</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_Toc32224780 \h </w:instrText>
            </w:r>
            <w:r w:rsidR="00E57795" w:rsidRPr="00E57795">
              <w:rPr>
                <w:b/>
                <w:noProof/>
                <w:webHidden/>
              </w:rPr>
            </w:r>
            <w:r w:rsidR="00E57795" w:rsidRPr="00E57795">
              <w:rPr>
                <w:b/>
                <w:noProof/>
                <w:webHidden/>
              </w:rPr>
              <w:fldChar w:fldCharType="separate"/>
            </w:r>
            <w:r w:rsidR="00E57795" w:rsidRPr="00E57795">
              <w:rPr>
                <w:b/>
                <w:noProof/>
                <w:webHidden/>
              </w:rPr>
              <w:t>12</w:t>
            </w:r>
            <w:r w:rsidR="00E57795" w:rsidRPr="00E57795">
              <w:rPr>
                <w:b/>
                <w:noProof/>
                <w:webHidden/>
              </w:rPr>
              <w:fldChar w:fldCharType="end"/>
            </w:r>
          </w:hyperlink>
        </w:p>
        <w:p w14:paraId="33C4A92B" w14:textId="26A9D1C6" w:rsidR="00E57795" w:rsidRPr="00E57795" w:rsidRDefault="00A34CCE">
          <w:pPr>
            <w:pStyle w:val="TDC1"/>
            <w:rPr>
              <w:rFonts w:asciiTheme="minorHAnsi" w:eastAsiaTheme="minorEastAsia" w:hAnsiTheme="minorHAnsi" w:cstheme="minorBidi"/>
              <w:b/>
              <w:noProof/>
              <w:szCs w:val="22"/>
              <w:lang w:val="es-AR" w:eastAsia="es-AR"/>
            </w:rPr>
          </w:pPr>
          <w:hyperlink w:anchor="_Toc32224781" w:history="1">
            <w:r w:rsidR="00E57795" w:rsidRPr="00E57795">
              <w:rPr>
                <w:rStyle w:val="Hipervnculo"/>
                <w:b/>
                <w:noProof/>
              </w:rPr>
              <w:t>V.- FACTORES DE RIESGO</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_Toc32224781 \h </w:instrText>
            </w:r>
            <w:r w:rsidR="00E57795" w:rsidRPr="00E57795">
              <w:rPr>
                <w:b/>
                <w:noProof/>
                <w:webHidden/>
              </w:rPr>
            </w:r>
            <w:r w:rsidR="00E57795" w:rsidRPr="00E57795">
              <w:rPr>
                <w:b/>
                <w:noProof/>
                <w:webHidden/>
              </w:rPr>
              <w:fldChar w:fldCharType="separate"/>
            </w:r>
            <w:r w:rsidR="00E57795" w:rsidRPr="00E57795">
              <w:rPr>
                <w:b/>
                <w:noProof/>
                <w:webHidden/>
              </w:rPr>
              <w:t>17</w:t>
            </w:r>
            <w:r w:rsidR="00E57795" w:rsidRPr="00E57795">
              <w:rPr>
                <w:b/>
                <w:noProof/>
                <w:webHidden/>
              </w:rPr>
              <w:fldChar w:fldCharType="end"/>
            </w:r>
          </w:hyperlink>
        </w:p>
        <w:p w14:paraId="1A9A9EA1" w14:textId="7D8FDEDB" w:rsidR="00E57795" w:rsidRPr="00E57795" w:rsidRDefault="00A34CCE">
          <w:pPr>
            <w:pStyle w:val="TDC1"/>
            <w:rPr>
              <w:rFonts w:asciiTheme="minorHAnsi" w:eastAsiaTheme="minorEastAsia" w:hAnsiTheme="minorHAnsi" w:cstheme="minorBidi"/>
              <w:b/>
              <w:noProof/>
              <w:szCs w:val="22"/>
              <w:lang w:val="es-AR" w:eastAsia="es-AR"/>
            </w:rPr>
          </w:pPr>
          <w:hyperlink w:anchor="_Toc32224782" w:history="1">
            <w:r w:rsidR="00E57795" w:rsidRPr="00E57795">
              <w:rPr>
                <w:rStyle w:val="Hipervnculo"/>
                <w:b/>
                <w:noProof/>
              </w:rPr>
              <w:t>VI.- INFORMACIÓN FINANCIERA</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_Toc32224782 \h </w:instrText>
            </w:r>
            <w:r w:rsidR="00E57795" w:rsidRPr="00E57795">
              <w:rPr>
                <w:b/>
                <w:noProof/>
                <w:webHidden/>
              </w:rPr>
            </w:r>
            <w:r w:rsidR="00E57795" w:rsidRPr="00E57795">
              <w:rPr>
                <w:b/>
                <w:noProof/>
                <w:webHidden/>
              </w:rPr>
              <w:fldChar w:fldCharType="separate"/>
            </w:r>
            <w:r w:rsidR="00E57795" w:rsidRPr="00E57795">
              <w:rPr>
                <w:b/>
                <w:noProof/>
                <w:webHidden/>
              </w:rPr>
              <w:t>17</w:t>
            </w:r>
            <w:r w:rsidR="00E57795" w:rsidRPr="00E57795">
              <w:rPr>
                <w:b/>
                <w:noProof/>
                <w:webHidden/>
              </w:rPr>
              <w:fldChar w:fldCharType="end"/>
            </w:r>
          </w:hyperlink>
        </w:p>
        <w:p w14:paraId="38C44F52" w14:textId="3DA02720" w:rsidR="00E57795" w:rsidRPr="00E57795" w:rsidRDefault="00A34CCE">
          <w:pPr>
            <w:pStyle w:val="TDC1"/>
            <w:rPr>
              <w:rFonts w:asciiTheme="minorHAnsi" w:eastAsiaTheme="minorEastAsia" w:hAnsiTheme="minorHAnsi" w:cstheme="minorBidi"/>
              <w:b/>
              <w:noProof/>
              <w:szCs w:val="22"/>
              <w:lang w:val="es-AR" w:eastAsia="es-AR"/>
            </w:rPr>
          </w:pPr>
          <w:hyperlink w:anchor="_Toc32224783" w:history="1">
            <w:r w:rsidR="00E57795" w:rsidRPr="00E57795">
              <w:rPr>
                <w:rStyle w:val="Hipervnculo"/>
                <w:b/>
                <w:noProof/>
              </w:rPr>
              <w:t>VI</w:t>
            </w:r>
            <w:r w:rsidR="00E57795" w:rsidRPr="00E57795">
              <w:rPr>
                <w:rStyle w:val="Hipervnculo"/>
                <w:b/>
                <w:noProof/>
                <w:lang w:val="es-AR"/>
              </w:rPr>
              <w:t>I</w:t>
            </w:r>
            <w:r w:rsidR="00E57795" w:rsidRPr="00E57795">
              <w:rPr>
                <w:rStyle w:val="Hipervnculo"/>
                <w:b/>
                <w:noProof/>
              </w:rPr>
              <w:t>.-DESTINO PROYECTADO DE LOS FONDOS</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_Toc32224783 \h </w:instrText>
            </w:r>
            <w:r w:rsidR="00E57795" w:rsidRPr="00E57795">
              <w:rPr>
                <w:b/>
                <w:noProof/>
                <w:webHidden/>
              </w:rPr>
            </w:r>
            <w:r w:rsidR="00E57795" w:rsidRPr="00E57795">
              <w:rPr>
                <w:b/>
                <w:noProof/>
                <w:webHidden/>
              </w:rPr>
              <w:fldChar w:fldCharType="separate"/>
            </w:r>
            <w:r w:rsidR="00E57795" w:rsidRPr="00E57795">
              <w:rPr>
                <w:b/>
                <w:noProof/>
                <w:webHidden/>
              </w:rPr>
              <w:t>22</w:t>
            </w:r>
            <w:r w:rsidR="00E57795" w:rsidRPr="00E57795">
              <w:rPr>
                <w:b/>
                <w:noProof/>
                <w:webHidden/>
              </w:rPr>
              <w:fldChar w:fldCharType="end"/>
            </w:r>
          </w:hyperlink>
        </w:p>
        <w:p w14:paraId="5E23C58B" w14:textId="6F44BED1" w:rsidR="00E57795" w:rsidRPr="00E57795" w:rsidRDefault="00A34CCE">
          <w:pPr>
            <w:pStyle w:val="TDC1"/>
            <w:rPr>
              <w:rFonts w:asciiTheme="minorHAnsi" w:eastAsiaTheme="minorEastAsia" w:hAnsiTheme="minorHAnsi" w:cstheme="minorBidi"/>
              <w:b/>
              <w:noProof/>
              <w:szCs w:val="22"/>
              <w:lang w:val="es-AR" w:eastAsia="es-AR"/>
            </w:rPr>
          </w:pPr>
          <w:hyperlink w:anchor="_Toc32224784" w:history="1">
            <w:r w:rsidR="00E57795" w:rsidRPr="00E57795">
              <w:rPr>
                <w:rStyle w:val="Hipervnculo"/>
                <w:b/>
                <w:noProof/>
              </w:rPr>
              <w:t>VIII.- GASTOS DE EMISIÓN</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_Toc32224784 \h </w:instrText>
            </w:r>
            <w:r w:rsidR="00E57795" w:rsidRPr="00E57795">
              <w:rPr>
                <w:b/>
                <w:noProof/>
                <w:webHidden/>
              </w:rPr>
            </w:r>
            <w:r w:rsidR="00E57795" w:rsidRPr="00E57795">
              <w:rPr>
                <w:b/>
                <w:noProof/>
                <w:webHidden/>
              </w:rPr>
              <w:fldChar w:fldCharType="separate"/>
            </w:r>
            <w:r w:rsidR="00E57795" w:rsidRPr="00E57795">
              <w:rPr>
                <w:b/>
                <w:noProof/>
                <w:webHidden/>
              </w:rPr>
              <w:t>22</w:t>
            </w:r>
            <w:r w:rsidR="00E57795" w:rsidRPr="00E57795">
              <w:rPr>
                <w:b/>
                <w:noProof/>
                <w:webHidden/>
              </w:rPr>
              <w:fldChar w:fldCharType="end"/>
            </w:r>
          </w:hyperlink>
        </w:p>
        <w:p w14:paraId="1D5E4DA6" w14:textId="3DB05C54" w:rsidR="00E57795" w:rsidRPr="00E57795" w:rsidRDefault="00A34CCE">
          <w:pPr>
            <w:pStyle w:val="TDC1"/>
            <w:rPr>
              <w:rFonts w:asciiTheme="minorHAnsi" w:eastAsiaTheme="minorEastAsia" w:hAnsiTheme="minorHAnsi" w:cstheme="minorBidi"/>
              <w:b/>
              <w:noProof/>
              <w:szCs w:val="22"/>
              <w:lang w:val="es-AR" w:eastAsia="es-AR"/>
            </w:rPr>
          </w:pPr>
          <w:hyperlink w:anchor="_Toc32224785" w:history="1">
            <w:r w:rsidR="00E57795" w:rsidRPr="00E57795">
              <w:rPr>
                <w:rStyle w:val="Hipervnculo"/>
                <w:b/>
                <w:noProof/>
                <w:lang w:val="es-AR"/>
              </w:rPr>
              <w:t>IX</w:t>
            </w:r>
            <w:r w:rsidR="00E57795" w:rsidRPr="00E57795">
              <w:rPr>
                <w:rStyle w:val="Hipervnculo"/>
                <w:b/>
                <w:noProof/>
              </w:rPr>
              <w:t>.- CONTRATO DE COLOCACIÓN</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_Toc32224785 \h </w:instrText>
            </w:r>
            <w:r w:rsidR="00E57795" w:rsidRPr="00E57795">
              <w:rPr>
                <w:b/>
                <w:noProof/>
                <w:webHidden/>
              </w:rPr>
            </w:r>
            <w:r w:rsidR="00E57795" w:rsidRPr="00E57795">
              <w:rPr>
                <w:b/>
                <w:noProof/>
                <w:webHidden/>
              </w:rPr>
              <w:fldChar w:fldCharType="separate"/>
            </w:r>
            <w:r w:rsidR="00E57795" w:rsidRPr="00E57795">
              <w:rPr>
                <w:b/>
                <w:noProof/>
                <w:webHidden/>
              </w:rPr>
              <w:t>22</w:t>
            </w:r>
            <w:r w:rsidR="00E57795" w:rsidRPr="00E57795">
              <w:rPr>
                <w:b/>
                <w:noProof/>
                <w:webHidden/>
              </w:rPr>
              <w:fldChar w:fldCharType="end"/>
            </w:r>
          </w:hyperlink>
        </w:p>
        <w:p w14:paraId="45D59F36" w14:textId="17D873CF" w:rsidR="00E57795" w:rsidRDefault="00A34CCE">
          <w:pPr>
            <w:pStyle w:val="TDC1"/>
            <w:rPr>
              <w:rFonts w:asciiTheme="minorHAnsi" w:eastAsiaTheme="minorEastAsia" w:hAnsiTheme="minorHAnsi" w:cstheme="minorBidi"/>
              <w:noProof/>
              <w:szCs w:val="22"/>
              <w:lang w:val="es-AR" w:eastAsia="es-AR"/>
            </w:rPr>
          </w:pPr>
          <w:hyperlink w:anchor="_Toc32224786" w:history="1">
            <w:r w:rsidR="00E57795" w:rsidRPr="00E57795">
              <w:rPr>
                <w:rStyle w:val="Hipervnculo"/>
                <w:b/>
                <w:noProof/>
              </w:rPr>
              <w:t>X.- HECHOS POSTERIORES AL CIERRE</w:t>
            </w:r>
            <w:r w:rsidR="00E57795" w:rsidRPr="00E57795">
              <w:rPr>
                <w:b/>
                <w:noProof/>
                <w:webHidden/>
              </w:rPr>
              <w:tab/>
            </w:r>
            <w:r w:rsidR="00E57795" w:rsidRPr="00E57795">
              <w:rPr>
                <w:b/>
                <w:noProof/>
                <w:webHidden/>
              </w:rPr>
              <w:fldChar w:fldCharType="begin"/>
            </w:r>
            <w:r w:rsidR="00E57795" w:rsidRPr="00E57795">
              <w:rPr>
                <w:b/>
                <w:noProof/>
                <w:webHidden/>
              </w:rPr>
              <w:instrText xml:space="preserve"> PAGEREF _Toc32224786 \h </w:instrText>
            </w:r>
            <w:r w:rsidR="00E57795" w:rsidRPr="00E57795">
              <w:rPr>
                <w:b/>
                <w:noProof/>
                <w:webHidden/>
              </w:rPr>
            </w:r>
            <w:r w:rsidR="00E57795" w:rsidRPr="00E57795">
              <w:rPr>
                <w:b/>
                <w:noProof/>
                <w:webHidden/>
              </w:rPr>
              <w:fldChar w:fldCharType="separate"/>
            </w:r>
            <w:r w:rsidR="00E57795" w:rsidRPr="00E57795">
              <w:rPr>
                <w:b/>
                <w:noProof/>
                <w:webHidden/>
              </w:rPr>
              <w:t>22</w:t>
            </w:r>
            <w:r w:rsidR="00E57795" w:rsidRPr="00E57795">
              <w:rPr>
                <w:b/>
                <w:noProof/>
                <w:webHidden/>
              </w:rPr>
              <w:fldChar w:fldCharType="end"/>
            </w:r>
          </w:hyperlink>
        </w:p>
        <w:p w14:paraId="3249D302" w14:textId="65DF7F86" w:rsidR="00E57795" w:rsidRDefault="00E57795">
          <w:r>
            <w:rPr>
              <w:b/>
              <w:bCs/>
            </w:rPr>
            <w:fldChar w:fldCharType="end"/>
          </w:r>
        </w:p>
      </w:sdtContent>
    </w:sdt>
    <w:p w14:paraId="671600C9" w14:textId="2F18C24A" w:rsidR="00E57795" w:rsidRDefault="00E57795" w:rsidP="00F44670">
      <w:pPr>
        <w:widowControl w:val="0"/>
        <w:tabs>
          <w:tab w:val="left" w:pos="851"/>
        </w:tabs>
        <w:jc w:val="center"/>
        <w:rPr>
          <w:b/>
          <w:bCs/>
          <w:sz w:val="22"/>
          <w:szCs w:val="22"/>
          <w:u w:val="single"/>
        </w:rPr>
      </w:pPr>
    </w:p>
    <w:p w14:paraId="15A3D1F9" w14:textId="61D55F4A" w:rsidR="0013538D" w:rsidRDefault="0013538D">
      <w:pPr>
        <w:rPr>
          <w:b/>
          <w:bCs/>
          <w:sz w:val="22"/>
          <w:szCs w:val="22"/>
          <w:u w:val="single"/>
        </w:rPr>
      </w:pPr>
      <w:r>
        <w:rPr>
          <w:b/>
          <w:bCs/>
          <w:sz w:val="22"/>
          <w:szCs w:val="22"/>
          <w:u w:val="single"/>
        </w:rPr>
        <w:br w:type="page"/>
      </w:r>
    </w:p>
    <w:p w14:paraId="51B58F38" w14:textId="77777777" w:rsidR="00663B33" w:rsidRPr="00F44670" w:rsidRDefault="00663B33" w:rsidP="00F3428B">
      <w:pPr>
        <w:jc w:val="center"/>
        <w:rPr>
          <w:b/>
          <w:bCs/>
          <w:sz w:val="22"/>
          <w:szCs w:val="22"/>
          <w:u w:val="single"/>
        </w:rPr>
      </w:pPr>
    </w:p>
    <w:p w14:paraId="48BAEDC9" w14:textId="77777777" w:rsidR="00696F29" w:rsidRPr="00F44670" w:rsidRDefault="00696F29" w:rsidP="003C189F">
      <w:pPr>
        <w:pStyle w:val="Ttulo1"/>
        <w:jc w:val="center"/>
        <w:rPr>
          <w:b w:val="0"/>
          <w:sz w:val="22"/>
          <w:szCs w:val="22"/>
          <w:u w:val="single"/>
        </w:rPr>
      </w:pPr>
      <w:bookmarkStart w:id="1" w:name="_Toc32224777"/>
      <w:r w:rsidRPr="00F44670">
        <w:rPr>
          <w:sz w:val="22"/>
          <w:szCs w:val="22"/>
          <w:u w:val="single"/>
        </w:rPr>
        <w:t>I.</w:t>
      </w:r>
      <w:r w:rsidR="00876F2A" w:rsidRPr="00F44670">
        <w:rPr>
          <w:sz w:val="22"/>
          <w:szCs w:val="22"/>
          <w:u w:val="single"/>
        </w:rPr>
        <w:t>-</w:t>
      </w:r>
      <w:r w:rsidRPr="00F44670">
        <w:rPr>
          <w:sz w:val="22"/>
          <w:szCs w:val="22"/>
          <w:u w:val="single"/>
        </w:rPr>
        <w:t xml:space="preserve"> ADVERTENCIAS</w:t>
      </w:r>
      <w:bookmarkEnd w:id="1"/>
    </w:p>
    <w:p w14:paraId="464117ED" w14:textId="77777777" w:rsidR="00696F29" w:rsidRPr="00F44670" w:rsidRDefault="00696F29" w:rsidP="00F3428B">
      <w:pPr>
        <w:jc w:val="both"/>
        <w:rPr>
          <w:b/>
          <w:sz w:val="22"/>
          <w:szCs w:val="22"/>
        </w:rPr>
      </w:pPr>
    </w:p>
    <w:p w14:paraId="4A3FCC1E" w14:textId="658CD928" w:rsidR="00696F29" w:rsidRPr="00F44670" w:rsidRDefault="00696F29" w:rsidP="00F3428B">
      <w:pPr>
        <w:jc w:val="both"/>
        <w:rPr>
          <w:b/>
          <w:sz w:val="22"/>
          <w:szCs w:val="22"/>
        </w:rPr>
      </w:pPr>
      <w:r w:rsidRPr="00F44670">
        <w:rPr>
          <w:b/>
          <w:sz w:val="22"/>
          <w:szCs w:val="22"/>
        </w:rPr>
        <w:t>CONFORME CON LO ESTABLECIDO EN LA LEY 26.831, LOS EMISORES DE VALORES, JUNTAMENTE CON LOS INTEGRANTES DE LOS ÓRGANOS DE ADMINISTRACIÓN Y FISCALIZACIÓN, ESTOS ÚLTIMOS EN MATERIA DE SU COMPETENCIA, Y LAS PERSONAS QUE FIRMEN EL PROSPECTO DE UNA EMISIÓN DE VALORES CON OFERTA PÚBLICA, SERÁN RESPONSABLES DE TODA LA INFORMACIÓN INCLUIDA EN LOS PROSPECTOS POR ELLOS REGISTRADOS ANTE LA COMISION NACIONAL DE VALORES. LOS EXPERTOS O TERCEROS QUE OPINEN SOBRE CIERTAS PARTES DEL PROSPECTO SÓLO SERÁN RESPONSABLES POR LA PARTE DE DICHA INFORMACIÓN SOBRE LA QUE HAN EMITIDO OPINIÓN.</w:t>
      </w:r>
    </w:p>
    <w:p w14:paraId="0C867FC1" w14:textId="77777777" w:rsidR="00696F29" w:rsidRPr="00F44670" w:rsidRDefault="00696F29" w:rsidP="00F3428B">
      <w:pPr>
        <w:pStyle w:val="CPN-normal"/>
        <w:widowControl/>
        <w:tabs>
          <w:tab w:val="clear" w:pos="-720"/>
        </w:tabs>
        <w:suppressAutoHyphens w:val="0"/>
        <w:rPr>
          <w:rFonts w:ascii="Times New Roman" w:hAnsi="Times New Roman"/>
          <w:snapToGrid/>
          <w:spacing w:val="0"/>
          <w:szCs w:val="22"/>
          <w:lang w:val="es-ES"/>
        </w:rPr>
      </w:pPr>
    </w:p>
    <w:p w14:paraId="1EDFD553" w14:textId="14521DF7" w:rsidR="00696F29" w:rsidRPr="00F44670" w:rsidRDefault="00696F29" w:rsidP="00F3428B">
      <w:pPr>
        <w:widowControl w:val="0"/>
        <w:jc w:val="both"/>
        <w:rPr>
          <w:b/>
          <w:caps/>
          <w:sz w:val="22"/>
          <w:szCs w:val="22"/>
        </w:rPr>
      </w:pPr>
      <w:r w:rsidRPr="00F44670">
        <w:rPr>
          <w:b/>
          <w:caps/>
          <w:sz w:val="22"/>
          <w:szCs w:val="22"/>
        </w:rPr>
        <w:t xml:space="preserve">Las ONs Serie </w:t>
      </w:r>
      <w:r w:rsidR="00077B81" w:rsidRPr="00F44670">
        <w:rPr>
          <w:b/>
          <w:caps/>
          <w:sz w:val="22"/>
          <w:szCs w:val="22"/>
        </w:rPr>
        <w:t>I</w:t>
      </w:r>
      <w:r w:rsidRPr="00F44670">
        <w:rPr>
          <w:b/>
          <w:caps/>
          <w:sz w:val="22"/>
          <w:szCs w:val="22"/>
        </w:rPr>
        <w:t>I estarán documentadas en un certificado global permanente, a ser depositado en Caja de Valores S.A. en el sistema de depósito colectivo (ley 20</w:t>
      </w:r>
      <w:r w:rsidR="00D3496C">
        <w:rPr>
          <w:b/>
          <w:caps/>
          <w:sz w:val="22"/>
          <w:szCs w:val="22"/>
        </w:rPr>
        <w:t>.</w:t>
      </w:r>
      <w:r w:rsidRPr="00F44670">
        <w:rPr>
          <w:b/>
          <w:caps/>
          <w:sz w:val="22"/>
          <w:szCs w:val="22"/>
        </w:rPr>
        <w:t>643). La Caja de Valores S.A. se encuentra autorizada a percibir de los depositantes aranceles por la administración del depósito colectivo y por los pagos de los servicios; estos aranceles estarán a cargo de los depositantes, que podrán trasladarlos a los inversores.</w:t>
      </w:r>
    </w:p>
    <w:p w14:paraId="0C078C33" w14:textId="77777777" w:rsidR="00696F29" w:rsidRPr="00F44670" w:rsidRDefault="00696F29" w:rsidP="00F3428B">
      <w:pPr>
        <w:jc w:val="both"/>
        <w:rPr>
          <w:sz w:val="22"/>
          <w:szCs w:val="22"/>
        </w:rPr>
      </w:pPr>
    </w:p>
    <w:p w14:paraId="189A391A" w14:textId="6679D0A0" w:rsidR="00663B33" w:rsidRPr="00F44670" w:rsidRDefault="00663B33" w:rsidP="00663B33">
      <w:pPr>
        <w:tabs>
          <w:tab w:val="left" w:pos="0"/>
          <w:tab w:val="left" w:pos="2552"/>
        </w:tabs>
        <w:adjustRightInd w:val="0"/>
        <w:jc w:val="both"/>
        <w:rPr>
          <w:b/>
          <w:iCs/>
          <w:sz w:val="22"/>
          <w:szCs w:val="22"/>
        </w:rPr>
      </w:pPr>
      <w:r w:rsidRPr="00F44670">
        <w:rPr>
          <w:b/>
          <w:iCs/>
          <w:sz w:val="22"/>
          <w:szCs w:val="22"/>
        </w:rPr>
        <w:t>La decisión de inversión respecto de las ON Serie II deberá basarse en las consideraciones del Prospecto y en este Suplemento (complementados y/o modificados, en su caso, por los avisos, actualizaciones y/o suplementos correspondientes).</w:t>
      </w:r>
    </w:p>
    <w:p w14:paraId="6F8D533D" w14:textId="77777777" w:rsidR="00663B33" w:rsidRPr="00F44670" w:rsidRDefault="00663B33" w:rsidP="00663B33">
      <w:pPr>
        <w:ind w:left="-567" w:right="566"/>
        <w:jc w:val="both"/>
        <w:rPr>
          <w:sz w:val="22"/>
          <w:szCs w:val="22"/>
        </w:rPr>
      </w:pPr>
    </w:p>
    <w:p w14:paraId="1BBF3F3A" w14:textId="77777777" w:rsidR="00663B33" w:rsidRPr="00F44670" w:rsidRDefault="00663B33" w:rsidP="00663B33">
      <w:pPr>
        <w:tabs>
          <w:tab w:val="left" w:pos="0"/>
          <w:tab w:val="left" w:pos="2552"/>
        </w:tabs>
        <w:adjustRightInd w:val="0"/>
        <w:jc w:val="both"/>
        <w:rPr>
          <w:iCs/>
          <w:sz w:val="22"/>
          <w:szCs w:val="22"/>
        </w:rPr>
      </w:pPr>
      <w:r w:rsidRPr="00F44670">
        <w:rPr>
          <w:iCs/>
          <w:sz w:val="22"/>
          <w:szCs w:val="22"/>
        </w:rPr>
        <w:t>Al tomar decisiones de inversión respecto de las ON Serie II, el público inversor deberá basarse en su propio análisis de la Sociedad, de los términos y condiciones de las ON Serie II y de los beneficios y riesgos involucrados. El Prospecto y este Suplemento constituyen los documentos básicos a través de los cuales se realiza la oferta pública de las ON Serie II. El contenido del Prospecto y/o de este Suplemento no debe ser interpretado como asesoramiento legal, comercial, financiero, impositivo y/o de otro tipo. El público inversor deberá consultar con sus propios asesores respecto de los aspectos legales, comerciales, financieros, impositivos y/o de otro tipo relacionados con su inversión en las ON Serie II.</w:t>
      </w:r>
    </w:p>
    <w:p w14:paraId="12E9557C" w14:textId="77777777" w:rsidR="00663B33" w:rsidRPr="00F44670" w:rsidRDefault="00663B33" w:rsidP="00663B33">
      <w:pPr>
        <w:ind w:left="-567" w:right="566"/>
        <w:jc w:val="both"/>
        <w:rPr>
          <w:sz w:val="22"/>
          <w:szCs w:val="22"/>
        </w:rPr>
      </w:pPr>
    </w:p>
    <w:p w14:paraId="1C813F7B" w14:textId="77777777" w:rsidR="00663B33" w:rsidRPr="00F44670" w:rsidRDefault="00663B33" w:rsidP="00663B33">
      <w:pPr>
        <w:tabs>
          <w:tab w:val="left" w:pos="0"/>
          <w:tab w:val="left" w:pos="2552"/>
        </w:tabs>
        <w:adjustRightInd w:val="0"/>
        <w:jc w:val="both"/>
        <w:rPr>
          <w:iCs/>
          <w:sz w:val="22"/>
          <w:szCs w:val="22"/>
        </w:rPr>
      </w:pPr>
      <w:r w:rsidRPr="00F44670">
        <w:rPr>
          <w:iCs/>
          <w:sz w:val="22"/>
          <w:szCs w:val="22"/>
        </w:rPr>
        <w:t>No se ha autorizado a ningún organizador, agente colocador y/u otra persona a brindar información y/o efectuar declaraciones respecto de la Emisora y/o de las ON Serie II que no estén contenidas en el Prospecto y/o en el presente Suplemento, y, si se brindara y/o efectuara, dicha información y/o declaraciones no podrán ser consideradas autorizadas y/o consentidas por la Emisora y/o los Colocadores.</w:t>
      </w:r>
    </w:p>
    <w:p w14:paraId="256D0576" w14:textId="77777777" w:rsidR="00663B33" w:rsidRPr="00F44670" w:rsidRDefault="00663B33" w:rsidP="00663B33">
      <w:pPr>
        <w:tabs>
          <w:tab w:val="left" w:pos="0"/>
          <w:tab w:val="left" w:pos="2552"/>
        </w:tabs>
        <w:adjustRightInd w:val="0"/>
        <w:jc w:val="both"/>
        <w:rPr>
          <w:iCs/>
          <w:sz w:val="22"/>
          <w:szCs w:val="22"/>
        </w:rPr>
      </w:pPr>
    </w:p>
    <w:p w14:paraId="6277470C" w14:textId="77777777" w:rsidR="00663B33" w:rsidRPr="00F44670" w:rsidRDefault="00663B33" w:rsidP="00663B33">
      <w:pPr>
        <w:tabs>
          <w:tab w:val="left" w:pos="0"/>
          <w:tab w:val="left" w:pos="2552"/>
        </w:tabs>
        <w:adjustRightInd w:val="0"/>
        <w:jc w:val="both"/>
        <w:rPr>
          <w:iCs/>
          <w:sz w:val="22"/>
          <w:szCs w:val="22"/>
        </w:rPr>
      </w:pPr>
      <w:r w:rsidRPr="00F44670">
        <w:rPr>
          <w:iCs/>
          <w:sz w:val="22"/>
          <w:szCs w:val="22"/>
        </w:rPr>
        <w:t xml:space="preserve">Ni el Prospecto ni este Suplemento constituyen una oferta de venta, y/o una invitación a formular ofertas de compra, de las ON Serie II (i) en aquellas jurisdicciones en que la realización de dicha oferta y/o invitación no fuera permitida por las normas vigentes; y/o (ii) para aquellas personas o entidades con domicilio, constituidas y/o residentes de una jurisdicción que no se encuentre dentro del listado de países, dominios, jurisdicciones, territorios, estados asociados y regímenes tributarios especiales considerados cooperadores a los fines de la transparencia fiscal, y/o para aquellas personas o entidades que, a efectos de la suscripción de las ON Serie II utilicen cuentas localizadas o abiertas en una jurisdicción que no se encuentre dentro del listado de países, dominios, jurisdicciones, territorios, estados asociados y regímenes tributarios especiales </w:t>
      </w:r>
      <w:r w:rsidRPr="008A6AC0">
        <w:rPr>
          <w:iCs/>
          <w:sz w:val="22"/>
          <w:szCs w:val="22"/>
        </w:rPr>
        <w:t>considerados cooperadores a los fines de la transparencia fiscal. Los países, dominios, jurisdicciones, territorios, estados asociados y regímenes tributarios especiales considerados cooperadores a los fines de la transparencia fiscal según la legislación argentina se encuentran enumeradas en la Resolución General N° 3576/2013 de la Administración Federal de Ingresos Públicos. El público inversor deberá cumplir con todas</w:t>
      </w:r>
      <w:r w:rsidRPr="00F44670">
        <w:rPr>
          <w:iCs/>
          <w:sz w:val="22"/>
          <w:szCs w:val="22"/>
        </w:rPr>
        <w:t xml:space="preserve"> las normas vigentes en cualquier jurisdicción en que comprara, ofreciera y/o vendiera las ON Serie II y/o en la que poseyera y/o distribuyera el Prospecto y/o este Suplemento y deberá obtener los consentimientos, las aprobaciones y/o los permisos para la compra, oferta y/o venta de las ON Serie II requeridos por las normas vigentes en cualquier jurisdicción a la que se encontraran sujetos y/o en la que realizaran dichas compras, ofertas y/o ventas. Ni la Emisora, ni los Colocadores tendrán responsabilidad alguna por incumplimientos a dichas normas vigentes.</w:t>
      </w:r>
    </w:p>
    <w:p w14:paraId="14ED86A1" w14:textId="77777777" w:rsidR="00663B33" w:rsidRPr="00F44670" w:rsidRDefault="00663B33" w:rsidP="00663B33">
      <w:pPr>
        <w:tabs>
          <w:tab w:val="left" w:pos="0"/>
          <w:tab w:val="left" w:pos="2552"/>
        </w:tabs>
        <w:adjustRightInd w:val="0"/>
        <w:jc w:val="both"/>
        <w:rPr>
          <w:iCs/>
          <w:sz w:val="22"/>
          <w:szCs w:val="22"/>
        </w:rPr>
      </w:pPr>
    </w:p>
    <w:p w14:paraId="77529E35" w14:textId="77777777" w:rsidR="00663B33" w:rsidRPr="00F44670" w:rsidRDefault="00663B33" w:rsidP="00663B33">
      <w:pPr>
        <w:jc w:val="both"/>
        <w:rPr>
          <w:sz w:val="22"/>
          <w:szCs w:val="22"/>
        </w:rPr>
      </w:pPr>
      <w:r w:rsidRPr="00F44670">
        <w:rPr>
          <w:sz w:val="22"/>
          <w:szCs w:val="22"/>
        </w:rPr>
        <w:lastRenderedPageBreak/>
        <w:t xml:space="preserve">Ni la entrega del Prospecto y/o de este Suplemento, ni el ofrecimiento y/o la venta de ON Serie </w:t>
      </w:r>
      <w:r w:rsidRPr="00F44670">
        <w:rPr>
          <w:iCs/>
          <w:sz w:val="22"/>
          <w:szCs w:val="22"/>
        </w:rPr>
        <w:t>II</w:t>
      </w:r>
      <w:r w:rsidRPr="00F44670">
        <w:rPr>
          <w:sz w:val="22"/>
          <w:szCs w:val="22"/>
        </w:rPr>
        <w:t xml:space="preserve"> en virtud de los mismos, en ninguna circunstancia, significarán que la información contenida en el Prospecto es correcta en cualquier fecha posterior a la fecha del Prospecto y/o que la información contenida en el presente Suplemento es correcta en cualquier fecha posterior a la fecha del presente Suplemento, según corresponda.</w:t>
      </w:r>
    </w:p>
    <w:p w14:paraId="378C61A6" w14:textId="77777777" w:rsidR="00663B33" w:rsidRPr="00F44670" w:rsidRDefault="00663B33" w:rsidP="00663B33">
      <w:pPr>
        <w:jc w:val="both"/>
        <w:rPr>
          <w:sz w:val="22"/>
          <w:szCs w:val="22"/>
        </w:rPr>
      </w:pPr>
    </w:p>
    <w:p w14:paraId="1F8AE3AA" w14:textId="77777777" w:rsidR="00663B33" w:rsidRPr="00F44670" w:rsidRDefault="00663B33" w:rsidP="00663B33">
      <w:pPr>
        <w:jc w:val="both"/>
        <w:rPr>
          <w:sz w:val="22"/>
          <w:szCs w:val="22"/>
        </w:rPr>
      </w:pPr>
      <w:r w:rsidRPr="00F44670">
        <w:rPr>
          <w:sz w:val="22"/>
          <w:szCs w:val="22"/>
        </w:rPr>
        <w:t>Asimismo, todo potencial inversor debe tener presente la incertidumbre con respecto a la futura situación del país y la situación financiera de la Emisora, así como los importantes riesgos relacionados con la inversión (al respecto, ver la sección “Factores de Riesgo” del Prospecto). No podrá considerarse que la información contenida en el presente Suplemento constituya una promesa o garantía, ya sea con respecto al pasado o al futuro.</w:t>
      </w:r>
    </w:p>
    <w:p w14:paraId="2E4CB9BD" w14:textId="77777777" w:rsidR="00CA3B59" w:rsidRPr="008A6AC0" w:rsidRDefault="00CA3B59" w:rsidP="008A6AC0">
      <w:pPr>
        <w:jc w:val="both"/>
        <w:rPr>
          <w:sz w:val="22"/>
          <w:szCs w:val="22"/>
        </w:rPr>
      </w:pPr>
    </w:p>
    <w:p w14:paraId="507E5E5A" w14:textId="77777777" w:rsidR="00CA3B59" w:rsidRPr="008A6AC0" w:rsidRDefault="00CA3B59" w:rsidP="008A6AC0">
      <w:pPr>
        <w:jc w:val="both"/>
        <w:rPr>
          <w:b/>
          <w:sz w:val="22"/>
          <w:szCs w:val="22"/>
        </w:rPr>
      </w:pPr>
      <w:r w:rsidRPr="008A6AC0">
        <w:rPr>
          <w:b/>
          <w:sz w:val="22"/>
          <w:szCs w:val="22"/>
        </w:rPr>
        <w:t>Declaraciones y garantías de los inversores en las Obligaciones Negociables</w:t>
      </w:r>
    </w:p>
    <w:p w14:paraId="1AF6829B" w14:textId="77777777" w:rsidR="00CA3B59" w:rsidRDefault="00CA3B59" w:rsidP="008A6AC0">
      <w:pPr>
        <w:jc w:val="both"/>
        <w:rPr>
          <w:sz w:val="22"/>
          <w:szCs w:val="22"/>
        </w:rPr>
      </w:pPr>
    </w:p>
    <w:p w14:paraId="7DFD3AF6" w14:textId="77777777" w:rsidR="00CA3B59" w:rsidRDefault="00CA3B59" w:rsidP="008A6AC0">
      <w:pPr>
        <w:jc w:val="both"/>
        <w:rPr>
          <w:sz w:val="22"/>
          <w:szCs w:val="22"/>
        </w:rPr>
      </w:pPr>
      <w:r w:rsidRPr="008A6AC0">
        <w:rPr>
          <w:sz w:val="22"/>
          <w:szCs w:val="22"/>
        </w:rPr>
        <w:t xml:space="preserve">Mediante la presentación de </w:t>
      </w:r>
      <w:r>
        <w:rPr>
          <w:sz w:val="22"/>
          <w:szCs w:val="22"/>
        </w:rPr>
        <w:t>ó</w:t>
      </w:r>
      <w:r w:rsidRPr="008A6AC0">
        <w:rPr>
          <w:sz w:val="22"/>
          <w:szCs w:val="22"/>
        </w:rPr>
        <w:t xml:space="preserve">rdenes de </w:t>
      </w:r>
      <w:r>
        <w:rPr>
          <w:sz w:val="22"/>
          <w:szCs w:val="22"/>
        </w:rPr>
        <w:t>c</w:t>
      </w:r>
      <w:r w:rsidRPr="008A6AC0">
        <w:rPr>
          <w:sz w:val="22"/>
          <w:szCs w:val="22"/>
        </w:rPr>
        <w:t>ompra o la adquisición posterior de las Obligaciones Negociables</w:t>
      </w:r>
      <w:r>
        <w:rPr>
          <w:sz w:val="22"/>
          <w:szCs w:val="22"/>
        </w:rPr>
        <w:t xml:space="preserve"> Serie II</w:t>
      </w:r>
      <w:r w:rsidRPr="008A6AC0">
        <w:rPr>
          <w:sz w:val="22"/>
          <w:szCs w:val="22"/>
        </w:rPr>
        <w:t>, se entenderá que los adquirentes habrán otorgado ciertas declaraciones y garantías a la Emisora y a los Organizadores y Colocadores, entre ellas: (i) que están en posición de soportar los riesgos económicos de invertir en las Obligaciones Negociables</w:t>
      </w:r>
      <w:r>
        <w:rPr>
          <w:sz w:val="22"/>
          <w:szCs w:val="22"/>
        </w:rPr>
        <w:t xml:space="preserve"> Serie II</w:t>
      </w:r>
      <w:r w:rsidRPr="008A6AC0">
        <w:rPr>
          <w:sz w:val="22"/>
          <w:szCs w:val="22"/>
        </w:rPr>
        <w:t>; (ii) que han recibido copia, y han revisado el Prospecto, el presente Suplemento y todo otro documento relacionado con la emisión de las Obligaciones Negociables</w:t>
      </w:r>
      <w:r>
        <w:rPr>
          <w:sz w:val="22"/>
          <w:szCs w:val="22"/>
        </w:rPr>
        <w:t xml:space="preserve"> Serie II</w:t>
      </w:r>
      <w:r w:rsidRPr="008A6AC0">
        <w:rPr>
          <w:sz w:val="22"/>
          <w:szCs w:val="22"/>
        </w:rPr>
        <w:t>; y (iii) que no han recibido asesoramiento legal, comercial, financiero, cambiario, impositivo y/o de otro tipo por parte de la Emisora ni de los Organizadores y Colocadores.</w:t>
      </w:r>
    </w:p>
    <w:p w14:paraId="76CBFA95" w14:textId="77777777" w:rsidR="00CA3B59" w:rsidRPr="008A6AC0" w:rsidRDefault="00CA3B59" w:rsidP="008A6AC0">
      <w:pPr>
        <w:jc w:val="both"/>
        <w:rPr>
          <w:sz w:val="22"/>
          <w:szCs w:val="22"/>
        </w:rPr>
      </w:pPr>
    </w:p>
    <w:p w14:paraId="0A5912DA" w14:textId="77777777" w:rsidR="00696F29" w:rsidRPr="00F44670" w:rsidRDefault="00696F29" w:rsidP="00F3428B">
      <w:pPr>
        <w:pStyle w:val="Textoindependiente3"/>
        <w:widowControl w:val="0"/>
        <w:suppressLineNumbers/>
        <w:suppressAutoHyphens/>
        <w:jc w:val="both"/>
        <w:rPr>
          <w:b w:val="0"/>
          <w:bCs w:val="0"/>
          <w:sz w:val="22"/>
          <w:szCs w:val="22"/>
          <w:lang w:val="es-ES"/>
        </w:rPr>
      </w:pPr>
    </w:p>
    <w:p w14:paraId="1634FE41" w14:textId="77777777" w:rsidR="00696F29" w:rsidRPr="00F44670" w:rsidRDefault="000A50CD" w:rsidP="0013538D">
      <w:pPr>
        <w:pStyle w:val="Sangradetextonormal"/>
        <w:jc w:val="center"/>
        <w:outlineLvl w:val="0"/>
        <w:rPr>
          <w:b/>
          <w:sz w:val="22"/>
          <w:szCs w:val="22"/>
          <w:u w:val="single"/>
          <w:lang w:val="es-AR"/>
        </w:rPr>
      </w:pPr>
      <w:bookmarkStart w:id="2" w:name="_Toc32224778"/>
      <w:r w:rsidRPr="00F44670">
        <w:rPr>
          <w:b/>
          <w:sz w:val="22"/>
          <w:szCs w:val="22"/>
          <w:u w:val="single"/>
          <w:lang w:val="es-AR"/>
        </w:rPr>
        <w:t>II</w:t>
      </w:r>
      <w:r w:rsidR="00696F29" w:rsidRPr="00F44670">
        <w:rPr>
          <w:b/>
          <w:sz w:val="22"/>
          <w:szCs w:val="22"/>
          <w:u w:val="single"/>
        </w:rPr>
        <w:t xml:space="preserve">.- </w:t>
      </w:r>
      <w:r w:rsidRPr="00F44670">
        <w:rPr>
          <w:b/>
          <w:sz w:val="22"/>
          <w:szCs w:val="22"/>
          <w:u w:val="single"/>
          <w:lang w:val="es-AR"/>
        </w:rPr>
        <w:t>OFERTA DE LAS</w:t>
      </w:r>
      <w:r w:rsidR="00696F29" w:rsidRPr="00F44670">
        <w:rPr>
          <w:b/>
          <w:sz w:val="22"/>
          <w:szCs w:val="22"/>
          <w:u w:val="single"/>
        </w:rPr>
        <w:t xml:space="preserve"> ON SERIE </w:t>
      </w:r>
      <w:r w:rsidR="00077B81" w:rsidRPr="00F44670">
        <w:rPr>
          <w:b/>
          <w:sz w:val="22"/>
          <w:szCs w:val="22"/>
          <w:u w:val="single"/>
          <w:lang w:val="es-AR"/>
        </w:rPr>
        <w:t>I</w:t>
      </w:r>
      <w:r w:rsidR="00511633" w:rsidRPr="00F44670">
        <w:rPr>
          <w:b/>
          <w:sz w:val="22"/>
          <w:szCs w:val="22"/>
          <w:u w:val="single"/>
          <w:lang w:val="es-AR"/>
        </w:rPr>
        <w:t>I</w:t>
      </w:r>
      <w:bookmarkEnd w:id="2"/>
    </w:p>
    <w:p w14:paraId="0A0ABAEA" w14:textId="77777777" w:rsidR="00696F29" w:rsidRPr="00F44670" w:rsidRDefault="00696F29" w:rsidP="00F3428B">
      <w:pPr>
        <w:pStyle w:val="Textoindependiente3"/>
        <w:rPr>
          <w:i/>
          <w:sz w:val="22"/>
          <w:szCs w:val="22"/>
          <w:lang w:val="es-AR"/>
        </w:rPr>
      </w:pPr>
    </w:p>
    <w:p w14:paraId="58B1586E" w14:textId="052A807C" w:rsidR="004560DD" w:rsidRDefault="004560DD" w:rsidP="00252FD2">
      <w:pPr>
        <w:pStyle w:val="Sangradetextonormal"/>
        <w:ind w:left="0"/>
        <w:jc w:val="both"/>
        <w:rPr>
          <w:bCs/>
          <w:sz w:val="22"/>
          <w:szCs w:val="22"/>
        </w:rPr>
      </w:pPr>
      <w:r w:rsidRPr="00F44670">
        <w:rPr>
          <w:bCs/>
          <w:sz w:val="22"/>
          <w:szCs w:val="22"/>
        </w:rPr>
        <w:t xml:space="preserve">Los siguientes son los términos y condiciones específicos de las ON Serie </w:t>
      </w:r>
      <w:r w:rsidR="00077B81" w:rsidRPr="00F44670">
        <w:rPr>
          <w:bCs/>
          <w:sz w:val="22"/>
          <w:szCs w:val="22"/>
          <w:lang w:val="es-AR"/>
        </w:rPr>
        <w:t>I</w:t>
      </w:r>
      <w:r w:rsidR="00511633" w:rsidRPr="00F44670">
        <w:rPr>
          <w:bCs/>
          <w:sz w:val="22"/>
          <w:szCs w:val="22"/>
          <w:lang w:val="es-AR"/>
        </w:rPr>
        <w:t>I</w:t>
      </w:r>
      <w:r w:rsidRPr="00F44670">
        <w:rPr>
          <w:bCs/>
          <w:sz w:val="22"/>
          <w:szCs w:val="22"/>
        </w:rPr>
        <w:t>, que complementan los términos y condiciones generales del Programa expresados en el Prospecto, y deben ser analizados conjuntamente con los mismos.</w:t>
      </w:r>
    </w:p>
    <w:p w14:paraId="1C2A31FC" w14:textId="77777777" w:rsidR="003E2165" w:rsidRPr="00F44670" w:rsidRDefault="003E2165" w:rsidP="00252FD2">
      <w:pPr>
        <w:pStyle w:val="Sangradetextonormal"/>
        <w:ind w:left="0"/>
        <w:jc w:val="both"/>
        <w:rPr>
          <w:b/>
          <w:sz w:val="22"/>
          <w:szCs w:val="22"/>
        </w:rPr>
      </w:pPr>
    </w:p>
    <w:p w14:paraId="269A615C" w14:textId="4B2BFCBF" w:rsidR="00696F29" w:rsidRDefault="00696F29" w:rsidP="00F3428B">
      <w:pPr>
        <w:pStyle w:val="Sangradetextonormal"/>
        <w:ind w:left="0"/>
        <w:jc w:val="both"/>
        <w:rPr>
          <w:sz w:val="22"/>
          <w:szCs w:val="22"/>
        </w:rPr>
      </w:pPr>
      <w:r w:rsidRPr="00F44670">
        <w:rPr>
          <w:sz w:val="22"/>
          <w:szCs w:val="22"/>
        </w:rPr>
        <w:t>Los términos utilizados que se denotan con mayúscula (o entre comillas), y que no se encuentran definidos tendrán el significado que se asign</w:t>
      </w:r>
      <w:r w:rsidR="004C6C16" w:rsidRPr="00F44670">
        <w:rPr>
          <w:sz w:val="22"/>
          <w:szCs w:val="22"/>
        </w:rPr>
        <w:t>a en el Prospecto del Programa.</w:t>
      </w:r>
    </w:p>
    <w:p w14:paraId="718C1781" w14:textId="77777777" w:rsidR="00D3496C" w:rsidRDefault="00D3496C" w:rsidP="00F3428B">
      <w:pPr>
        <w:pStyle w:val="Sangradetextonormal"/>
        <w:ind w:left="0"/>
        <w:jc w:val="both"/>
        <w:rPr>
          <w:sz w:val="22"/>
          <w:szCs w:val="22"/>
        </w:rPr>
      </w:pPr>
    </w:p>
    <w:p w14:paraId="1785BC85" w14:textId="1932856E" w:rsidR="00D3496C" w:rsidRDefault="00D3496C" w:rsidP="00F3428B">
      <w:pPr>
        <w:pStyle w:val="Sangradetextonormal"/>
        <w:ind w:left="0"/>
        <w:jc w:val="both"/>
        <w:rPr>
          <w:sz w:val="22"/>
          <w:szCs w:val="22"/>
        </w:rPr>
      </w:pPr>
      <w:r>
        <w:rPr>
          <w:sz w:val="22"/>
          <w:szCs w:val="22"/>
        </w:rPr>
        <w:t>El presente apartado debe leerse conjuntamente con las secciones “</w:t>
      </w:r>
      <w:r>
        <w:rPr>
          <w:i/>
          <w:iCs/>
          <w:sz w:val="22"/>
          <w:szCs w:val="22"/>
          <w:lang w:val="es-AR"/>
        </w:rPr>
        <w:t xml:space="preserve">TÉRMINOS Y CONDICIONES PARTICULARES DE LAS OBLIGACIONES NEGOCIABLES </w:t>
      </w:r>
      <w:r w:rsidR="00EA55E9">
        <w:rPr>
          <w:i/>
          <w:iCs/>
          <w:sz w:val="22"/>
          <w:szCs w:val="22"/>
          <w:lang w:val="es-AR"/>
        </w:rPr>
        <w:t xml:space="preserve">SERIE II </w:t>
      </w:r>
      <w:r>
        <w:rPr>
          <w:i/>
          <w:iCs/>
          <w:sz w:val="22"/>
          <w:szCs w:val="22"/>
          <w:lang w:val="es-AR"/>
        </w:rPr>
        <w:t>CLASE</w:t>
      </w:r>
      <w:r>
        <w:rPr>
          <w:i/>
          <w:iCs/>
          <w:sz w:val="22"/>
          <w:szCs w:val="22"/>
        </w:rPr>
        <w:t xml:space="preserve"> </w:t>
      </w:r>
      <w:r>
        <w:rPr>
          <w:i/>
          <w:iCs/>
          <w:sz w:val="22"/>
          <w:szCs w:val="22"/>
          <w:lang w:val="es-AR"/>
        </w:rPr>
        <w:t>A</w:t>
      </w:r>
      <w:r>
        <w:rPr>
          <w:i/>
          <w:iCs/>
          <w:sz w:val="22"/>
          <w:szCs w:val="22"/>
        </w:rPr>
        <w:t>” y “</w:t>
      </w:r>
      <w:r w:rsidRPr="00D3496C">
        <w:rPr>
          <w:i/>
          <w:iCs/>
          <w:sz w:val="22"/>
          <w:szCs w:val="22"/>
          <w:lang w:val="es-AR"/>
        </w:rPr>
        <w:t xml:space="preserve"> </w:t>
      </w:r>
      <w:r>
        <w:rPr>
          <w:i/>
          <w:iCs/>
          <w:sz w:val="22"/>
          <w:szCs w:val="22"/>
          <w:lang w:val="es-AR"/>
        </w:rPr>
        <w:t xml:space="preserve">TÉRMINOS Y CONDICIONES PARTICULARES DE LAS OBLIGACIONES NEGOCIABLES </w:t>
      </w:r>
      <w:r w:rsidR="00EA55E9">
        <w:rPr>
          <w:i/>
          <w:iCs/>
          <w:sz w:val="22"/>
          <w:szCs w:val="22"/>
          <w:lang w:val="es-AR"/>
        </w:rPr>
        <w:t xml:space="preserve">SERIE II </w:t>
      </w:r>
      <w:r>
        <w:rPr>
          <w:i/>
          <w:iCs/>
          <w:sz w:val="22"/>
          <w:szCs w:val="22"/>
          <w:lang w:val="es-AR"/>
        </w:rPr>
        <w:t>CLASE</w:t>
      </w:r>
      <w:r>
        <w:rPr>
          <w:i/>
          <w:iCs/>
          <w:sz w:val="22"/>
          <w:szCs w:val="22"/>
        </w:rPr>
        <w:t xml:space="preserve"> </w:t>
      </w:r>
      <w:r>
        <w:rPr>
          <w:i/>
          <w:iCs/>
          <w:sz w:val="22"/>
          <w:szCs w:val="22"/>
          <w:lang w:val="es-AR"/>
        </w:rPr>
        <w:t>B</w:t>
      </w:r>
      <w:r>
        <w:rPr>
          <w:i/>
          <w:iCs/>
          <w:sz w:val="22"/>
          <w:szCs w:val="22"/>
        </w:rPr>
        <w:t xml:space="preserve">” </w:t>
      </w:r>
      <w:r>
        <w:rPr>
          <w:sz w:val="22"/>
          <w:szCs w:val="22"/>
        </w:rPr>
        <w:t>de este Suplemento de Prospecto.</w:t>
      </w:r>
    </w:p>
    <w:p w14:paraId="2E28823F" w14:textId="5C86290A" w:rsidR="00606A9A" w:rsidRDefault="00606A9A" w:rsidP="00F3428B">
      <w:pPr>
        <w:pStyle w:val="Sangradetextonormal"/>
        <w:ind w:left="0"/>
        <w:jc w:val="both"/>
        <w:rPr>
          <w:sz w:val="22"/>
          <w:szCs w:val="22"/>
        </w:rPr>
      </w:pPr>
    </w:p>
    <w:p w14:paraId="21E15254" w14:textId="77777777" w:rsidR="00D3496C" w:rsidRPr="00B758A4" w:rsidRDefault="00D3496C" w:rsidP="00F3428B">
      <w:pPr>
        <w:pStyle w:val="Sangradetextonormal"/>
        <w:ind w:left="0"/>
        <w:jc w:val="both"/>
        <w:rPr>
          <w:sz w:val="22"/>
          <w:szCs w:val="22"/>
          <w:lang w:val="es-ES"/>
        </w:rPr>
      </w:pPr>
    </w:p>
    <w:p w14:paraId="5264FDFB" w14:textId="23680A98" w:rsidR="00606A9A" w:rsidRPr="00504203" w:rsidRDefault="00606A9A" w:rsidP="00B758A4">
      <w:pPr>
        <w:pStyle w:val="Sangradetextonormal"/>
        <w:ind w:left="0"/>
        <w:jc w:val="center"/>
        <w:rPr>
          <w:sz w:val="22"/>
          <w:szCs w:val="22"/>
          <w:u w:val="single"/>
          <w:lang w:val="es-AR"/>
        </w:rPr>
      </w:pPr>
      <w:r w:rsidRPr="00504203">
        <w:rPr>
          <w:b/>
          <w:bCs/>
          <w:sz w:val="20"/>
          <w:szCs w:val="20"/>
          <w:u w:val="single"/>
        </w:rPr>
        <w:t xml:space="preserve">TÉRMINOS Y CONDICIONES COMUNES DE LAS OBLIGACIONES NEGOCIABLES CLASE A Y CLASE </w:t>
      </w:r>
      <w:r w:rsidRPr="00504203">
        <w:rPr>
          <w:b/>
          <w:bCs/>
          <w:sz w:val="20"/>
          <w:szCs w:val="20"/>
          <w:u w:val="single"/>
          <w:lang w:val="es-AR"/>
        </w:rPr>
        <w:t>B</w:t>
      </w:r>
    </w:p>
    <w:p w14:paraId="0B95C165" w14:textId="77777777" w:rsidR="004C6C16" w:rsidRPr="00F44670" w:rsidRDefault="004C6C16" w:rsidP="004C6C16">
      <w:pPr>
        <w:pStyle w:val="Sangradetextonormal"/>
        <w:jc w:val="center"/>
        <w:rPr>
          <w:b/>
          <w:sz w:val="22"/>
          <w:szCs w:val="22"/>
          <w:lang w:val="es-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6415"/>
      </w:tblGrid>
      <w:tr w:rsidR="00696F29" w:rsidRPr="00F44670" w14:paraId="29F0BE5F" w14:textId="77777777" w:rsidTr="00B758A4">
        <w:tc>
          <w:tcPr>
            <w:tcW w:w="2935" w:type="dxa"/>
            <w:shd w:val="clear" w:color="auto" w:fill="FFFFFF"/>
          </w:tcPr>
          <w:p w14:paraId="0B28F14C" w14:textId="77777777" w:rsidR="00696F29" w:rsidRPr="00F44670" w:rsidRDefault="00696F29" w:rsidP="00F3428B">
            <w:pPr>
              <w:pStyle w:val="Sangradetextonormal"/>
              <w:ind w:left="6"/>
              <w:rPr>
                <w:b/>
                <w:sz w:val="22"/>
                <w:szCs w:val="22"/>
                <w:lang w:val="es-ES" w:eastAsia="es-ES"/>
              </w:rPr>
            </w:pPr>
            <w:r w:rsidRPr="00F44670">
              <w:rPr>
                <w:b/>
                <w:sz w:val="22"/>
                <w:szCs w:val="22"/>
                <w:lang w:val="es-ES" w:eastAsia="es-ES"/>
              </w:rPr>
              <w:t>Emisor</w:t>
            </w:r>
          </w:p>
        </w:tc>
        <w:tc>
          <w:tcPr>
            <w:tcW w:w="6415" w:type="dxa"/>
            <w:shd w:val="clear" w:color="auto" w:fill="FFFFFF"/>
          </w:tcPr>
          <w:p w14:paraId="3CBDAD87" w14:textId="77777777" w:rsidR="00696F29" w:rsidRPr="00F44670" w:rsidRDefault="00696F29" w:rsidP="00F3428B">
            <w:pPr>
              <w:pStyle w:val="Sangradetextonormal"/>
              <w:ind w:left="0"/>
              <w:rPr>
                <w:sz w:val="22"/>
                <w:szCs w:val="22"/>
                <w:lang w:val="es-ES" w:eastAsia="es-ES"/>
              </w:rPr>
            </w:pPr>
            <w:r w:rsidRPr="00F44670">
              <w:rPr>
                <w:sz w:val="22"/>
                <w:szCs w:val="22"/>
                <w:lang w:val="es-ES" w:eastAsia="es-ES"/>
              </w:rPr>
              <w:t>R</w:t>
            </w:r>
            <w:r w:rsidR="00FB153E" w:rsidRPr="00F44670">
              <w:rPr>
                <w:sz w:val="22"/>
                <w:szCs w:val="22"/>
                <w:lang w:val="es-ES" w:eastAsia="es-ES"/>
              </w:rPr>
              <w:t>izobacter Argentina S.A.</w:t>
            </w:r>
          </w:p>
          <w:p w14:paraId="53B6E15E" w14:textId="77777777" w:rsidR="00696F29" w:rsidRPr="00F44670" w:rsidRDefault="00696F29" w:rsidP="00F3428B">
            <w:pPr>
              <w:pStyle w:val="Sangradetextonormal"/>
              <w:ind w:left="0"/>
              <w:rPr>
                <w:sz w:val="22"/>
                <w:szCs w:val="22"/>
                <w:lang w:val="es-ES" w:eastAsia="es-ES"/>
              </w:rPr>
            </w:pPr>
          </w:p>
        </w:tc>
      </w:tr>
      <w:tr w:rsidR="002F61BB" w:rsidRPr="007D442F" w14:paraId="1CB5F396" w14:textId="77777777" w:rsidTr="00B758A4">
        <w:tc>
          <w:tcPr>
            <w:tcW w:w="2935" w:type="dxa"/>
            <w:shd w:val="clear" w:color="auto" w:fill="FFFFFF"/>
          </w:tcPr>
          <w:p w14:paraId="13C41995" w14:textId="202DD41F" w:rsidR="002F61BB" w:rsidRPr="00F44670" w:rsidRDefault="002F61BB" w:rsidP="00F3428B">
            <w:pPr>
              <w:pStyle w:val="Sangradetextonormal"/>
              <w:ind w:left="6"/>
              <w:rPr>
                <w:b/>
                <w:sz w:val="22"/>
                <w:szCs w:val="22"/>
                <w:lang w:val="es-ES" w:eastAsia="es-ES"/>
              </w:rPr>
            </w:pPr>
            <w:r w:rsidRPr="00F44670">
              <w:rPr>
                <w:b/>
                <w:sz w:val="22"/>
                <w:szCs w:val="22"/>
                <w:lang w:val="es-ES" w:eastAsia="es-ES"/>
              </w:rPr>
              <w:t>Organizadores</w:t>
            </w:r>
            <w:r w:rsidR="007D442F">
              <w:rPr>
                <w:b/>
                <w:sz w:val="22"/>
                <w:szCs w:val="22"/>
                <w:lang w:val="es-ES" w:eastAsia="es-ES"/>
              </w:rPr>
              <w:t xml:space="preserve"> y </w:t>
            </w:r>
            <w:r w:rsidRPr="00F44670">
              <w:rPr>
                <w:b/>
                <w:sz w:val="22"/>
                <w:szCs w:val="22"/>
                <w:lang w:val="es-ES" w:eastAsia="es-ES"/>
              </w:rPr>
              <w:t>Colocadores</w:t>
            </w:r>
          </w:p>
        </w:tc>
        <w:tc>
          <w:tcPr>
            <w:tcW w:w="6415" w:type="dxa"/>
            <w:shd w:val="clear" w:color="auto" w:fill="FFFFFF"/>
          </w:tcPr>
          <w:p w14:paraId="65161F26" w14:textId="29AF0C77" w:rsidR="002F61BB" w:rsidRPr="00B758A4" w:rsidRDefault="007D442F" w:rsidP="003C03AE">
            <w:pPr>
              <w:pStyle w:val="Sangradetextonormal"/>
              <w:ind w:left="0"/>
              <w:rPr>
                <w:sz w:val="22"/>
                <w:szCs w:val="22"/>
                <w:lang w:val="es-AR" w:eastAsia="es-ES"/>
              </w:rPr>
            </w:pPr>
            <w:r w:rsidRPr="00B758A4">
              <w:rPr>
                <w:sz w:val="22"/>
                <w:szCs w:val="22"/>
                <w:lang w:val="es-AR" w:eastAsia="es-ES"/>
              </w:rPr>
              <w:t>AR Partners S.A.</w:t>
            </w:r>
            <w:r w:rsidR="00A93908">
              <w:rPr>
                <w:sz w:val="22"/>
                <w:szCs w:val="22"/>
                <w:lang w:val="es-AR" w:eastAsia="es-ES"/>
              </w:rPr>
              <w:t>, -Banco de Galicia y Buenos Aires S.A</w:t>
            </w:r>
            <w:r w:rsidR="00D04488">
              <w:rPr>
                <w:sz w:val="22"/>
                <w:szCs w:val="22"/>
                <w:lang w:val="es-AR" w:eastAsia="es-ES"/>
              </w:rPr>
              <w:t>.U</w:t>
            </w:r>
            <w:r w:rsidR="00461AE6">
              <w:rPr>
                <w:sz w:val="22"/>
                <w:szCs w:val="22"/>
                <w:lang w:val="es-AR" w:eastAsia="es-ES"/>
              </w:rPr>
              <w:t>.</w:t>
            </w:r>
            <w:r w:rsidRPr="00B758A4">
              <w:rPr>
                <w:sz w:val="22"/>
                <w:szCs w:val="22"/>
                <w:lang w:val="es-AR" w:eastAsia="es-ES"/>
              </w:rPr>
              <w:t xml:space="preserve"> y Banco</w:t>
            </w:r>
            <w:r>
              <w:rPr>
                <w:sz w:val="22"/>
                <w:szCs w:val="22"/>
                <w:lang w:val="es-AR" w:eastAsia="es-ES"/>
              </w:rPr>
              <w:t xml:space="preserve"> Supervielle S.A.</w:t>
            </w:r>
          </w:p>
        </w:tc>
      </w:tr>
      <w:tr w:rsidR="007D442F" w:rsidRPr="00F44670" w14:paraId="65AC97C3" w14:textId="77777777" w:rsidTr="00B758A4">
        <w:tc>
          <w:tcPr>
            <w:tcW w:w="2935" w:type="dxa"/>
            <w:shd w:val="clear" w:color="auto" w:fill="FFFFFF"/>
          </w:tcPr>
          <w:p w14:paraId="29083400" w14:textId="5CA97F70" w:rsidR="007D442F" w:rsidRPr="00F44670" w:rsidRDefault="007D442F" w:rsidP="00F3428B">
            <w:pPr>
              <w:pStyle w:val="Sangradetextonormal"/>
              <w:ind w:left="6"/>
              <w:rPr>
                <w:b/>
                <w:sz w:val="22"/>
                <w:szCs w:val="22"/>
                <w:lang w:val="es-ES" w:eastAsia="es-ES"/>
              </w:rPr>
            </w:pPr>
            <w:r>
              <w:rPr>
                <w:b/>
                <w:sz w:val="22"/>
                <w:szCs w:val="22"/>
                <w:lang w:val="es-ES" w:eastAsia="es-ES"/>
              </w:rPr>
              <w:t>Colocadores</w:t>
            </w:r>
          </w:p>
        </w:tc>
        <w:tc>
          <w:tcPr>
            <w:tcW w:w="6415" w:type="dxa"/>
            <w:shd w:val="clear" w:color="auto" w:fill="FFFFFF"/>
          </w:tcPr>
          <w:p w14:paraId="3ABFA869" w14:textId="121978C7" w:rsidR="007D442F" w:rsidRPr="00F44670" w:rsidRDefault="00A93908" w:rsidP="001C4172">
            <w:pPr>
              <w:pStyle w:val="Sangradetextonormal"/>
              <w:ind w:left="0"/>
              <w:rPr>
                <w:sz w:val="22"/>
                <w:szCs w:val="22"/>
                <w:highlight w:val="yellow"/>
                <w:lang w:val="es-ES" w:eastAsia="es-ES"/>
              </w:rPr>
            </w:pPr>
            <w:r w:rsidRPr="00B758A4">
              <w:rPr>
                <w:sz w:val="22"/>
                <w:szCs w:val="22"/>
                <w:lang w:val="es-AR" w:eastAsia="es-ES"/>
              </w:rPr>
              <w:t>AR Partners S.A.</w:t>
            </w:r>
            <w:r>
              <w:rPr>
                <w:sz w:val="22"/>
                <w:szCs w:val="22"/>
                <w:lang w:val="es-AR" w:eastAsia="es-ES"/>
              </w:rPr>
              <w:t>, Banco de Galicia y Buenos Aires S.A</w:t>
            </w:r>
            <w:r w:rsidR="00D04488">
              <w:rPr>
                <w:sz w:val="22"/>
                <w:szCs w:val="22"/>
                <w:lang w:val="es-AR" w:eastAsia="es-ES"/>
              </w:rPr>
              <w:t>. U</w:t>
            </w:r>
            <w:r>
              <w:rPr>
                <w:sz w:val="22"/>
                <w:szCs w:val="22"/>
                <w:lang w:val="es-AR" w:eastAsia="es-ES"/>
              </w:rPr>
              <w:t>,</w:t>
            </w:r>
            <w:r w:rsidRPr="00B758A4">
              <w:rPr>
                <w:sz w:val="22"/>
                <w:szCs w:val="22"/>
                <w:lang w:val="es-AR" w:eastAsia="es-ES"/>
              </w:rPr>
              <w:t xml:space="preserve"> Banco</w:t>
            </w:r>
            <w:r>
              <w:rPr>
                <w:sz w:val="22"/>
                <w:szCs w:val="22"/>
                <w:lang w:val="es-AR" w:eastAsia="es-ES"/>
              </w:rPr>
              <w:t xml:space="preserve"> Supervielle S.A., Cohen S.A, Tarallo S.A. y Allaria Ledesma &amp;Cía S.A. </w:t>
            </w:r>
          </w:p>
        </w:tc>
      </w:tr>
      <w:tr w:rsidR="002F61BB" w:rsidRPr="00F44670" w14:paraId="5720A0C9" w14:textId="77777777" w:rsidTr="00B758A4">
        <w:tc>
          <w:tcPr>
            <w:tcW w:w="2935" w:type="dxa"/>
            <w:shd w:val="clear" w:color="auto" w:fill="FFFFFF"/>
          </w:tcPr>
          <w:p w14:paraId="0B4E81DC" w14:textId="77777777" w:rsidR="002F61BB" w:rsidRPr="00F44670" w:rsidRDefault="002F61BB" w:rsidP="00F3428B">
            <w:pPr>
              <w:pStyle w:val="Sangradetextonormal"/>
              <w:ind w:left="6"/>
              <w:rPr>
                <w:b/>
                <w:sz w:val="22"/>
                <w:szCs w:val="22"/>
                <w:lang w:val="es-ES" w:eastAsia="es-ES"/>
              </w:rPr>
            </w:pPr>
            <w:r w:rsidRPr="00F44670">
              <w:rPr>
                <w:b/>
                <w:sz w:val="22"/>
                <w:szCs w:val="22"/>
                <w:lang w:eastAsia="zh-CN"/>
              </w:rPr>
              <w:t>Tipo de Valores Negociables Ofrecidos</w:t>
            </w:r>
          </w:p>
        </w:tc>
        <w:tc>
          <w:tcPr>
            <w:tcW w:w="6415" w:type="dxa"/>
            <w:shd w:val="clear" w:color="auto" w:fill="FFFFFF"/>
          </w:tcPr>
          <w:p w14:paraId="5F72CD60" w14:textId="77777777" w:rsidR="002F61BB" w:rsidRDefault="002F61BB" w:rsidP="009F2917">
            <w:pPr>
              <w:pStyle w:val="Sangradetextonormal"/>
              <w:ind w:left="0"/>
              <w:jc w:val="both"/>
              <w:rPr>
                <w:sz w:val="22"/>
                <w:szCs w:val="22"/>
                <w:lang w:val="es-ES" w:eastAsia="es-ES"/>
              </w:rPr>
            </w:pPr>
            <w:r w:rsidRPr="00F44670">
              <w:rPr>
                <w:sz w:val="22"/>
                <w:szCs w:val="22"/>
                <w:lang w:val="es-ES" w:eastAsia="es-ES"/>
              </w:rPr>
              <w:t>Obligaciones Negociables simples</w:t>
            </w:r>
            <w:r w:rsidR="004F07CA" w:rsidRPr="008A6AC0">
              <w:rPr>
                <w:sz w:val="22"/>
                <w:szCs w:val="22"/>
                <w:lang w:val="es-ES" w:eastAsia="es-ES"/>
              </w:rPr>
              <w:t xml:space="preserve"> sin garantía.</w:t>
            </w:r>
            <w:r w:rsidR="008A6AC0" w:rsidRPr="00AC0970">
              <w:rPr>
                <w:sz w:val="22"/>
                <w:szCs w:val="18"/>
                <w:lang w:val="es-MX"/>
              </w:rPr>
              <w:t xml:space="preserve"> Las Obligaciones Negociables Serie II tendrán en todo momento igual prioridad de pago entre sí y con todas las demás obligaciones no subordinadas de la Sociedad, presentes o futuras, salvo las obligaciones que gozar</w:t>
            </w:r>
            <w:r w:rsidR="009F2917">
              <w:rPr>
                <w:sz w:val="22"/>
                <w:szCs w:val="18"/>
                <w:lang w:val="es-MX"/>
              </w:rPr>
              <w:t>e</w:t>
            </w:r>
            <w:r w:rsidR="008A6AC0" w:rsidRPr="00AC0970">
              <w:rPr>
                <w:sz w:val="22"/>
                <w:szCs w:val="18"/>
                <w:lang w:val="es-MX"/>
              </w:rPr>
              <w:t>n de privilegios en vi</w:t>
            </w:r>
            <w:r w:rsidR="009F2917">
              <w:rPr>
                <w:sz w:val="22"/>
                <w:szCs w:val="18"/>
                <w:lang w:val="es-MX"/>
              </w:rPr>
              <w:t xml:space="preserve">rtud de disposiciones legales </w:t>
            </w:r>
            <w:r w:rsidR="008A6AC0" w:rsidRPr="00AC0970">
              <w:rPr>
                <w:sz w:val="22"/>
                <w:szCs w:val="18"/>
                <w:lang w:val="es-MX"/>
              </w:rPr>
              <w:t>o contractuales.</w:t>
            </w:r>
            <w:r w:rsidR="004F07CA" w:rsidRPr="008A6AC0">
              <w:rPr>
                <w:sz w:val="22"/>
                <w:szCs w:val="22"/>
                <w:lang w:val="es-ES" w:eastAsia="es-ES"/>
              </w:rPr>
              <w:t xml:space="preserve"> Las Obligaciones Negociables Serie II serán emitidas conforme con la Ley de Obligaciones Negociables y demás normas vigentes.</w:t>
            </w:r>
          </w:p>
          <w:p w14:paraId="5DD88985" w14:textId="5F4E71DB" w:rsidR="00EA55E9" w:rsidRPr="00F44670" w:rsidRDefault="00EA55E9" w:rsidP="009F2917">
            <w:pPr>
              <w:pStyle w:val="Sangradetextonormal"/>
              <w:ind w:left="0"/>
              <w:jc w:val="both"/>
              <w:rPr>
                <w:sz w:val="22"/>
                <w:szCs w:val="22"/>
                <w:lang w:val="es-ES" w:eastAsia="es-ES"/>
              </w:rPr>
            </w:pPr>
          </w:p>
        </w:tc>
      </w:tr>
      <w:tr w:rsidR="00696F29" w:rsidRPr="00F44670" w14:paraId="1C4F0F09" w14:textId="69ECB515" w:rsidTr="00B758A4">
        <w:tc>
          <w:tcPr>
            <w:tcW w:w="2935" w:type="dxa"/>
            <w:shd w:val="clear" w:color="auto" w:fill="FFFFFF"/>
          </w:tcPr>
          <w:p w14:paraId="19C52753" w14:textId="0242039A" w:rsidR="00696F29" w:rsidRPr="00F44670" w:rsidRDefault="00696F29" w:rsidP="00F3428B">
            <w:pPr>
              <w:pStyle w:val="Sangradetextonormal"/>
              <w:ind w:left="6"/>
              <w:rPr>
                <w:b/>
                <w:sz w:val="22"/>
                <w:szCs w:val="22"/>
                <w:lang w:val="es-ES" w:eastAsia="es-ES"/>
              </w:rPr>
            </w:pPr>
            <w:bookmarkStart w:id="3" w:name="OLE_LINK2"/>
            <w:r w:rsidRPr="00F44670">
              <w:rPr>
                <w:b/>
                <w:sz w:val="22"/>
                <w:szCs w:val="22"/>
                <w:lang w:val="es-ES" w:eastAsia="es-ES"/>
              </w:rPr>
              <w:t xml:space="preserve">Monto de las ON Serie </w:t>
            </w:r>
            <w:r w:rsidR="00077B81" w:rsidRPr="00F44670">
              <w:rPr>
                <w:b/>
                <w:sz w:val="22"/>
                <w:szCs w:val="22"/>
                <w:lang w:val="es-ES" w:eastAsia="es-ES"/>
              </w:rPr>
              <w:t>I</w:t>
            </w:r>
            <w:r w:rsidR="00D64CDE" w:rsidRPr="00F44670">
              <w:rPr>
                <w:b/>
                <w:sz w:val="22"/>
                <w:szCs w:val="22"/>
                <w:lang w:val="es-ES" w:eastAsia="es-ES"/>
              </w:rPr>
              <w:t>I</w:t>
            </w:r>
          </w:p>
        </w:tc>
        <w:tc>
          <w:tcPr>
            <w:tcW w:w="6415" w:type="dxa"/>
            <w:shd w:val="clear" w:color="auto" w:fill="FFFFFF"/>
          </w:tcPr>
          <w:p w14:paraId="3B8248A2" w14:textId="593FADBF" w:rsidR="00696F29" w:rsidRPr="00F44670" w:rsidRDefault="00696F29" w:rsidP="00252FD2">
            <w:pPr>
              <w:pStyle w:val="Sangradetextonormal"/>
              <w:ind w:left="0"/>
              <w:jc w:val="both"/>
              <w:rPr>
                <w:sz w:val="22"/>
                <w:szCs w:val="22"/>
                <w:lang w:val="es-ES" w:eastAsia="es-ES"/>
              </w:rPr>
            </w:pPr>
            <w:r w:rsidRPr="00F44670">
              <w:rPr>
                <w:sz w:val="22"/>
                <w:szCs w:val="22"/>
                <w:lang w:val="es-ES" w:eastAsia="es-ES"/>
              </w:rPr>
              <w:t xml:space="preserve">Hasta V/N </w:t>
            </w:r>
            <w:r w:rsidR="00252FD2" w:rsidRPr="00F44670">
              <w:rPr>
                <w:sz w:val="22"/>
                <w:szCs w:val="22"/>
                <w:lang w:val="es-ES" w:eastAsia="es-ES"/>
              </w:rPr>
              <w:t>U</w:t>
            </w:r>
            <w:r w:rsidRPr="00F44670">
              <w:rPr>
                <w:sz w:val="22"/>
                <w:szCs w:val="22"/>
                <w:lang w:val="es-ES" w:eastAsia="es-ES"/>
              </w:rPr>
              <w:t>$</w:t>
            </w:r>
            <w:r w:rsidR="00252FD2" w:rsidRPr="00F44670">
              <w:rPr>
                <w:sz w:val="22"/>
                <w:szCs w:val="22"/>
                <w:lang w:val="es-ES" w:eastAsia="es-ES"/>
              </w:rPr>
              <w:t>S</w:t>
            </w:r>
            <w:r w:rsidRPr="00F44670">
              <w:rPr>
                <w:sz w:val="22"/>
                <w:szCs w:val="22"/>
                <w:lang w:val="es-ES" w:eastAsia="es-ES"/>
              </w:rPr>
              <w:t xml:space="preserve"> </w:t>
            </w:r>
            <w:r w:rsidR="00107723">
              <w:rPr>
                <w:sz w:val="22"/>
                <w:szCs w:val="22"/>
                <w:lang w:val="es-ES" w:eastAsia="es-ES"/>
              </w:rPr>
              <w:t>10.000.000</w:t>
            </w:r>
            <w:r w:rsidRPr="00F44670">
              <w:rPr>
                <w:sz w:val="22"/>
                <w:szCs w:val="22"/>
                <w:lang w:val="es-ES" w:eastAsia="es-ES"/>
              </w:rPr>
              <w:t xml:space="preserve"> (</w:t>
            </w:r>
            <w:r w:rsidR="00252FD2" w:rsidRPr="00F44670">
              <w:rPr>
                <w:sz w:val="22"/>
                <w:szCs w:val="22"/>
                <w:lang w:val="es-ES" w:eastAsia="es-ES"/>
              </w:rPr>
              <w:t xml:space="preserve">Dólares </w:t>
            </w:r>
            <w:r w:rsidR="00107723">
              <w:rPr>
                <w:sz w:val="22"/>
                <w:szCs w:val="22"/>
                <w:lang w:val="es-ES" w:eastAsia="es-ES"/>
              </w:rPr>
              <w:t>diez millones</w:t>
            </w:r>
            <w:r w:rsidRPr="00F44670">
              <w:rPr>
                <w:sz w:val="22"/>
                <w:szCs w:val="22"/>
                <w:lang w:val="es-ES" w:eastAsia="es-ES"/>
              </w:rPr>
              <w:t>)</w:t>
            </w:r>
            <w:r w:rsidR="00D3496C">
              <w:rPr>
                <w:sz w:val="22"/>
                <w:szCs w:val="22"/>
                <w:lang w:val="es-ES" w:eastAsia="es-ES"/>
              </w:rPr>
              <w:t xml:space="preserve"> ampliables por hasta </w:t>
            </w:r>
            <w:r w:rsidR="00D3496C" w:rsidRPr="00F44670">
              <w:rPr>
                <w:sz w:val="22"/>
                <w:szCs w:val="22"/>
                <w:lang w:val="es-ES" w:eastAsia="es-ES"/>
              </w:rPr>
              <w:t xml:space="preserve">U$S </w:t>
            </w:r>
            <w:r w:rsidR="00107723">
              <w:rPr>
                <w:sz w:val="22"/>
                <w:szCs w:val="22"/>
                <w:lang w:val="es-ES" w:eastAsia="es-ES"/>
              </w:rPr>
              <w:t>20.000.000</w:t>
            </w:r>
            <w:r w:rsidR="00D3496C" w:rsidRPr="00F44670">
              <w:rPr>
                <w:sz w:val="22"/>
                <w:szCs w:val="22"/>
                <w:lang w:val="es-ES" w:eastAsia="es-ES"/>
              </w:rPr>
              <w:t xml:space="preserve"> (Dólares </w:t>
            </w:r>
            <w:r w:rsidR="00107723">
              <w:rPr>
                <w:sz w:val="22"/>
                <w:szCs w:val="22"/>
                <w:lang w:val="es-ES" w:eastAsia="es-ES"/>
              </w:rPr>
              <w:t>veinte millones</w:t>
            </w:r>
            <w:r w:rsidR="00D3496C" w:rsidRPr="00F44670">
              <w:rPr>
                <w:sz w:val="22"/>
                <w:szCs w:val="22"/>
                <w:lang w:val="es-ES" w:eastAsia="es-ES"/>
              </w:rPr>
              <w:t>)</w:t>
            </w:r>
            <w:r w:rsidR="00D3496C">
              <w:rPr>
                <w:sz w:val="22"/>
                <w:szCs w:val="22"/>
                <w:lang w:val="es-ES" w:eastAsia="es-ES"/>
              </w:rPr>
              <w:t>,</w:t>
            </w:r>
            <w:r w:rsidR="00670CEA">
              <w:rPr>
                <w:sz w:val="22"/>
                <w:szCs w:val="22"/>
                <w:lang w:val="es-ES" w:eastAsia="es-ES"/>
              </w:rPr>
              <w:t xml:space="preserve"> </w:t>
            </w:r>
            <w:r w:rsidR="00D57B9F">
              <w:rPr>
                <w:sz w:val="22"/>
                <w:szCs w:val="22"/>
                <w:lang w:val="es-ES" w:eastAsia="es-ES"/>
              </w:rPr>
              <w:t xml:space="preserve">en forma individual o </w:t>
            </w:r>
            <w:r w:rsidR="00D57B9F">
              <w:rPr>
                <w:sz w:val="22"/>
                <w:szCs w:val="22"/>
                <w:lang w:val="es-ES" w:eastAsia="es-ES"/>
              </w:rPr>
              <w:lastRenderedPageBreak/>
              <w:t>conjunta entre</w:t>
            </w:r>
            <w:r w:rsidR="00670CEA">
              <w:rPr>
                <w:sz w:val="22"/>
                <w:szCs w:val="22"/>
                <w:lang w:val="es-ES" w:eastAsia="es-ES"/>
              </w:rPr>
              <w:t xml:space="preserve"> las ON Serie II Clase A y las ON Serie II Clase B</w:t>
            </w:r>
            <w:r w:rsidR="00252FD2" w:rsidRPr="00F44670">
              <w:rPr>
                <w:sz w:val="22"/>
                <w:szCs w:val="22"/>
                <w:lang w:val="es-ES" w:eastAsia="es-ES"/>
              </w:rPr>
              <w:t xml:space="preserve">. </w:t>
            </w:r>
            <w:r w:rsidR="002F61BB" w:rsidRPr="00F44670">
              <w:rPr>
                <w:sz w:val="22"/>
                <w:szCs w:val="22"/>
                <w:lang w:val="es-ES" w:eastAsia="es-ES"/>
              </w:rPr>
              <w:t>El</w:t>
            </w:r>
            <w:r w:rsidR="00252FD2" w:rsidRPr="00F44670">
              <w:rPr>
                <w:sz w:val="22"/>
                <w:szCs w:val="22"/>
                <w:lang w:val="es-ES" w:eastAsia="es-ES"/>
              </w:rPr>
              <w:t xml:space="preserve"> monto definitivo de la emisión será determinado con anterioridad a la Fecha de </w:t>
            </w:r>
            <w:r w:rsidR="005C3CBD" w:rsidRPr="00F44670">
              <w:rPr>
                <w:sz w:val="22"/>
                <w:szCs w:val="22"/>
                <w:lang w:val="es-ES" w:eastAsia="es-ES"/>
              </w:rPr>
              <w:t>Emisión</w:t>
            </w:r>
            <w:r w:rsidR="004B74C2">
              <w:rPr>
                <w:sz w:val="22"/>
                <w:szCs w:val="22"/>
                <w:lang w:val="es-ES" w:eastAsia="es-ES"/>
              </w:rPr>
              <w:t xml:space="preserve"> y Liquidación</w:t>
            </w:r>
            <w:r w:rsidR="00252FD2" w:rsidRPr="00F44670">
              <w:rPr>
                <w:sz w:val="22"/>
                <w:szCs w:val="22"/>
                <w:lang w:val="es-ES" w:eastAsia="es-ES"/>
              </w:rPr>
              <w:t xml:space="preserve"> e informado en el aviso de resultado de colocación, el que se publicará con anterioridad a la Fecha de Emis</w:t>
            </w:r>
            <w:r w:rsidR="00213E3B" w:rsidRPr="00F44670">
              <w:rPr>
                <w:sz w:val="22"/>
                <w:szCs w:val="22"/>
                <w:lang w:val="es-ES" w:eastAsia="es-ES"/>
              </w:rPr>
              <w:t>i</w:t>
            </w:r>
            <w:r w:rsidR="00252FD2" w:rsidRPr="00F44670">
              <w:rPr>
                <w:sz w:val="22"/>
                <w:szCs w:val="22"/>
                <w:lang w:val="es-ES" w:eastAsia="es-ES"/>
              </w:rPr>
              <w:t>ón</w:t>
            </w:r>
            <w:r w:rsidR="004B74C2">
              <w:rPr>
                <w:sz w:val="22"/>
                <w:szCs w:val="22"/>
                <w:lang w:val="es-ES" w:eastAsia="es-ES"/>
              </w:rPr>
              <w:t xml:space="preserve"> y Liquidación</w:t>
            </w:r>
            <w:r w:rsidR="00252FD2" w:rsidRPr="00F44670">
              <w:rPr>
                <w:sz w:val="22"/>
                <w:szCs w:val="22"/>
                <w:lang w:val="es-ES" w:eastAsia="es-ES"/>
              </w:rPr>
              <w:t xml:space="preserve"> (el “Aviso de Resultado de Colocación”).</w:t>
            </w:r>
            <w:r w:rsidR="008060C9">
              <w:rPr>
                <w:sz w:val="22"/>
                <w:szCs w:val="22"/>
                <w:lang w:val="es-ES" w:eastAsia="es-ES"/>
              </w:rPr>
              <w:t xml:space="preserve"> </w:t>
            </w:r>
            <w:r w:rsidR="008060C9" w:rsidRPr="008060C9">
              <w:rPr>
                <w:sz w:val="22"/>
                <w:szCs w:val="22"/>
                <w:lang w:val="es-ES" w:eastAsia="es-ES"/>
              </w:rPr>
              <w:t>Dicha determinación será efectuada sobre la base del resultado del procedimiento de adjudicación de las Obligaciones Negociables detallado en la sección “Plan de Distribución” del presente Suplemento de Prospecto.</w:t>
            </w:r>
          </w:p>
          <w:p w14:paraId="10295282" w14:textId="3BB355BB" w:rsidR="00696F29" w:rsidRPr="00F44670" w:rsidRDefault="00696F29" w:rsidP="00F3428B">
            <w:pPr>
              <w:pStyle w:val="Sangradetextonormal"/>
              <w:ind w:left="0"/>
              <w:rPr>
                <w:sz w:val="22"/>
                <w:szCs w:val="22"/>
                <w:lang w:val="es-ES" w:eastAsia="es-ES"/>
              </w:rPr>
            </w:pPr>
          </w:p>
        </w:tc>
      </w:tr>
      <w:tr w:rsidR="002F61BB" w:rsidRPr="00F44670" w14:paraId="5936138A" w14:textId="1553C350" w:rsidTr="00B758A4">
        <w:tc>
          <w:tcPr>
            <w:tcW w:w="2935" w:type="dxa"/>
            <w:shd w:val="clear" w:color="auto" w:fill="FFFFFF"/>
          </w:tcPr>
          <w:p w14:paraId="20007C87" w14:textId="08A2EC05" w:rsidR="002F61BB" w:rsidRPr="00F44670" w:rsidRDefault="002F61BB" w:rsidP="00EB519F">
            <w:pPr>
              <w:pStyle w:val="Sangradetextonormal"/>
              <w:ind w:left="6"/>
              <w:rPr>
                <w:b/>
                <w:sz w:val="22"/>
                <w:szCs w:val="22"/>
                <w:lang w:val="es-ES" w:eastAsia="es-ES"/>
              </w:rPr>
            </w:pPr>
            <w:r w:rsidRPr="00F44670">
              <w:rPr>
                <w:b/>
                <w:sz w:val="22"/>
                <w:szCs w:val="22"/>
                <w:lang w:val="es-ES" w:eastAsia="es-ES"/>
              </w:rPr>
              <w:lastRenderedPageBreak/>
              <w:t xml:space="preserve">Moneda de </w:t>
            </w:r>
            <w:r w:rsidR="00EB519F">
              <w:rPr>
                <w:b/>
                <w:sz w:val="22"/>
                <w:szCs w:val="22"/>
                <w:lang w:val="es-ES" w:eastAsia="es-ES"/>
              </w:rPr>
              <w:t>denominación</w:t>
            </w:r>
          </w:p>
        </w:tc>
        <w:tc>
          <w:tcPr>
            <w:tcW w:w="6415" w:type="dxa"/>
            <w:shd w:val="clear" w:color="auto" w:fill="FFFFFF"/>
          </w:tcPr>
          <w:p w14:paraId="025DD78E" w14:textId="77777777" w:rsidR="002F61BB" w:rsidRDefault="00EB519F" w:rsidP="003C03AE">
            <w:pPr>
              <w:pStyle w:val="Sangradetextonormal"/>
              <w:ind w:left="0"/>
              <w:jc w:val="both"/>
              <w:rPr>
                <w:sz w:val="22"/>
                <w:szCs w:val="22"/>
                <w:lang w:val="es-ES" w:eastAsia="es-ES"/>
              </w:rPr>
            </w:pPr>
            <w:r>
              <w:rPr>
                <w:sz w:val="22"/>
                <w:szCs w:val="22"/>
                <w:lang w:val="es-ES" w:eastAsia="es-ES"/>
              </w:rPr>
              <w:t>Dólares</w:t>
            </w:r>
          </w:p>
          <w:p w14:paraId="4DB5F99E" w14:textId="380DBECF" w:rsidR="00EA55E9" w:rsidRPr="00F44670" w:rsidRDefault="00EA55E9" w:rsidP="003C03AE">
            <w:pPr>
              <w:pStyle w:val="Sangradetextonormal"/>
              <w:ind w:left="0"/>
              <w:jc w:val="both"/>
              <w:rPr>
                <w:sz w:val="22"/>
                <w:szCs w:val="22"/>
                <w:lang w:val="es-ES" w:eastAsia="es-ES"/>
              </w:rPr>
            </w:pPr>
          </w:p>
        </w:tc>
      </w:tr>
      <w:tr w:rsidR="002F61BB" w:rsidRPr="00F44670" w14:paraId="6CF0AA3D" w14:textId="481BD147" w:rsidTr="00B758A4">
        <w:tc>
          <w:tcPr>
            <w:tcW w:w="2935" w:type="dxa"/>
            <w:shd w:val="clear" w:color="auto" w:fill="FFFFFF"/>
          </w:tcPr>
          <w:p w14:paraId="19696B42" w14:textId="3BECD402" w:rsidR="002F61BB" w:rsidRPr="00F44670" w:rsidRDefault="004F07CA" w:rsidP="009F2917">
            <w:pPr>
              <w:pStyle w:val="Sangradetextonormal"/>
              <w:ind w:left="6"/>
              <w:rPr>
                <w:b/>
                <w:sz w:val="22"/>
                <w:szCs w:val="22"/>
                <w:lang w:val="es-ES" w:eastAsia="es-ES"/>
              </w:rPr>
            </w:pPr>
            <w:r>
              <w:rPr>
                <w:b/>
                <w:sz w:val="22"/>
                <w:szCs w:val="22"/>
                <w:lang w:val="es-ES" w:eastAsia="es-ES"/>
              </w:rPr>
              <w:t xml:space="preserve">Denominación </w:t>
            </w:r>
            <w:r w:rsidR="00F925B7">
              <w:rPr>
                <w:b/>
                <w:sz w:val="22"/>
                <w:szCs w:val="22"/>
                <w:lang w:val="es-ES" w:eastAsia="es-ES"/>
              </w:rPr>
              <w:t>Mínima</w:t>
            </w:r>
          </w:p>
        </w:tc>
        <w:tc>
          <w:tcPr>
            <w:tcW w:w="6415" w:type="dxa"/>
            <w:shd w:val="clear" w:color="auto" w:fill="FFFFFF"/>
          </w:tcPr>
          <w:p w14:paraId="78132987" w14:textId="77777777" w:rsidR="002F61BB" w:rsidRDefault="004F07CA" w:rsidP="008A6AC0">
            <w:pPr>
              <w:pStyle w:val="Sangradetextonormal"/>
              <w:ind w:left="0"/>
              <w:jc w:val="both"/>
              <w:rPr>
                <w:sz w:val="22"/>
                <w:szCs w:val="22"/>
                <w:lang w:val="es-ES" w:eastAsia="es-ES"/>
              </w:rPr>
            </w:pPr>
            <w:r w:rsidRPr="008A6AC0">
              <w:rPr>
                <w:sz w:val="22"/>
                <w:szCs w:val="22"/>
                <w:lang w:val="es-ES" w:eastAsia="es-ES"/>
              </w:rPr>
              <w:t>Las Obligaciones Negociables Serie II tendrán una denominación mínima de U$S1 (Dólares uno) y múltiplos de U$S1 (Dólares uno) superiores a dicho monto.</w:t>
            </w:r>
          </w:p>
          <w:p w14:paraId="7C448D61" w14:textId="68F0C71A" w:rsidR="00EA55E9" w:rsidRPr="00F44670" w:rsidRDefault="00EA55E9" w:rsidP="008A6AC0">
            <w:pPr>
              <w:pStyle w:val="Sangradetextonormal"/>
              <w:ind w:left="0"/>
              <w:jc w:val="both"/>
              <w:rPr>
                <w:sz w:val="22"/>
                <w:szCs w:val="22"/>
                <w:lang w:val="es-ES" w:eastAsia="es-ES"/>
              </w:rPr>
            </w:pPr>
          </w:p>
        </w:tc>
      </w:tr>
      <w:tr w:rsidR="004F07CA" w:rsidRPr="00F44670" w14:paraId="74A5FE2E" w14:textId="41FAA2FE" w:rsidTr="00B758A4">
        <w:tc>
          <w:tcPr>
            <w:tcW w:w="2935" w:type="dxa"/>
            <w:shd w:val="clear" w:color="auto" w:fill="FFFFFF"/>
          </w:tcPr>
          <w:p w14:paraId="67BFC47E" w14:textId="756DFE0D" w:rsidR="004F07CA" w:rsidRPr="00F44670" w:rsidRDefault="004F07CA" w:rsidP="004F07CA">
            <w:pPr>
              <w:pStyle w:val="Sangradetextonormal"/>
              <w:ind w:left="6"/>
              <w:rPr>
                <w:b/>
                <w:sz w:val="22"/>
                <w:szCs w:val="22"/>
                <w:lang w:val="es-ES" w:eastAsia="es-ES"/>
              </w:rPr>
            </w:pPr>
            <w:r w:rsidRPr="00F44670">
              <w:rPr>
                <w:b/>
                <w:sz w:val="22"/>
                <w:szCs w:val="22"/>
                <w:lang w:val="es-ES" w:eastAsia="es-ES"/>
              </w:rPr>
              <w:t xml:space="preserve">Monto </w:t>
            </w:r>
            <w:r w:rsidR="00F925B7">
              <w:rPr>
                <w:b/>
                <w:sz w:val="22"/>
                <w:szCs w:val="22"/>
                <w:lang w:val="es-ES" w:eastAsia="es-ES"/>
              </w:rPr>
              <w:t>M</w:t>
            </w:r>
            <w:r w:rsidR="00F925B7" w:rsidRPr="00F44670">
              <w:rPr>
                <w:b/>
                <w:sz w:val="22"/>
                <w:szCs w:val="22"/>
                <w:lang w:val="es-ES" w:eastAsia="es-ES"/>
              </w:rPr>
              <w:t xml:space="preserve">ínimo </w:t>
            </w:r>
            <w:r w:rsidRPr="00F44670">
              <w:rPr>
                <w:b/>
                <w:sz w:val="22"/>
                <w:szCs w:val="22"/>
                <w:lang w:val="es-ES" w:eastAsia="es-ES"/>
              </w:rPr>
              <w:t xml:space="preserve">de </w:t>
            </w:r>
            <w:r w:rsidR="00F925B7">
              <w:rPr>
                <w:b/>
                <w:sz w:val="22"/>
                <w:szCs w:val="22"/>
                <w:lang w:val="es-ES" w:eastAsia="es-ES"/>
              </w:rPr>
              <w:t>S</w:t>
            </w:r>
            <w:r w:rsidR="00F925B7" w:rsidRPr="00F44670">
              <w:rPr>
                <w:b/>
                <w:sz w:val="22"/>
                <w:szCs w:val="22"/>
                <w:lang w:val="es-ES" w:eastAsia="es-ES"/>
              </w:rPr>
              <w:t>uscripción</w:t>
            </w:r>
          </w:p>
        </w:tc>
        <w:tc>
          <w:tcPr>
            <w:tcW w:w="6415" w:type="dxa"/>
            <w:shd w:val="clear" w:color="auto" w:fill="FFFFFF"/>
          </w:tcPr>
          <w:p w14:paraId="75A2BC60" w14:textId="77777777" w:rsidR="004F07CA" w:rsidRDefault="004F07CA" w:rsidP="004B74C2">
            <w:pPr>
              <w:pStyle w:val="Sangradetextonormal"/>
              <w:ind w:left="0"/>
              <w:jc w:val="both"/>
              <w:rPr>
                <w:sz w:val="22"/>
                <w:szCs w:val="22"/>
                <w:lang w:val="es-ES" w:eastAsia="es-ES"/>
              </w:rPr>
            </w:pPr>
            <w:r w:rsidRPr="008A6AC0">
              <w:rPr>
                <w:sz w:val="22"/>
                <w:szCs w:val="22"/>
                <w:lang w:val="es-ES" w:eastAsia="es-ES"/>
              </w:rPr>
              <w:t xml:space="preserve">El monto mínimo de suscripción de las Obligaciones Negociables </w:t>
            </w:r>
            <w:r w:rsidR="004B74C2">
              <w:rPr>
                <w:sz w:val="22"/>
                <w:szCs w:val="22"/>
                <w:lang w:val="es-ES" w:eastAsia="es-ES"/>
              </w:rPr>
              <w:t xml:space="preserve">Serie II </w:t>
            </w:r>
            <w:r w:rsidRPr="008A6AC0">
              <w:rPr>
                <w:sz w:val="22"/>
                <w:szCs w:val="22"/>
                <w:lang w:val="es-ES" w:eastAsia="es-ES"/>
              </w:rPr>
              <w:t>será de U$S 300 (Dólares</w:t>
            </w:r>
            <w:r w:rsidR="004B74C2">
              <w:rPr>
                <w:sz w:val="22"/>
                <w:szCs w:val="22"/>
                <w:lang w:val="es-ES" w:eastAsia="es-ES"/>
              </w:rPr>
              <w:t xml:space="preserve"> </w:t>
            </w:r>
            <w:r w:rsidRPr="008A6AC0">
              <w:rPr>
                <w:sz w:val="22"/>
                <w:szCs w:val="22"/>
                <w:lang w:val="es-ES" w:eastAsia="es-ES"/>
              </w:rPr>
              <w:t xml:space="preserve">trescientos) (el “Monto Mínimo de Suscripción”) y múltiplos de U$S1 (Dólares uno) por encima de dicho monto. </w:t>
            </w:r>
          </w:p>
          <w:p w14:paraId="42E209FD" w14:textId="4F366A8E" w:rsidR="00EA55E9" w:rsidRPr="00F44670" w:rsidRDefault="00EA55E9" w:rsidP="004B74C2">
            <w:pPr>
              <w:pStyle w:val="Sangradetextonormal"/>
              <w:ind w:left="0"/>
              <w:jc w:val="both"/>
              <w:rPr>
                <w:sz w:val="22"/>
                <w:szCs w:val="22"/>
                <w:lang w:val="es-ES" w:eastAsia="es-ES"/>
              </w:rPr>
            </w:pPr>
          </w:p>
        </w:tc>
      </w:tr>
      <w:tr w:rsidR="004F07CA" w:rsidRPr="00F44670" w14:paraId="397C1AA2" w14:textId="6B08C0B0" w:rsidTr="00B758A4">
        <w:tc>
          <w:tcPr>
            <w:tcW w:w="2935" w:type="dxa"/>
            <w:shd w:val="clear" w:color="auto" w:fill="FFFFFF"/>
          </w:tcPr>
          <w:p w14:paraId="1F1531A9" w14:textId="13653159" w:rsidR="004F07CA" w:rsidRPr="00F44670" w:rsidRDefault="004F07CA" w:rsidP="009F2917">
            <w:pPr>
              <w:pStyle w:val="Sangradetextonormal"/>
              <w:ind w:left="6"/>
              <w:rPr>
                <w:b/>
                <w:sz w:val="22"/>
                <w:szCs w:val="22"/>
                <w:lang w:val="es-ES" w:eastAsia="es-ES"/>
              </w:rPr>
            </w:pPr>
            <w:r w:rsidRPr="008A6AC0">
              <w:rPr>
                <w:b/>
                <w:sz w:val="22"/>
                <w:szCs w:val="22"/>
                <w:lang w:val="es-ES" w:eastAsia="es-ES"/>
              </w:rPr>
              <w:t xml:space="preserve">Unidad </w:t>
            </w:r>
            <w:r w:rsidR="00F925B7">
              <w:rPr>
                <w:b/>
                <w:sz w:val="22"/>
                <w:szCs w:val="22"/>
                <w:lang w:val="es-ES" w:eastAsia="es-ES"/>
              </w:rPr>
              <w:t>M</w:t>
            </w:r>
            <w:r w:rsidR="00F925B7" w:rsidRPr="008A6AC0">
              <w:rPr>
                <w:b/>
                <w:sz w:val="22"/>
                <w:szCs w:val="22"/>
                <w:lang w:val="es-ES" w:eastAsia="es-ES"/>
              </w:rPr>
              <w:t xml:space="preserve">ínima </w:t>
            </w:r>
            <w:r w:rsidRPr="008A6AC0">
              <w:rPr>
                <w:b/>
                <w:sz w:val="22"/>
                <w:szCs w:val="22"/>
                <w:lang w:val="es-ES" w:eastAsia="es-ES"/>
              </w:rPr>
              <w:t xml:space="preserve">de </w:t>
            </w:r>
            <w:r w:rsidR="00F925B7">
              <w:rPr>
                <w:b/>
                <w:sz w:val="22"/>
                <w:szCs w:val="22"/>
                <w:lang w:val="es-ES" w:eastAsia="es-ES"/>
              </w:rPr>
              <w:t>N</w:t>
            </w:r>
            <w:r w:rsidR="00F925B7" w:rsidRPr="008A6AC0">
              <w:rPr>
                <w:b/>
                <w:sz w:val="22"/>
                <w:szCs w:val="22"/>
                <w:lang w:val="es-ES" w:eastAsia="es-ES"/>
              </w:rPr>
              <w:t>egociación</w:t>
            </w:r>
          </w:p>
        </w:tc>
        <w:tc>
          <w:tcPr>
            <w:tcW w:w="6415" w:type="dxa"/>
            <w:shd w:val="clear" w:color="auto" w:fill="FFFFFF"/>
          </w:tcPr>
          <w:p w14:paraId="311E66A3" w14:textId="2A604A73" w:rsidR="004F07CA" w:rsidRDefault="004F07CA" w:rsidP="008A6AC0">
            <w:pPr>
              <w:pStyle w:val="Sangradetextonormal"/>
              <w:ind w:left="0"/>
              <w:jc w:val="both"/>
              <w:rPr>
                <w:sz w:val="22"/>
                <w:szCs w:val="22"/>
                <w:lang w:val="es-ES" w:eastAsia="es-ES"/>
              </w:rPr>
            </w:pPr>
            <w:r w:rsidRPr="008A6AC0">
              <w:rPr>
                <w:sz w:val="22"/>
                <w:szCs w:val="22"/>
                <w:lang w:val="es-ES" w:eastAsia="es-ES"/>
              </w:rPr>
              <w:t>La unidad mínima de negociación de las Obligaciones Negociables Serie II será de U$S 1 (Dólares uno).</w:t>
            </w:r>
          </w:p>
          <w:p w14:paraId="0B1ED91E" w14:textId="28E9EC63" w:rsidR="00EA55E9" w:rsidRPr="008A6AC0" w:rsidRDefault="00EA55E9" w:rsidP="008A6AC0">
            <w:pPr>
              <w:pStyle w:val="Sangradetextonormal"/>
              <w:ind w:left="0"/>
              <w:jc w:val="both"/>
              <w:rPr>
                <w:sz w:val="22"/>
                <w:szCs w:val="22"/>
                <w:lang w:val="es-ES" w:eastAsia="es-ES"/>
              </w:rPr>
            </w:pPr>
          </w:p>
        </w:tc>
      </w:tr>
      <w:tr w:rsidR="004F07CA" w:rsidRPr="00F44670" w14:paraId="3F18E496" w14:textId="77777777" w:rsidTr="00B758A4">
        <w:tc>
          <w:tcPr>
            <w:tcW w:w="2935" w:type="dxa"/>
            <w:shd w:val="clear" w:color="auto" w:fill="FFFFFF"/>
          </w:tcPr>
          <w:p w14:paraId="69167E4F" w14:textId="2C22E426" w:rsidR="004F07CA" w:rsidRPr="00F44670" w:rsidRDefault="004F07CA" w:rsidP="004F07CA">
            <w:pPr>
              <w:pStyle w:val="Sangradetextonormal"/>
              <w:ind w:left="6"/>
              <w:rPr>
                <w:b/>
                <w:sz w:val="22"/>
                <w:szCs w:val="22"/>
                <w:lang w:val="es-ES" w:eastAsia="es-ES"/>
              </w:rPr>
            </w:pPr>
            <w:r w:rsidRPr="00F44670">
              <w:rPr>
                <w:b/>
                <w:sz w:val="22"/>
                <w:szCs w:val="22"/>
                <w:lang w:val="es-ES" w:eastAsia="es-ES"/>
              </w:rPr>
              <w:t xml:space="preserve">Precio de </w:t>
            </w:r>
            <w:r w:rsidR="00F925B7">
              <w:rPr>
                <w:b/>
                <w:sz w:val="22"/>
                <w:szCs w:val="22"/>
                <w:lang w:val="es-ES" w:eastAsia="es-ES"/>
              </w:rPr>
              <w:t>E</w:t>
            </w:r>
            <w:r w:rsidR="00F925B7" w:rsidRPr="00F44670">
              <w:rPr>
                <w:b/>
                <w:sz w:val="22"/>
                <w:szCs w:val="22"/>
                <w:lang w:val="es-ES" w:eastAsia="es-ES"/>
              </w:rPr>
              <w:t xml:space="preserve">misión </w:t>
            </w:r>
          </w:p>
        </w:tc>
        <w:tc>
          <w:tcPr>
            <w:tcW w:w="6415" w:type="dxa"/>
            <w:shd w:val="clear" w:color="auto" w:fill="FFFFFF"/>
          </w:tcPr>
          <w:p w14:paraId="4EE6F10C" w14:textId="77777777" w:rsidR="004F07CA" w:rsidRDefault="004F07CA" w:rsidP="004F07CA">
            <w:pPr>
              <w:pStyle w:val="Sangradetextonormal"/>
              <w:ind w:left="0"/>
              <w:jc w:val="both"/>
              <w:rPr>
                <w:sz w:val="22"/>
                <w:szCs w:val="22"/>
                <w:lang w:val="es-ES" w:eastAsia="es-ES"/>
              </w:rPr>
            </w:pPr>
            <w:r w:rsidRPr="00F44670">
              <w:rPr>
                <w:sz w:val="22"/>
                <w:szCs w:val="22"/>
                <w:lang w:val="es-ES" w:eastAsia="es-ES"/>
              </w:rPr>
              <w:t>100% del valor nominal</w:t>
            </w:r>
          </w:p>
          <w:p w14:paraId="1EF88527" w14:textId="511C8A00" w:rsidR="00EA55E9" w:rsidRPr="00F44670" w:rsidRDefault="00EA55E9" w:rsidP="004F07CA">
            <w:pPr>
              <w:pStyle w:val="Sangradetextonormal"/>
              <w:ind w:left="0"/>
              <w:jc w:val="both"/>
              <w:rPr>
                <w:sz w:val="22"/>
                <w:szCs w:val="22"/>
                <w:lang w:val="es-ES" w:eastAsia="es-ES"/>
              </w:rPr>
            </w:pPr>
          </w:p>
        </w:tc>
      </w:tr>
      <w:tr w:rsidR="004F07CA" w:rsidRPr="00F44670" w14:paraId="53BE8B27" w14:textId="77777777" w:rsidTr="00B758A4">
        <w:tc>
          <w:tcPr>
            <w:tcW w:w="2935" w:type="dxa"/>
            <w:shd w:val="clear" w:color="auto" w:fill="FFFFFF"/>
          </w:tcPr>
          <w:p w14:paraId="1CDA149B" w14:textId="77777777" w:rsidR="004F07CA" w:rsidRPr="00F44670" w:rsidRDefault="004F07CA" w:rsidP="004B74C2">
            <w:pPr>
              <w:pStyle w:val="Sangradetextonormal"/>
              <w:ind w:left="6"/>
              <w:rPr>
                <w:b/>
                <w:sz w:val="22"/>
                <w:szCs w:val="22"/>
                <w:lang w:val="es-ES"/>
              </w:rPr>
            </w:pPr>
            <w:r w:rsidRPr="00F44670">
              <w:rPr>
                <w:b/>
                <w:sz w:val="22"/>
                <w:szCs w:val="22"/>
                <w:lang w:val="es-ES"/>
              </w:rPr>
              <w:t>Forma de las O</w:t>
            </w:r>
            <w:r w:rsidR="004B74C2">
              <w:rPr>
                <w:b/>
                <w:sz w:val="22"/>
                <w:szCs w:val="22"/>
                <w:lang w:val="es-ES"/>
              </w:rPr>
              <w:t xml:space="preserve">bligaciones </w:t>
            </w:r>
            <w:r w:rsidRPr="00F44670">
              <w:rPr>
                <w:b/>
                <w:sz w:val="22"/>
                <w:szCs w:val="22"/>
                <w:lang w:val="es-ES"/>
              </w:rPr>
              <w:t>N</w:t>
            </w:r>
            <w:r w:rsidR="004B74C2">
              <w:rPr>
                <w:b/>
                <w:sz w:val="22"/>
                <w:szCs w:val="22"/>
                <w:lang w:val="es-ES"/>
              </w:rPr>
              <w:t xml:space="preserve">egociables </w:t>
            </w:r>
            <w:r w:rsidRPr="00F44670">
              <w:rPr>
                <w:b/>
                <w:sz w:val="22"/>
                <w:szCs w:val="22"/>
                <w:lang w:val="es-ES"/>
              </w:rPr>
              <w:t>Serie II</w:t>
            </w:r>
          </w:p>
        </w:tc>
        <w:tc>
          <w:tcPr>
            <w:tcW w:w="6415" w:type="dxa"/>
            <w:shd w:val="clear" w:color="auto" w:fill="FFFFFF"/>
          </w:tcPr>
          <w:p w14:paraId="755535AD" w14:textId="7659E9BC" w:rsidR="004F07CA" w:rsidRPr="00F44670" w:rsidRDefault="004F07CA" w:rsidP="00B758A4">
            <w:pPr>
              <w:pStyle w:val="Sangradetextonormal"/>
              <w:ind w:left="1" w:hanging="1"/>
              <w:jc w:val="both"/>
              <w:rPr>
                <w:sz w:val="22"/>
                <w:szCs w:val="22"/>
                <w:lang w:val="es-ES" w:eastAsia="es-ES"/>
              </w:rPr>
            </w:pPr>
            <w:r w:rsidRPr="00F44670">
              <w:rPr>
                <w:sz w:val="22"/>
                <w:szCs w:val="22"/>
                <w:lang w:val="es-ES" w:eastAsia="es-ES"/>
              </w:rPr>
              <w:t>Las O</w:t>
            </w:r>
            <w:r w:rsidR="004B74C2">
              <w:rPr>
                <w:sz w:val="22"/>
                <w:szCs w:val="22"/>
                <w:lang w:val="es-ES" w:eastAsia="es-ES"/>
              </w:rPr>
              <w:t xml:space="preserve">bligaciones </w:t>
            </w:r>
            <w:r w:rsidRPr="00F44670">
              <w:rPr>
                <w:sz w:val="22"/>
                <w:szCs w:val="22"/>
                <w:lang w:val="es-ES" w:eastAsia="es-ES"/>
              </w:rPr>
              <w:t>N</w:t>
            </w:r>
            <w:r w:rsidR="004B74C2">
              <w:rPr>
                <w:sz w:val="22"/>
                <w:szCs w:val="22"/>
                <w:lang w:val="es-ES" w:eastAsia="es-ES"/>
              </w:rPr>
              <w:t xml:space="preserve">egociables </w:t>
            </w:r>
            <w:r w:rsidRPr="00F44670">
              <w:rPr>
                <w:sz w:val="22"/>
                <w:szCs w:val="22"/>
                <w:lang w:val="es-ES" w:eastAsia="es-ES"/>
              </w:rPr>
              <w:t>Serie II serán documentadas en un certificado global permanente</w:t>
            </w:r>
            <w:r w:rsidR="009F2917">
              <w:rPr>
                <w:sz w:val="22"/>
                <w:szCs w:val="22"/>
                <w:lang w:val="es-ES" w:eastAsia="es-ES"/>
              </w:rPr>
              <w:t xml:space="preserve"> – en su caso, uno por cada Clase -</w:t>
            </w:r>
            <w:r w:rsidRPr="00F44670">
              <w:rPr>
                <w:sz w:val="22"/>
                <w:szCs w:val="22"/>
                <w:lang w:val="es-ES" w:eastAsia="es-ES"/>
              </w:rPr>
              <w:t xml:space="preserve"> depositado en </w:t>
            </w:r>
            <w:r w:rsidR="008060C9" w:rsidRPr="008060C9">
              <w:rPr>
                <w:sz w:val="22"/>
                <w:szCs w:val="22"/>
                <w:lang w:val="es-ES" w:eastAsia="es-ES"/>
              </w:rPr>
              <w:t xml:space="preserve">el sistema de depósito colectivo que administra </w:t>
            </w:r>
            <w:r w:rsidRPr="00F44670">
              <w:rPr>
                <w:sz w:val="22"/>
                <w:szCs w:val="22"/>
                <w:lang w:val="es-ES" w:eastAsia="es-ES"/>
              </w:rPr>
              <w:t xml:space="preserve">Caja de Valores S.A. Los obligacionistas no tendrán derecho a exigir la entrega de láminas individuales, por </w:t>
            </w:r>
            <w:r w:rsidR="008060C9" w:rsidRPr="00F44670">
              <w:rPr>
                <w:sz w:val="22"/>
                <w:szCs w:val="22"/>
                <w:lang w:val="es-ES" w:eastAsia="es-ES"/>
              </w:rPr>
              <w:t xml:space="preserve">lo </w:t>
            </w:r>
            <w:r w:rsidR="008060C9" w:rsidRPr="008060C9">
              <w:rPr>
                <w:sz w:val="22"/>
                <w:szCs w:val="22"/>
                <w:lang w:val="es-ES" w:eastAsia="es-ES"/>
              </w:rPr>
              <w:t xml:space="preserve">cual la titularidad de las Obligaciones Negociables </w:t>
            </w:r>
            <w:r w:rsidR="008060C9">
              <w:rPr>
                <w:sz w:val="22"/>
                <w:szCs w:val="22"/>
                <w:lang w:val="es-ES" w:eastAsia="es-ES"/>
              </w:rPr>
              <w:t xml:space="preserve">Serie II </w:t>
            </w:r>
            <w:r w:rsidR="008060C9" w:rsidRPr="008060C9">
              <w:rPr>
                <w:sz w:val="22"/>
                <w:szCs w:val="22"/>
                <w:lang w:val="es-ES" w:eastAsia="es-ES"/>
              </w:rPr>
              <w:t xml:space="preserve">sólo podrá ser mantenida en el sistema de depósito colectivo administrado por Caja de Valores y su registro llevado por dicha entidad en la cuenta comitente de cada tenedor. Las transferencias de Obligaciones Negociables podrán realizarse dentro del sistema de depósito colectivo conforme a la </w:t>
            </w:r>
            <w:r w:rsidR="009F2917">
              <w:rPr>
                <w:sz w:val="22"/>
                <w:szCs w:val="22"/>
                <w:lang w:val="es-ES" w:eastAsia="es-ES"/>
              </w:rPr>
              <w:t>l</w:t>
            </w:r>
            <w:r w:rsidR="008060C9" w:rsidRPr="008060C9">
              <w:rPr>
                <w:sz w:val="22"/>
                <w:szCs w:val="22"/>
                <w:lang w:val="es-ES" w:eastAsia="es-ES"/>
              </w:rPr>
              <w:t>ey 20.643.</w:t>
            </w:r>
          </w:p>
          <w:p w14:paraId="60F936F7" w14:textId="77777777" w:rsidR="004F07CA" w:rsidRPr="00F44670" w:rsidRDefault="004F07CA" w:rsidP="004F07CA">
            <w:pPr>
              <w:pStyle w:val="Sangradetextonormal"/>
              <w:ind w:left="0"/>
              <w:jc w:val="both"/>
              <w:rPr>
                <w:sz w:val="22"/>
                <w:szCs w:val="22"/>
                <w:highlight w:val="yellow"/>
                <w:lang w:val="es-ES"/>
              </w:rPr>
            </w:pPr>
          </w:p>
        </w:tc>
      </w:tr>
      <w:tr w:rsidR="004F07CA" w:rsidRPr="00F44670" w14:paraId="28749E22" w14:textId="04F7A9CF" w:rsidTr="00B758A4">
        <w:tc>
          <w:tcPr>
            <w:tcW w:w="2935" w:type="dxa"/>
            <w:shd w:val="clear" w:color="auto" w:fill="FFFFFF"/>
          </w:tcPr>
          <w:p w14:paraId="4FED46CF" w14:textId="6BBDADE6" w:rsidR="004F07CA" w:rsidRPr="00F44670" w:rsidRDefault="00822BDB" w:rsidP="009F2917">
            <w:pPr>
              <w:pStyle w:val="Sangradetextonormal"/>
              <w:ind w:left="6"/>
              <w:rPr>
                <w:b/>
                <w:sz w:val="22"/>
                <w:szCs w:val="22"/>
                <w:lang w:val="es-ES"/>
              </w:rPr>
            </w:pPr>
            <w:r>
              <w:rPr>
                <w:b/>
                <w:sz w:val="22"/>
                <w:szCs w:val="22"/>
                <w:lang w:val="es-AR"/>
              </w:rPr>
              <w:t>Devengamiento</w:t>
            </w:r>
            <w:r w:rsidRPr="00822BDB">
              <w:rPr>
                <w:b/>
                <w:sz w:val="22"/>
                <w:szCs w:val="22"/>
              </w:rPr>
              <w:t xml:space="preserve"> </w:t>
            </w:r>
            <w:r w:rsidR="004F07CA" w:rsidRPr="00822BDB">
              <w:rPr>
                <w:b/>
                <w:sz w:val="22"/>
                <w:szCs w:val="22"/>
              </w:rPr>
              <w:t xml:space="preserve">de </w:t>
            </w:r>
            <w:r w:rsidR="00F925B7">
              <w:rPr>
                <w:b/>
                <w:sz w:val="22"/>
                <w:szCs w:val="22"/>
                <w:lang w:val="es-AR"/>
              </w:rPr>
              <w:t>I</w:t>
            </w:r>
            <w:r w:rsidR="00F925B7" w:rsidRPr="00822BDB">
              <w:rPr>
                <w:b/>
                <w:sz w:val="22"/>
                <w:szCs w:val="22"/>
              </w:rPr>
              <w:t>nterés</w:t>
            </w:r>
          </w:p>
        </w:tc>
        <w:tc>
          <w:tcPr>
            <w:tcW w:w="6415" w:type="dxa"/>
            <w:shd w:val="clear" w:color="auto" w:fill="FFFFFF"/>
          </w:tcPr>
          <w:p w14:paraId="28C6DFA1" w14:textId="322400E4" w:rsidR="004F07CA" w:rsidRPr="00F44670" w:rsidRDefault="004F07CA" w:rsidP="004F07CA">
            <w:pPr>
              <w:jc w:val="both"/>
              <w:rPr>
                <w:sz w:val="22"/>
                <w:szCs w:val="22"/>
              </w:rPr>
            </w:pPr>
            <w:r w:rsidRPr="00F44670">
              <w:rPr>
                <w:sz w:val="22"/>
                <w:szCs w:val="22"/>
                <w:lang w:val="es-ES_tradnl"/>
              </w:rPr>
              <w:t>Los intereses se devengarán entre la Fecha de Emisión</w:t>
            </w:r>
            <w:r w:rsidR="004B74C2">
              <w:rPr>
                <w:sz w:val="22"/>
                <w:szCs w:val="22"/>
                <w:lang w:val="es-ES_tradnl"/>
              </w:rPr>
              <w:t xml:space="preserve"> y Liquidación </w:t>
            </w:r>
            <w:r w:rsidRPr="00F44670">
              <w:rPr>
                <w:sz w:val="22"/>
                <w:szCs w:val="22"/>
                <w:lang w:val="es-ES_tradnl"/>
              </w:rPr>
              <w:t xml:space="preserve">(inclusive) y la primera Fecha de Pago de </w:t>
            </w:r>
            <w:r w:rsidR="001C4172">
              <w:rPr>
                <w:sz w:val="22"/>
                <w:szCs w:val="22"/>
                <w:lang w:val="es-ES_tradnl"/>
              </w:rPr>
              <w:t>Intereses (conforme este término se define más adelante)</w:t>
            </w:r>
            <w:r w:rsidRPr="00F44670">
              <w:rPr>
                <w:sz w:val="22"/>
                <w:szCs w:val="22"/>
                <w:lang w:val="es-ES_tradnl"/>
              </w:rPr>
              <w:t xml:space="preserve"> (exclusive) – para el primer servicio- </w:t>
            </w:r>
            <w:r w:rsidRPr="00F44670">
              <w:rPr>
                <w:sz w:val="22"/>
                <w:szCs w:val="22"/>
              </w:rPr>
              <w:t xml:space="preserve">y entre la última Fecha de Pago de </w:t>
            </w:r>
            <w:r w:rsidR="001C4172">
              <w:rPr>
                <w:sz w:val="22"/>
                <w:szCs w:val="22"/>
                <w:lang w:val="es-ES_tradnl"/>
              </w:rPr>
              <w:t>Intereses</w:t>
            </w:r>
            <w:r w:rsidRPr="00F44670">
              <w:rPr>
                <w:sz w:val="22"/>
                <w:szCs w:val="22"/>
              </w:rPr>
              <w:t xml:space="preserve"> (inclusive) y la próxima Fecha de Pago de </w:t>
            </w:r>
            <w:r w:rsidR="001C4172">
              <w:rPr>
                <w:sz w:val="22"/>
                <w:szCs w:val="22"/>
                <w:lang w:val="es-ES_tradnl"/>
              </w:rPr>
              <w:t>Intereses</w:t>
            </w:r>
            <w:r w:rsidRPr="00F44670">
              <w:rPr>
                <w:sz w:val="22"/>
                <w:szCs w:val="22"/>
              </w:rPr>
              <w:t xml:space="preserve"> (exclusive) -para los restantes (el “Período de Interés”)</w:t>
            </w:r>
            <w:r w:rsidR="00107723">
              <w:rPr>
                <w:sz w:val="22"/>
                <w:szCs w:val="22"/>
              </w:rPr>
              <w:t xml:space="preserve">. Los </w:t>
            </w:r>
            <w:r w:rsidR="00107723">
              <w:rPr>
                <w:sz w:val="22"/>
                <w:szCs w:val="22"/>
                <w:lang w:val="es-ES_tradnl"/>
              </w:rPr>
              <w:t>intereses se</w:t>
            </w:r>
            <w:r w:rsidRPr="00F44670">
              <w:rPr>
                <w:sz w:val="22"/>
                <w:szCs w:val="22"/>
                <w:lang w:val="es-ES_tradnl"/>
              </w:rPr>
              <w:t xml:space="preserve"> pagarán </w:t>
            </w:r>
            <w:r w:rsidR="00107723">
              <w:rPr>
                <w:sz w:val="22"/>
                <w:szCs w:val="22"/>
                <w:lang w:val="es-ES_tradnl"/>
              </w:rPr>
              <w:t xml:space="preserve">trimestralmente contados desde la Fecha de Emisión y Liquidación </w:t>
            </w:r>
            <w:r w:rsidRPr="00F44670">
              <w:rPr>
                <w:sz w:val="22"/>
                <w:szCs w:val="22"/>
                <w:lang w:val="es-ES_tradnl"/>
              </w:rPr>
              <w:t xml:space="preserve">en cada Fecha de Pago de </w:t>
            </w:r>
            <w:r w:rsidR="001C4172">
              <w:rPr>
                <w:sz w:val="22"/>
                <w:szCs w:val="22"/>
                <w:lang w:val="es-ES_tradnl"/>
              </w:rPr>
              <w:t>Intereses</w:t>
            </w:r>
            <w:r w:rsidR="00107723">
              <w:rPr>
                <w:sz w:val="22"/>
                <w:szCs w:val="22"/>
                <w:lang w:val="es-ES_tradnl"/>
              </w:rPr>
              <w:t xml:space="preserve"> indicada en el Cuadro de Pago de Servicios</w:t>
            </w:r>
            <w:r w:rsidRPr="00F44670">
              <w:rPr>
                <w:sz w:val="22"/>
                <w:szCs w:val="22"/>
                <w:lang w:val="es-ES_tradnl"/>
              </w:rPr>
              <w:t xml:space="preserve">. </w:t>
            </w:r>
            <w:r w:rsidRPr="00F44670">
              <w:rPr>
                <w:sz w:val="22"/>
                <w:szCs w:val="22"/>
              </w:rPr>
              <w:t xml:space="preserve">El interés se calculará sobre el saldo de capital (o valor residual de los títulos emitidos) al inicio de cada Período de Interés por la cantidad de días de cada Período de Interés, considerando para su cálculo la base de un año de 365 días (cantidad de días transcurridos/365). </w:t>
            </w:r>
          </w:p>
          <w:p w14:paraId="2989D9C8" w14:textId="2F5903E8" w:rsidR="004F07CA" w:rsidRPr="00F44670" w:rsidRDefault="004F07CA" w:rsidP="00B758A4">
            <w:pPr>
              <w:pStyle w:val="Textoindependiente3"/>
              <w:jc w:val="both"/>
              <w:rPr>
                <w:sz w:val="22"/>
                <w:szCs w:val="22"/>
                <w:lang w:val="es-ES" w:eastAsia="es-ES"/>
              </w:rPr>
            </w:pPr>
          </w:p>
        </w:tc>
      </w:tr>
      <w:tr w:rsidR="004F07CA" w:rsidRPr="00F44670" w14:paraId="71CBFD41" w14:textId="631C4F3C" w:rsidTr="00B758A4">
        <w:tc>
          <w:tcPr>
            <w:tcW w:w="2935" w:type="dxa"/>
            <w:shd w:val="clear" w:color="auto" w:fill="FFFFFF"/>
          </w:tcPr>
          <w:p w14:paraId="1CE334FA" w14:textId="19443DCB" w:rsidR="004F07CA" w:rsidRPr="00F44670" w:rsidRDefault="004F07CA" w:rsidP="004F07CA">
            <w:pPr>
              <w:pStyle w:val="Sangradetextonormal"/>
              <w:ind w:left="6"/>
              <w:rPr>
                <w:b/>
                <w:sz w:val="22"/>
                <w:szCs w:val="22"/>
                <w:lang w:val="es-ES" w:eastAsia="es-ES"/>
              </w:rPr>
            </w:pPr>
            <w:r w:rsidRPr="00F44670">
              <w:rPr>
                <w:b/>
                <w:sz w:val="22"/>
                <w:szCs w:val="22"/>
                <w:lang w:val="es-ES" w:eastAsia="es-ES"/>
              </w:rPr>
              <w:t xml:space="preserve">Intereses </w:t>
            </w:r>
            <w:r w:rsidR="00F925B7">
              <w:rPr>
                <w:b/>
                <w:sz w:val="22"/>
                <w:szCs w:val="22"/>
                <w:lang w:val="es-ES" w:eastAsia="es-ES"/>
              </w:rPr>
              <w:t>M</w:t>
            </w:r>
            <w:r w:rsidR="00F925B7" w:rsidRPr="00F44670">
              <w:rPr>
                <w:b/>
                <w:sz w:val="22"/>
                <w:szCs w:val="22"/>
                <w:lang w:val="es-ES" w:eastAsia="es-ES"/>
              </w:rPr>
              <w:t>oratorios</w:t>
            </w:r>
          </w:p>
        </w:tc>
        <w:tc>
          <w:tcPr>
            <w:tcW w:w="6415" w:type="dxa"/>
            <w:shd w:val="clear" w:color="auto" w:fill="FFFFFF"/>
          </w:tcPr>
          <w:p w14:paraId="53741E41" w14:textId="40945176" w:rsidR="004F07CA" w:rsidRPr="00F44670" w:rsidRDefault="00F925B7" w:rsidP="004F07CA">
            <w:pPr>
              <w:pStyle w:val="Sangradetextonormal"/>
              <w:ind w:left="0"/>
              <w:jc w:val="both"/>
              <w:rPr>
                <w:sz w:val="22"/>
                <w:szCs w:val="22"/>
                <w:lang w:val="es-ES" w:eastAsia="es-ES"/>
              </w:rPr>
            </w:pPr>
            <w:r>
              <w:rPr>
                <w:sz w:val="22"/>
                <w:szCs w:val="22"/>
                <w:lang w:val="es-ES" w:eastAsia="es-ES"/>
              </w:rPr>
              <w:t xml:space="preserve">Todo importe adeudado por la Sociedad bajo las Obligaciones Negociables </w:t>
            </w:r>
            <w:r w:rsidR="00EA55E9">
              <w:rPr>
                <w:sz w:val="22"/>
                <w:szCs w:val="22"/>
                <w:lang w:val="es-ES" w:eastAsia="es-ES"/>
              </w:rPr>
              <w:t xml:space="preserve">Serie II </w:t>
            </w:r>
            <w:r>
              <w:rPr>
                <w:sz w:val="22"/>
                <w:szCs w:val="22"/>
                <w:lang w:val="es-ES" w:eastAsia="es-ES"/>
              </w:rPr>
              <w:t>que no sea abonado en la correspondiente fecha y forma, cualquiera sea la causa o motivo de ello, devengará I</w:t>
            </w:r>
            <w:r w:rsidRPr="00F44670">
              <w:rPr>
                <w:sz w:val="22"/>
                <w:szCs w:val="22"/>
                <w:lang w:val="es-ES" w:eastAsia="es-ES"/>
              </w:rPr>
              <w:t xml:space="preserve">ntereses </w:t>
            </w:r>
            <w:r>
              <w:rPr>
                <w:sz w:val="22"/>
                <w:szCs w:val="22"/>
                <w:lang w:val="es-ES" w:eastAsia="es-ES"/>
              </w:rPr>
              <w:t>M</w:t>
            </w:r>
            <w:r w:rsidRPr="00F44670">
              <w:rPr>
                <w:sz w:val="22"/>
                <w:szCs w:val="22"/>
                <w:lang w:val="es-ES" w:eastAsia="es-ES"/>
              </w:rPr>
              <w:t xml:space="preserve">oratorios </w:t>
            </w:r>
            <w:r>
              <w:rPr>
                <w:sz w:val="22"/>
                <w:szCs w:val="22"/>
                <w:lang w:val="es-ES" w:eastAsia="es-ES"/>
              </w:rPr>
              <w:t>desde la fecha en que dicho importe debería haber sido abonado inclusive, y hasta la fecha de su efectivo pago exclusive, a</w:t>
            </w:r>
            <w:r w:rsidR="004F07CA" w:rsidRPr="00F44670">
              <w:rPr>
                <w:sz w:val="22"/>
                <w:szCs w:val="22"/>
                <w:lang w:val="es-ES" w:eastAsia="es-ES"/>
              </w:rPr>
              <w:t xml:space="preserve"> una vez y medio el último servicio de interés.</w:t>
            </w:r>
            <w:r>
              <w:rPr>
                <w:sz w:val="22"/>
                <w:szCs w:val="22"/>
                <w:lang w:val="es-ES" w:eastAsia="es-ES"/>
              </w:rPr>
              <w:t xml:space="preserve"> No se devengarán Intereses </w:t>
            </w:r>
            <w:r>
              <w:rPr>
                <w:sz w:val="22"/>
                <w:szCs w:val="22"/>
                <w:lang w:val="es-ES" w:eastAsia="es-ES"/>
              </w:rPr>
              <w:lastRenderedPageBreak/>
              <w:t xml:space="preserve">Moratorios cuando la demora no sea imputable al Emisor, en la medida que la Sociedad haya puesto a disposición de </w:t>
            </w:r>
            <w:r w:rsidRPr="00F44670">
              <w:rPr>
                <w:sz w:val="22"/>
                <w:szCs w:val="22"/>
                <w:lang w:val="es-ES" w:eastAsia="es-ES"/>
              </w:rPr>
              <w:t>Caja de Valores S.A.</w:t>
            </w:r>
            <w:r>
              <w:rPr>
                <w:sz w:val="22"/>
                <w:szCs w:val="22"/>
                <w:lang w:val="es-ES" w:eastAsia="es-ES"/>
              </w:rPr>
              <w:t xml:space="preserve"> los fondos en cuestión con la anticipación necesaria para proceder al pago a los Tenedores de las Obligaciones Negociables </w:t>
            </w:r>
            <w:r w:rsidR="000E5AD3">
              <w:rPr>
                <w:sz w:val="22"/>
                <w:szCs w:val="22"/>
                <w:lang w:val="es-ES" w:eastAsia="es-ES"/>
              </w:rPr>
              <w:t xml:space="preserve">Serie II </w:t>
            </w:r>
            <w:r>
              <w:rPr>
                <w:sz w:val="22"/>
                <w:szCs w:val="22"/>
                <w:lang w:val="es-ES" w:eastAsia="es-ES"/>
              </w:rPr>
              <w:t>en la correspondiente fecha de pago.</w:t>
            </w:r>
          </w:p>
          <w:p w14:paraId="28B98FBD" w14:textId="69D31D6A" w:rsidR="004F07CA" w:rsidRPr="00F44670" w:rsidRDefault="004F07CA" w:rsidP="004F07CA">
            <w:pPr>
              <w:jc w:val="both"/>
              <w:rPr>
                <w:sz w:val="22"/>
                <w:szCs w:val="22"/>
              </w:rPr>
            </w:pPr>
          </w:p>
        </w:tc>
      </w:tr>
      <w:tr w:rsidR="004F07CA" w:rsidRPr="00F44670" w14:paraId="1BE4F793" w14:textId="77777777" w:rsidTr="00B758A4">
        <w:trPr>
          <w:trHeight w:val="2201"/>
        </w:trPr>
        <w:tc>
          <w:tcPr>
            <w:tcW w:w="2935" w:type="dxa"/>
            <w:shd w:val="clear" w:color="auto" w:fill="FFFFFF"/>
          </w:tcPr>
          <w:p w14:paraId="3A45FE3E" w14:textId="77777777" w:rsidR="004F07CA" w:rsidRPr="00F44670" w:rsidRDefault="004F07CA" w:rsidP="004F07CA">
            <w:pPr>
              <w:pStyle w:val="Sangradetextonormal"/>
              <w:ind w:left="6"/>
              <w:rPr>
                <w:b/>
                <w:sz w:val="22"/>
                <w:szCs w:val="22"/>
                <w:lang w:val="es-ES" w:eastAsia="es-ES"/>
              </w:rPr>
            </w:pPr>
            <w:r w:rsidRPr="002D6BED">
              <w:rPr>
                <w:b/>
                <w:bCs/>
                <w:sz w:val="22"/>
                <w:szCs w:val="22"/>
                <w:lang w:val="es-ES" w:eastAsia="es-ES"/>
              </w:rPr>
              <w:lastRenderedPageBreak/>
              <w:t>Fecha de Pago de Servicios</w:t>
            </w:r>
          </w:p>
          <w:p w14:paraId="2A376711" w14:textId="77777777" w:rsidR="004F07CA" w:rsidRPr="00F44670" w:rsidRDefault="004F07CA" w:rsidP="004F07CA">
            <w:pPr>
              <w:rPr>
                <w:b/>
                <w:sz w:val="22"/>
                <w:szCs w:val="22"/>
              </w:rPr>
            </w:pPr>
          </w:p>
          <w:p w14:paraId="2A79C926" w14:textId="77777777" w:rsidR="004F07CA" w:rsidRPr="00F44670" w:rsidRDefault="004F07CA" w:rsidP="004F07CA">
            <w:pPr>
              <w:rPr>
                <w:b/>
                <w:sz w:val="22"/>
                <w:szCs w:val="22"/>
              </w:rPr>
            </w:pPr>
          </w:p>
          <w:p w14:paraId="1D2685B5" w14:textId="77777777" w:rsidR="004F07CA" w:rsidRPr="00F44670" w:rsidRDefault="004F07CA" w:rsidP="004F07CA">
            <w:pPr>
              <w:rPr>
                <w:b/>
                <w:sz w:val="22"/>
                <w:szCs w:val="22"/>
              </w:rPr>
            </w:pPr>
          </w:p>
          <w:p w14:paraId="69E42E7E" w14:textId="77777777" w:rsidR="004F07CA" w:rsidRPr="00F44670" w:rsidRDefault="004F07CA" w:rsidP="004F07CA">
            <w:pPr>
              <w:rPr>
                <w:b/>
                <w:sz w:val="22"/>
                <w:szCs w:val="22"/>
              </w:rPr>
            </w:pPr>
          </w:p>
          <w:p w14:paraId="71D88B63" w14:textId="77777777" w:rsidR="004F07CA" w:rsidRPr="00F44670" w:rsidRDefault="004F07CA" w:rsidP="004F07CA">
            <w:pPr>
              <w:rPr>
                <w:b/>
                <w:sz w:val="22"/>
                <w:szCs w:val="22"/>
              </w:rPr>
            </w:pPr>
          </w:p>
          <w:p w14:paraId="1B683939" w14:textId="77777777" w:rsidR="004F07CA" w:rsidRPr="00F44670" w:rsidRDefault="004F07CA" w:rsidP="004F07CA">
            <w:pPr>
              <w:rPr>
                <w:b/>
                <w:sz w:val="22"/>
                <w:szCs w:val="22"/>
              </w:rPr>
            </w:pPr>
          </w:p>
          <w:p w14:paraId="0867F4AF" w14:textId="77777777" w:rsidR="004F07CA" w:rsidRPr="00F44670" w:rsidRDefault="004F07CA" w:rsidP="004F07CA">
            <w:pPr>
              <w:rPr>
                <w:b/>
                <w:sz w:val="22"/>
                <w:szCs w:val="22"/>
              </w:rPr>
            </w:pPr>
          </w:p>
        </w:tc>
        <w:tc>
          <w:tcPr>
            <w:tcW w:w="6415" w:type="dxa"/>
            <w:shd w:val="clear" w:color="auto" w:fill="FFFFFF"/>
          </w:tcPr>
          <w:p w14:paraId="1722A12A" w14:textId="703CCD10" w:rsidR="004F07CA" w:rsidRPr="00F44670" w:rsidRDefault="004F07CA" w:rsidP="004F07CA">
            <w:pPr>
              <w:pStyle w:val="Sangradetextonormal"/>
              <w:ind w:left="0"/>
              <w:jc w:val="both"/>
              <w:rPr>
                <w:sz w:val="22"/>
                <w:szCs w:val="22"/>
                <w:lang w:val="es-ES" w:eastAsia="es-ES"/>
              </w:rPr>
            </w:pPr>
            <w:r w:rsidRPr="00F44670">
              <w:rPr>
                <w:bCs/>
                <w:sz w:val="22"/>
                <w:szCs w:val="22"/>
                <w:lang w:val="es-ES" w:eastAsia="es-ES"/>
              </w:rPr>
              <w:t xml:space="preserve">Los servicios de intereses y amortizaciones </w:t>
            </w:r>
            <w:r w:rsidR="004B74C2">
              <w:rPr>
                <w:bCs/>
                <w:sz w:val="22"/>
                <w:szCs w:val="22"/>
                <w:lang w:val="es-ES" w:eastAsia="es-ES"/>
              </w:rPr>
              <w:t xml:space="preserve">de las </w:t>
            </w:r>
            <w:r w:rsidR="004B74C2" w:rsidRPr="00F44670">
              <w:rPr>
                <w:sz w:val="22"/>
                <w:szCs w:val="22"/>
                <w:lang w:val="es-ES" w:eastAsia="es-ES"/>
              </w:rPr>
              <w:t>O</w:t>
            </w:r>
            <w:r w:rsidR="004B74C2">
              <w:rPr>
                <w:sz w:val="22"/>
                <w:szCs w:val="22"/>
                <w:lang w:val="es-ES" w:eastAsia="es-ES"/>
              </w:rPr>
              <w:t xml:space="preserve">bligaciones </w:t>
            </w:r>
            <w:r w:rsidR="004B74C2" w:rsidRPr="00F44670">
              <w:rPr>
                <w:sz w:val="22"/>
                <w:szCs w:val="22"/>
                <w:lang w:val="es-ES" w:eastAsia="es-ES"/>
              </w:rPr>
              <w:t>N</w:t>
            </w:r>
            <w:r w:rsidR="004B74C2">
              <w:rPr>
                <w:sz w:val="22"/>
                <w:szCs w:val="22"/>
                <w:lang w:val="es-ES" w:eastAsia="es-ES"/>
              </w:rPr>
              <w:t xml:space="preserve">egociables </w:t>
            </w:r>
            <w:r w:rsidR="004B74C2" w:rsidRPr="00F44670">
              <w:rPr>
                <w:sz w:val="22"/>
                <w:szCs w:val="22"/>
                <w:lang w:val="es-ES" w:eastAsia="es-ES"/>
              </w:rPr>
              <w:t xml:space="preserve">Serie II </w:t>
            </w:r>
            <w:r w:rsidRPr="00F44670">
              <w:rPr>
                <w:bCs/>
                <w:sz w:val="22"/>
                <w:szCs w:val="22"/>
                <w:lang w:val="es-ES" w:eastAsia="es-ES"/>
              </w:rPr>
              <w:t xml:space="preserve">(los “Servicios”) </w:t>
            </w:r>
            <w:r w:rsidRPr="00F44670">
              <w:rPr>
                <w:sz w:val="22"/>
                <w:szCs w:val="22"/>
              </w:rPr>
              <w:t>serán paga</w:t>
            </w:r>
            <w:r w:rsidRPr="00F44670">
              <w:rPr>
                <w:sz w:val="22"/>
                <w:szCs w:val="22"/>
                <w:lang w:val="es-AR"/>
              </w:rPr>
              <w:t>deros</w:t>
            </w:r>
            <w:r w:rsidRPr="00F44670">
              <w:rPr>
                <w:sz w:val="22"/>
                <w:szCs w:val="22"/>
              </w:rPr>
              <w:t xml:space="preserve"> </w:t>
            </w:r>
            <w:r w:rsidRPr="00F44670">
              <w:rPr>
                <w:sz w:val="22"/>
                <w:szCs w:val="22"/>
                <w:lang w:val="es-AR"/>
              </w:rPr>
              <w:t>en las Fechas de Pago de Servicios indicadas en el Cuadro de Pago de Servicios.</w:t>
            </w:r>
            <w:r w:rsidRPr="00F44670">
              <w:rPr>
                <w:sz w:val="22"/>
                <w:szCs w:val="22"/>
                <w:lang w:val="es-ES" w:eastAsia="es-ES"/>
              </w:rPr>
              <w:t xml:space="preserve"> Si la fecha fijada para el pago fuera un día inhábil, quedará pospuesta al siguiente Día Hábil, devengando intereses sobre dicho pago por el o los días que se posponga el vencimiento. Las obligaciones de pago se considerarán cumplidas y liberadas en la medida en que la Emisor ponga a disposición de Caja de Valores S.A. los fondos correspondientes. Se entenderá por “Día Hábil” cualquier día lunes a viernes, salvo aquellos en los que los bancos están obligados a </w:t>
            </w:r>
            <w:r w:rsidR="0069660A" w:rsidRPr="00F44670">
              <w:rPr>
                <w:sz w:val="22"/>
                <w:szCs w:val="22"/>
                <w:lang w:val="es-ES" w:eastAsia="es-ES"/>
              </w:rPr>
              <w:t>cerrar</w:t>
            </w:r>
            <w:r w:rsidR="0069660A">
              <w:t xml:space="preserve"> </w:t>
            </w:r>
            <w:r w:rsidR="0069660A" w:rsidRPr="008060C9">
              <w:rPr>
                <w:sz w:val="22"/>
                <w:szCs w:val="22"/>
                <w:lang w:val="es-ES" w:eastAsia="es-ES"/>
              </w:rPr>
              <w:t>o</w:t>
            </w:r>
            <w:r w:rsidR="008060C9" w:rsidRPr="008060C9">
              <w:rPr>
                <w:sz w:val="22"/>
                <w:szCs w:val="22"/>
                <w:lang w:val="es-ES" w:eastAsia="es-ES"/>
              </w:rPr>
              <w:t xml:space="preserve"> que, de otra forma, no estuvieran abiertos para operar o tuvieran alguna restricción para operar dispuesta por el B</w:t>
            </w:r>
            <w:r w:rsidR="0080216A">
              <w:rPr>
                <w:sz w:val="22"/>
                <w:szCs w:val="22"/>
                <w:lang w:val="es-ES" w:eastAsia="es-ES"/>
              </w:rPr>
              <w:t xml:space="preserve">anco </w:t>
            </w:r>
            <w:r w:rsidR="008060C9" w:rsidRPr="008060C9">
              <w:rPr>
                <w:sz w:val="22"/>
                <w:szCs w:val="22"/>
                <w:lang w:val="es-ES" w:eastAsia="es-ES"/>
              </w:rPr>
              <w:t>C</w:t>
            </w:r>
            <w:r w:rsidR="0080216A">
              <w:rPr>
                <w:sz w:val="22"/>
                <w:szCs w:val="22"/>
                <w:lang w:val="es-ES" w:eastAsia="es-ES"/>
              </w:rPr>
              <w:t xml:space="preserve">entral de la </w:t>
            </w:r>
            <w:r w:rsidR="008060C9" w:rsidRPr="008060C9">
              <w:rPr>
                <w:sz w:val="22"/>
                <w:szCs w:val="22"/>
                <w:lang w:val="es-ES" w:eastAsia="es-ES"/>
              </w:rPr>
              <w:t>R</w:t>
            </w:r>
            <w:r w:rsidR="0080216A">
              <w:rPr>
                <w:sz w:val="22"/>
                <w:szCs w:val="22"/>
                <w:lang w:val="es-ES" w:eastAsia="es-ES"/>
              </w:rPr>
              <w:t xml:space="preserve">epública </w:t>
            </w:r>
            <w:r w:rsidR="008060C9" w:rsidRPr="008060C9">
              <w:rPr>
                <w:sz w:val="22"/>
                <w:szCs w:val="22"/>
                <w:lang w:val="es-ES" w:eastAsia="es-ES"/>
              </w:rPr>
              <w:t>A</w:t>
            </w:r>
            <w:r w:rsidR="0080216A">
              <w:rPr>
                <w:sz w:val="22"/>
                <w:szCs w:val="22"/>
                <w:lang w:val="es-ES" w:eastAsia="es-ES"/>
              </w:rPr>
              <w:t>rgentina (“BCRA”)</w:t>
            </w:r>
            <w:r w:rsidRPr="00F44670">
              <w:rPr>
                <w:sz w:val="22"/>
                <w:szCs w:val="22"/>
                <w:lang w:val="es-ES" w:eastAsia="es-ES"/>
              </w:rPr>
              <w:t xml:space="preserve"> en la ciudad de Pergamino</w:t>
            </w:r>
            <w:r w:rsidR="008060C9">
              <w:rPr>
                <w:sz w:val="22"/>
                <w:szCs w:val="22"/>
                <w:lang w:val="es-ES" w:eastAsia="es-ES"/>
              </w:rPr>
              <w:t>,</w:t>
            </w:r>
            <w:r w:rsidRPr="00F44670">
              <w:rPr>
                <w:sz w:val="22"/>
                <w:szCs w:val="22"/>
                <w:lang w:val="es-ES" w:eastAsia="es-ES"/>
              </w:rPr>
              <w:t xml:space="preserve"> Provincia de Buenos Aires</w:t>
            </w:r>
            <w:r w:rsidR="008060C9">
              <w:rPr>
                <w:sz w:val="22"/>
                <w:szCs w:val="22"/>
                <w:lang w:val="es-ES" w:eastAsia="es-ES"/>
              </w:rPr>
              <w:t>,</w:t>
            </w:r>
            <w:r w:rsidRPr="00F44670">
              <w:rPr>
                <w:sz w:val="22"/>
                <w:szCs w:val="22"/>
                <w:lang w:val="es-ES" w:eastAsia="es-ES"/>
              </w:rPr>
              <w:t xml:space="preserve"> y/o en la Provincia de Buenos Aires.</w:t>
            </w:r>
          </w:p>
          <w:p w14:paraId="268D7597" w14:textId="77777777" w:rsidR="004F07CA" w:rsidRPr="00F44670" w:rsidRDefault="004F07CA" w:rsidP="004F07CA">
            <w:pPr>
              <w:pStyle w:val="Sangradetextonormal"/>
              <w:ind w:left="0"/>
              <w:rPr>
                <w:sz w:val="22"/>
                <w:szCs w:val="22"/>
                <w:lang w:val="es-ES" w:eastAsia="es-ES"/>
              </w:rPr>
            </w:pPr>
          </w:p>
        </w:tc>
      </w:tr>
      <w:tr w:rsidR="004F07CA" w:rsidRPr="00F44670" w14:paraId="1BB4F423" w14:textId="77777777" w:rsidTr="00B758A4">
        <w:trPr>
          <w:trHeight w:val="747"/>
        </w:trPr>
        <w:tc>
          <w:tcPr>
            <w:tcW w:w="2935" w:type="dxa"/>
            <w:shd w:val="clear" w:color="auto" w:fill="FFFFFF"/>
          </w:tcPr>
          <w:p w14:paraId="39FA9473" w14:textId="77777777" w:rsidR="004F07CA" w:rsidRPr="00F44670" w:rsidRDefault="004F07CA" w:rsidP="004F07CA">
            <w:pPr>
              <w:rPr>
                <w:b/>
                <w:sz w:val="22"/>
                <w:szCs w:val="22"/>
              </w:rPr>
            </w:pPr>
            <w:r w:rsidRPr="00F44670">
              <w:rPr>
                <w:b/>
                <w:sz w:val="22"/>
                <w:szCs w:val="22"/>
              </w:rPr>
              <w:t>Cuadro de Pago de Servicios</w:t>
            </w:r>
          </w:p>
          <w:p w14:paraId="5D1DD5A5" w14:textId="77777777" w:rsidR="004F07CA" w:rsidRPr="00F44670" w:rsidRDefault="004F07CA" w:rsidP="004F07CA">
            <w:pPr>
              <w:rPr>
                <w:b/>
                <w:bCs/>
                <w:sz w:val="22"/>
                <w:szCs w:val="22"/>
              </w:rPr>
            </w:pPr>
          </w:p>
        </w:tc>
        <w:tc>
          <w:tcPr>
            <w:tcW w:w="6415" w:type="dxa"/>
            <w:shd w:val="clear" w:color="auto" w:fill="FFFFFF"/>
          </w:tcPr>
          <w:p w14:paraId="5C99FAEC" w14:textId="44833659" w:rsidR="004F07CA" w:rsidRPr="00F44670" w:rsidRDefault="004F07CA" w:rsidP="004F07CA">
            <w:pPr>
              <w:pStyle w:val="Sangradetextonormal"/>
              <w:ind w:left="0"/>
              <w:jc w:val="both"/>
              <w:rPr>
                <w:sz w:val="22"/>
                <w:szCs w:val="22"/>
                <w:lang w:val="es-ES" w:eastAsia="es-ES"/>
              </w:rPr>
            </w:pPr>
            <w:r w:rsidRPr="00F44670">
              <w:rPr>
                <w:sz w:val="22"/>
                <w:szCs w:val="22"/>
                <w:lang w:val="es-ES" w:eastAsia="es-ES"/>
              </w:rPr>
              <w:t>Es el cuadro inserto en el Aviso de Colocación en el que se indicará las</w:t>
            </w:r>
            <w:r w:rsidR="00F3346A">
              <w:rPr>
                <w:sz w:val="22"/>
                <w:szCs w:val="22"/>
                <w:lang w:val="es-ES" w:eastAsia="es-ES"/>
              </w:rPr>
              <w:t xml:space="preserve"> Fechas de Pago de Intereses y la Fechas de Pago de Amortización (las</w:t>
            </w:r>
            <w:r w:rsidRPr="00F44670">
              <w:rPr>
                <w:sz w:val="22"/>
                <w:szCs w:val="22"/>
                <w:lang w:val="es-ES" w:eastAsia="es-ES"/>
              </w:rPr>
              <w:t xml:space="preserve"> </w:t>
            </w:r>
            <w:r w:rsidR="00F3346A">
              <w:rPr>
                <w:sz w:val="22"/>
                <w:szCs w:val="22"/>
                <w:lang w:val="es-ES" w:eastAsia="es-ES"/>
              </w:rPr>
              <w:t>“</w:t>
            </w:r>
            <w:r w:rsidRPr="00F44670">
              <w:rPr>
                <w:sz w:val="22"/>
                <w:szCs w:val="22"/>
                <w:lang w:val="es-ES" w:eastAsia="es-ES"/>
              </w:rPr>
              <w:t>Fechas de Pago de Servicios</w:t>
            </w:r>
            <w:r w:rsidR="00F3346A">
              <w:rPr>
                <w:sz w:val="22"/>
                <w:szCs w:val="22"/>
                <w:lang w:val="es-ES" w:eastAsia="es-ES"/>
              </w:rPr>
              <w:t>”)</w:t>
            </w:r>
            <w:r w:rsidRPr="00F44670">
              <w:rPr>
                <w:sz w:val="22"/>
                <w:szCs w:val="22"/>
                <w:lang w:val="es-ES" w:eastAsia="es-ES"/>
              </w:rPr>
              <w:t>.</w:t>
            </w:r>
          </w:p>
          <w:p w14:paraId="1A3C23BA" w14:textId="2FBAE564" w:rsidR="004F07CA" w:rsidRPr="00F44670" w:rsidRDefault="004F07CA" w:rsidP="004F07CA">
            <w:pPr>
              <w:pStyle w:val="Sangradetextonormal"/>
              <w:ind w:left="0"/>
              <w:jc w:val="both"/>
              <w:rPr>
                <w:sz w:val="22"/>
                <w:szCs w:val="22"/>
                <w:lang w:val="es-ES" w:eastAsia="es-ES"/>
              </w:rPr>
            </w:pPr>
            <w:r w:rsidRPr="00F44670">
              <w:rPr>
                <w:bCs/>
                <w:sz w:val="22"/>
                <w:szCs w:val="22"/>
                <w:lang w:val="es-ES" w:eastAsia="es-ES"/>
              </w:rPr>
              <w:t xml:space="preserve">“Aviso de Colocación”: </w:t>
            </w:r>
            <w:r w:rsidRPr="00F44670">
              <w:rPr>
                <w:sz w:val="22"/>
                <w:szCs w:val="22"/>
                <w:lang w:val="es-ES" w:eastAsia="es-ES"/>
              </w:rPr>
              <w:t xml:space="preserve">es el aviso a publicar en </w:t>
            </w:r>
            <w:r w:rsidRPr="00F44670">
              <w:rPr>
                <w:sz w:val="22"/>
                <w:szCs w:val="22"/>
              </w:rPr>
              <w:t>los sistemas de información de los mercados autorizados donde se listen l</w:t>
            </w:r>
            <w:r w:rsidRPr="00F44670">
              <w:rPr>
                <w:sz w:val="22"/>
                <w:szCs w:val="22"/>
                <w:lang w:val="es-AR"/>
              </w:rPr>
              <w:t>as Obligaciones Negociables Serie II</w:t>
            </w:r>
            <w:r w:rsidRPr="00F44670">
              <w:rPr>
                <w:sz w:val="22"/>
                <w:szCs w:val="22"/>
                <w:lang w:val="es-ES" w:eastAsia="es-ES"/>
              </w:rPr>
              <w:t xml:space="preserve"> y en la Autopista de la Información Financiera de la CNV, por medio del cual serán ofrecidas las ON Serie II.</w:t>
            </w:r>
          </w:p>
          <w:p w14:paraId="103350F1" w14:textId="77777777" w:rsidR="004F07CA" w:rsidRPr="00F44670" w:rsidRDefault="004F07CA" w:rsidP="004F07CA">
            <w:pPr>
              <w:pStyle w:val="Sangradetextonormal"/>
              <w:ind w:left="0"/>
              <w:jc w:val="both"/>
              <w:rPr>
                <w:bCs/>
                <w:sz w:val="22"/>
                <w:szCs w:val="22"/>
                <w:lang w:val="es-ES" w:eastAsia="es-ES"/>
              </w:rPr>
            </w:pPr>
          </w:p>
        </w:tc>
      </w:tr>
      <w:tr w:rsidR="005F4576" w:rsidRPr="00F44670" w14:paraId="02B94E85" w14:textId="77777777" w:rsidTr="005F4576">
        <w:trPr>
          <w:trHeight w:val="486"/>
        </w:trPr>
        <w:tc>
          <w:tcPr>
            <w:tcW w:w="2935" w:type="dxa"/>
            <w:shd w:val="clear" w:color="auto" w:fill="FFFFFF"/>
          </w:tcPr>
          <w:p w14:paraId="10839B98" w14:textId="4AF73572" w:rsidR="005F4576" w:rsidRPr="008A6AC0" w:rsidRDefault="005F4576" w:rsidP="004F07CA">
            <w:pPr>
              <w:rPr>
                <w:b/>
                <w:color w:val="000000"/>
                <w:sz w:val="22"/>
                <w:szCs w:val="22"/>
                <w:lang w:bidi="es-ES"/>
              </w:rPr>
            </w:pPr>
            <w:r w:rsidRPr="00F44670">
              <w:rPr>
                <w:b/>
                <w:sz w:val="22"/>
                <w:szCs w:val="22"/>
              </w:rPr>
              <w:t>Garantía</w:t>
            </w:r>
          </w:p>
        </w:tc>
        <w:tc>
          <w:tcPr>
            <w:tcW w:w="6415" w:type="dxa"/>
            <w:shd w:val="clear" w:color="auto" w:fill="FFFFFF"/>
          </w:tcPr>
          <w:p w14:paraId="23F4D5C3" w14:textId="08CA3EF1" w:rsidR="005F4576" w:rsidRPr="00F44670" w:rsidRDefault="005F4576" w:rsidP="004B74C2">
            <w:pPr>
              <w:pStyle w:val="Textoindependiente"/>
              <w:rPr>
                <w:color w:val="000000"/>
                <w:sz w:val="22"/>
                <w:szCs w:val="22"/>
                <w:lang w:val="es-ES" w:bidi="es-ES"/>
              </w:rPr>
            </w:pPr>
            <w:r w:rsidRPr="00F44670">
              <w:rPr>
                <w:color w:val="000000"/>
                <w:sz w:val="22"/>
                <w:szCs w:val="22"/>
                <w:lang w:val="es-ES" w:bidi="es-ES"/>
              </w:rPr>
              <w:t>Común</w:t>
            </w:r>
          </w:p>
        </w:tc>
      </w:tr>
      <w:tr w:rsidR="000E5AD3" w:rsidRPr="00F44670" w14:paraId="7450B762" w14:textId="77777777" w:rsidTr="005F4576">
        <w:trPr>
          <w:trHeight w:val="486"/>
        </w:trPr>
        <w:tc>
          <w:tcPr>
            <w:tcW w:w="2935" w:type="dxa"/>
            <w:shd w:val="clear" w:color="auto" w:fill="FFFFFF"/>
          </w:tcPr>
          <w:p w14:paraId="191D5B98" w14:textId="77777777" w:rsidR="000E5AD3" w:rsidRPr="003170E8" w:rsidRDefault="000E5AD3" w:rsidP="000E5AD3">
            <w:pPr>
              <w:suppressLineNumbers/>
              <w:suppressAutoHyphens/>
              <w:jc w:val="both"/>
              <w:rPr>
                <w:rFonts w:eastAsia="MS Mincho"/>
                <w:b/>
                <w:sz w:val="22"/>
                <w:szCs w:val="22"/>
                <w:lang w:eastAsia="ja-JP"/>
              </w:rPr>
            </w:pPr>
            <w:r w:rsidRPr="003170E8">
              <w:rPr>
                <w:rFonts w:eastAsia="MS Mincho"/>
                <w:b/>
                <w:sz w:val="22"/>
                <w:szCs w:val="22"/>
                <w:lang w:eastAsia="ja-JP"/>
              </w:rPr>
              <w:t>Aspectos impositivos</w:t>
            </w:r>
          </w:p>
          <w:p w14:paraId="164F94DD" w14:textId="77777777" w:rsidR="000E5AD3" w:rsidRPr="00504203" w:rsidRDefault="000E5AD3" w:rsidP="000E5AD3">
            <w:pPr>
              <w:widowControl w:val="0"/>
              <w:suppressLineNumbers/>
              <w:suppressAutoHyphens/>
              <w:jc w:val="both"/>
              <w:rPr>
                <w:rFonts w:eastAsia="MS Mincho"/>
                <w:sz w:val="22"/>
                <w:szCs w:val="22"/>
                <w:lang w:eastAsia="ja-JP"/>
              </w:rPr>
            </w:pPr>
          </w:p>
          <w:p w14:paraId="5C4B032E" w14:textId="77777777" w:rsidR="000E5AD3" w:rsidRPr="000E5AD3" w:rsidRDefault="000E5AD3" w:rsidP="004F07CA">
            <w:pPr>
              <w:rPr>
                <w:b/>
                <w:sz w:val="22"/>
                <w:szCs w:val="22"/>
              </w:rPr>
            </w:pPr>
          </w:p>
        </w:tc>
        <w:tc>
          <w:tcPr>
            <w:tcW w:w="6415" w:type="dxa"/>
            <w:shd w:val="clear" w:color="auto" w:fill="FFFFFF"/>
          </w:tcPr>
          <w:p w14:paraId="74CC570E" w14:textId="5E3F8DFC" w:rsidR="000E5AD3" w:rsidRPr="00504203" w:rsidRDefault="000E5AD3" w:rsidP="000E5AD3">
            <w:pPr>
              <w:jc w:val="both"/>
              <w:rPr>
                <w:rFonts w:eastAsia="MS Mincho"/>
                <w:spacing w:val="-2"/>
                <w:sz w:val="22"/>
                <w:szCs w:val="22"/>
                <w:lang w:eastAsia="ja-JP"/>
              </w:rPr>
            </w:pPr>
            <w:r w:rsidRPr="00504203">
              <w:rPr>
                <w:rFonts w:eastAsia="MS Mincho"/>
                <w:sz w:val="22"/>
                <w:szCs w:val="22"/>
                <w:lang w:eastAsia="ja-JP"/>
              </w:rPr>
              <w:t xml:space="preserve">Todos los pagos relacionados con las Obligaciones Negociables </w:t>
            </w:r>
            <w:r>
              <w:rPr>
                <w:rFonts w:eastAsia="MS Mincho"/>
                <w:sz w:val="22"/>
                <w:szCs w:val="22"/>
                <w:lang w:eastAsia="ja-JP"/>
              </w:rPr>
              <w:t xml:space="preserve">Serie II </w:t>
            </w:r>
            <w:r w:rsidRPr="00504203">
              <w:rPr>
                <w:rFonts w:eastAsia="MS Mincho"/>
                <w:sz w:val="22"/>
                <w:szCs w:val="22"/>
                <w:lang w:eastAsia="ja-JP"/>
              </w:rPr>
              <w:t xml:space="preserve">serán efectuados por la Sociedad sin retención o deducción por o a cuenta de cualesquiera impuestos, derechos, gravámenes, tasas, retenciones o gastos de transferencia de cualquier naturaleza, presentes o futuros (los “Tributos”), </w:t>
            </w:r>
            <w:r w:rsidRPr="00504203">
              <w:rPr>
                <w:rFonts w:eastAsia="MS Mincho"/>
                <w:color w:val="0D0D0D"/>
                <w:sz w:val="22"/>
                <w:szCs w:val="22"/>
                <w:lang w:eastAsia="ja-JP"/>
              </w:rPr>
              <w:t>excepto que la  Emisora esté legalmente obligad</w:t>
            </w:r>
            <w:r>
              <w:rPr>
                <w:rFonts w:eastAsia="MS Mincho"/>
                <w:color w:val="0D0D0D"/>
                <w:sz w:val="22"/>
                <w:szCs w:val="22"/>
                <w:lang w:eastAsia="ja-JP"/>
              </w:rPr>
              <w:t>a</w:t>
            </w:r>
            <w:r w:rsidRPr="00504203">
              <w:rPr>
                <w:rFonts w:eastAsia="MS Mincho"/>
                <w:color w:val="0D0D0D"/>
                <w:sz w:val="22"/>
                <w:szCs w:val="22"/>
                <w:lang w:eastAsia="ja-JP"/>
              </w:rPr>
              <w:t xml:space="preserve"> a actuar como agente de retención de cualquier Tributo que pudiere recaer sobre los pagos de servicios bajo las Obligaciones Negociables </w:t>
            </w:r>
            <w:r>
              <w:rPr>
                <w:rFonts w:eastAsia="MS Mincho"/>
                <w:color w:val="0D0D0D"/>
                <w:sz w:val="22"/>
                <w:szCs w:val="22"/>
                <w:lang w:eastAsia="ja-JP"/>
              </w:rPr>
              <w:t xml:space="preserve">Serie II </w:t>
            </w:r>
            <w:r w:rsidRPr="00504203">
              <w:rPr>
                <w:rFonts w:eastAsia="MS Mincho"/>
                <w:color w:val="0D0D0D"/>
                <w:sz w:val="22"/>
                <w:szCs w:val="22"/>
                <w:lang w:eastAsia="ja-JP"/>
              </w:rPr>
              <w:t>cuyo pago corresponda a los obligacionistas con motivo de la titularidad o disposición de las Obligaciones Negociables</w:t>
            </w:r>
            <w:r>
              <w:rPr>
                <w:rFonts w:eastAsia="MS Mincho"/>
                <w:color w:val="0D0D0D"/>
                <w:sz w:val="22"/>
                <w:szCs w:val="22"/>
                <w:lang w:eastAsia="ja-JP"/>
              </w:rPr>
              <w:t xml:space="preserve"> Serie II</w:t>
            </w:r>
            <w:r w:rsidRPr="00504203">
              <w:rPr>
                <w:rFonts w:eastAsia="MS Mincho"/>
                <w:color w:val="0D0D0D"/>
                <w:sz w:val="22"/>
                <w:szCs w:val="22"/>
                <w:lang w:eastAsia="ja-JP"/>
              </w:rPr>
              <w:t>, en cuyo caso las sumas adeudadas a los obligacionistas serán abonadas previa deducción o retención del Tributo correspondiente</w:t>
            </w:r>
          </w:p>
          <w:p w14:paraId="44C5D387" w14:textId="77777777" w:rsidR="000E5AD3" w:rsidRPr="000E5AD3" w:rsidRDefault="000E5AD3" w:rsidP="004B74C2">
            <w:pPr>
              <w:pStyle w:val="Textoindependiente"/>
              <w:rPr>
                <w:color w:val="000000"/>
                <w:sz w:val="22"/>
                <w:szCs w:val="22"/>
                <w:lang w:val="es-ES" w:bidi="es-ES"/>
              </w:rPr>
            </w:pPr>
          </w:p>
        </w:tc>
      </w:tr>
      <w:tr w:rsidR="005F4576" w:rsidRPr="00F44670" w14:paraId="18364687" w14:textId="77777777" w:rsidTr="00B547B2">
        <w:trPr>
          <w:trHeight w:val="747"/>
        </w:trPr>
        <w:tc>
          <w:tcPr>
            <w:tcW w:w="2935" w:type="dxa"/>
            <w:shd w:val="clear" w:color="auto" w:fill="FFFFFF"/>
          </w:tcPr>
          <w:p w14:paraId="5114EE46" w14:textId="4B14F1D9" w:rsidR="005F4576" w:rsidRPr="00F44670" w:rsidRDefault="00504203" w:rsidP="00504203">
            <w:pPr>
              <w:rPr>
                <w:b/>
                <w:sz w:val="22"/>
                <w:szCs w:val="22"/>
              </w:rPr>
            </w:pPr>
            <w:r>
              <w:rPr>
                <w:b/>
                <w:color w:val="000000"/>
                <w:sz w:val="22"/>
                <w:szCs w:val="22"/>
                <w:lang w:bidi="es-ES"/>
              </w:rPr>
              <w:t>Ley aplicable y j</w:t>
            </w:r>
            <w:r w:rsidR="005F4576" w:rsidRPr="008A6AC0">
              <w:rPr>
                <w:b/>
                <w:color w:val="000000"/>
                <w:sz w:val="22"/>
                <w:szCs w:val="22"/>
                <w:lang w:bidi="es-ES"/>
              </w:rPr>
              <w:t>urisdicción</w:t>
            </w:r>
          </w:p>
        </w:tc>
        <w:tc>
          <w:tcPr>
            <w:tcW w:w="6415" w:type="dxa"/>
            <w:shd w:val="clear" w:color="auto" w:fill="FFFFFF"/>
          </w:tcPr>
          <w:p w14:paraId="3F348F9D" w14:textId="77777777" w:rsidR="00504203" w:rsidRPr="005F60B3" w:rsidRDefault="00504203" w:rsidP="00504203">
            <w:pPr>
              <w:pStyle w:val="Textonotapie"/>
              <w:jc w:val="both"/>
              <w:rPr>
                <w:color w:val="000000"/>
                <w:sz w:val="22"/>
                <w:szCs w:val="22"/>
                <w:lang w:val="es-ES" w:bidi="es-ES"/>
              </w:rPr>
            </w:pPr>
            <w:r w:rsidRPr="006F61B3">
              <w:rPr>
                <w:color w:val="000000"/>
                <w:sz w:val="22"/>
                <w:szCs w:val="22"/>
                <w:lang w:val="es-ES" w:bidi="es-ES"/>
              </w:rPr>
              <w:t>Las Obligaciones Negociables Serie II se regirán por, y serán interpretadas de conformidad con, las leyes de la República Argentina</w:t>
            </w:r>
            <w:r w:rsidRPr="005F60B3">
              <w:rPr>
                <w:color w:val="000000"/>
                <w:sz w:val="22"/>
                <w:szCs w:val="22"/>
                <w:lang w:val="es-ES" w:bidi="es-ES"/>
              </w:rPr>
              <w:t xml:space="preserve">. </w:t>
            </w:r>
          </w:p>
          <w:p w14:paraId="43EBE158" w14:textId="77777777" w:rsidR="00504203" w:rsidRDefault="00504203" w:rsidP="004B74C2">
            <w:pPr>
              <w:pStyle w:val="Textoindependiente"/>
              <w:rPr>
                <w:color w:val="000000"/>
                <w:sz w:val="22"/>
                <w:szCs w:val="22"/>
                <w:lang w:val="es-ES" w:bidi="es-ES"/>
              </w:rPr>
            </w:pPr>
          </w:p>
          <w:p w14:paraId="3B6D4827" w14:textId="7495895B" w:rsidR="005F4576" w:rsidRDefault="005F4576" w:rsidP="004B74C2">
            <w:pPr>
              <w:pStyle w:val="Textoindependiente"/>
              <w:rPr>
                <w:color w:val="000000"/>
                <w:sz w:val="22"/>
                <w:szCs w:val="22"/>
                <w:lang w:val="es-ES" w:bidi="es-ES"/>
              </w:rPr>
            </w:pPr>
            <w:r w:rsidRPr="00F44670">
              <w:rPr>
                <w:color w:val="000000"/>
                <w:sz w:val="22"/>
                <w:szCs w:val="22"/>
                <w:lang w:val="es-ES" w:bidi="es-ES"/>
              </w:rPr>
              <w:t xml:space="preserve">Toda controversia que se suscite entre la Emisora, los inversores de las Obligaciones Negociables Serie II, y cualquier tercero con relación a lo previsto en el presente Suplemento y/o en su existencia, validez, calificación, interpretación, alcance, cumplimiento o resolución, se resolverá definitivamente por el Tribunal de Arbitraje General de la Bolsa de Comercio de Buenos Aires (la “BCBA”) o el tribunal arbitral que la CNV autorice y lo reemplace (el “Tribunal”), en virtud de la delegación de facultades otorgadas por  BYMA a la BCBA en materia de constitución de Tribunales Arbitrales, de conformidad con lo dispuesto en la Resolución Nº18.629 de la CNV, de acuerdo con la </w:t>
            </w:r>
            <w:r w:rsidRPr="00F44670">
              <w:rPr>
                <w:color w:val="000000"/>
                <w:sz w:val="22"/>
                <w:szCs w:val="22"/>
                <w:lang w:val="es-ES" w:bidi="es-ES"/>
              </w:rPr>
              <w:lastRenderedPageBreak/>
              <w:t>reglamentación vigente para el arbitraje de derecho que todas las personas mencionadas anteriormente conocen y aceptan</w:t>
            </w:r>
            <w:r w:rsidR="007E4BE4">
              <w:rPr>
                <w:color w:val="000000"/>
                <w:sz w:val="22"/>
                <w:szCs w:val="22"/>
                <w:lang w:val="es-ES" w:bidi="es-ES"/>
              </w:rPr>
              <w:t>,</w:t>
            </w:r>
            <w:r w:rsidRPr="00F44670">
              <w:rPr>
                <w:color w:val="000000"/>
                <w:sz w:val="22"/>
                <w:szCs w:val="22"/>
                <w:lang w:val="es-ES" w:bidi="es-ES"/>
              </w:rPr>
              <w:t xml:space="preserve"> quedando a salvo el derecho de los inversores en las Obligaciones Negociables contemplado en el artículo 46 de la Ley de Mercado de Capitales de optar por acudir a los tribunales judiciales competentes en caso de conflicto con la mencionada entidad o con los agentes que actúen en su ámbito, y todo ello sin perjuicio del derecho de dichos inversores de reclamar el cobro judicial de cualquier suma adeudada por la Emisora bajo las Obligaciones Negociables Serie II, acudiendo a los tribunales judiciales competentes. La sentencia que dicte el Tribunal será inapelable renunciando las partes a la interposición de recursos, sin perjuicio de los dispuesto en art. 760 del Código Procesal Civil y Comercial respecto de los recursos de nulidad y aclaratoria. Ello sin perjuicio de la acción ejecutiva de cobro que tramitará ante los tribunales competentes del domicilio de la Emisora. La tasa de arbitraje y gastos que se deriven del procedimiento arbitral serán determinados de conformidad a la reglamentación aplicable al Tribunal.</w:t>
            </w:r>
          </w:p>
          <w:p w14:paraId="2B05CA7F" w14:textId="57F70AFC" w:rsidR="000E5AD3" w:rsidRPr="00F44670" w:rsidRDefault="000E5AD3" w:rsidP="004B74C2">
            <w:pPr>
              <w:pStyle w:val="Textoindependiente"/>
              <w:rPr>
                <w:sz w:val="22"/>
                <w:szCs w:val="22"/>
                <w:lang w:val="es-ES" w:eastAsia="es-ES"/>
              </w:rPr>
            </w:pPr>
          </w:p>
        </w:tc>
      </w:tr>
      <w:tr w:rsidR="005F4576" w:rsidRPr="00F44670" w14:paraId="0D275641" w14:textId="77777777" w:rsidTr="00B758A4">
        <w:trPr>
          <w:trHeight w:val="747"/>
        </w:trPr>
        <w:tc>
          <w:tcPr>
            <w:tcW w:w="2935" w:type="dxa"/>
            <w:shd w:val="clear" w:color="auto" w:fill="FFFFFF"/>
          </w:tcPr>
          <w:p w14:paraId="6C205D81" w14:textId="5BE4A47B" w:rsidR="005F4576" w:rsidRPr="00F44670" w:rsidRDefault="005F4576" w:rsidP="005F4576">
            <w:pPr>
              <w:rPr>
                <w:b/>
                <w:sz w:val="22"/>
                <w:szCs w:val="22"/>
              </w:rPr>
            </w:pPr>
            <w:r w:rsidRPr="00F44670">
              <w:rPr>
                <w:b/>
                <w:sz w:val="22"/>
                <w:szCs w:val="22"/>
              </w:rPr>
              <w:lastRenderedPageBreak/>
              <w:t>Listado</w:t>
            </w:r>
          </w:p>
        </w:tc>
        <w:tc>
          <w:tcPr>
            <w:tcW w:w="6415" w:type="dxa"/>
            <w:shd w:val="clear" w:color="auto" w:fill="FFFFFF"/>
          </w:tcPr>
          <w:p w14:paraId="30B02004" w14:textId="4B5A8FB1" w:rsidR="005F4576" w:rsidRPr="00F2691D" w:rsidRDefault="005F4576" w:rsidP="004B74C2">
            <w:pPr>
              <w:pStyle w:val="Textoindependiente"/>
              <w:rPr>
                <w:sz w:val="22"/>
                <w:szCs w:val="22"/>
                <w:lang w:val="es-ES" w:eastAsia="es-ES"/>
              </w:rPr>
            </w:pPr>
            <w:r w:rsidRPr="00F44670">
              <w:rPr>
                <w:sz w:val="22"/>
                <w:szCs w:val="22"/>
                <w:lang w:val="es-ES" w:eastAsia="es-ES"/>
              </w:rPr>
              <w:t>Se solicitará el listado en Bolsas y Mercados Argentinos S.A., Mercado Argentino de Valores S.A. y Mercado Abierto Electrónico S.A.</w:t>
            </w:r>
            <w:r w:rsidR="00100738" w:rsidRPr="00F2691D">
              <w:rPr>
                <w:sz w:val="22"/>
                <w:szCs w:val="22"/>
                <w:lang w:val="es-ES" w:eastAsia="es-ES"/>
              </w:rPr>
              <w:t xml:space="preserve"> La Sociedad solicitará que las Obligaciones Negociables </w:t>
            </w:r>
            <w:r w:rsidR="00461AE6">
              <w:rPr>
                <w:sz w:val="22"/>
                <w:szCs w:val="22"/>
                <w:lang w:val="es-ES" w:eastAsia="es-ES"/>
              </w:rPr>
              <w:t>S</w:t>
            </w:r>
            <w:r w:rsidR="00100738">
              <w:rPr>
                <w:sz w:val="22"/>
                <w:szCs w:val="22"/>
                <w:lang w:val="es-ES" w:eastAsia="es-ES"/>
              </w:rPr>
              <w:t xml:space="preserve">erie II </w:t>
            </w:r>
            <w:r w:rsidR="00100738" w:rsidRPr="00F2691D">
              <w:rPr>
                <w:sz w:val="22"/>
                <w:szCs w:val="22"/>
                <w:lang w:val="es-ES" w:eastAsia="es-ES"/>
              </w:rPr>
              <w:t>sean elegibles para su transferencia a través de Euroclear, cuya aceptación de la solicitud dependerá de dicha central de depósito, no teniendo la Sociedad ni los Organizadores y Colocadores responsabilidad alguna respecto de ello.</w:t>
            </w:r>
          </w:p>
          <w:p w14:paraId="6FC9008F" w14:textId="77777777" w:rsidR="005F4576" w:rsidRPr="004B74C2" w:rsidRDefault="005F4576" w:rsidP="004F07CA">
            <w:pPr>
              <w:pStyle w:val="Sangradetextonormal"/>
              <w:ind w:left="0"/>
              <w:jc w:val="both"/>
              <w:rPr>
                <w:sz w:val="22"/>
                <w:szCs w:val="22"/>
                <w:lang w:val="es-AR" w:eastAsia="es-ES"/>
              </w:rPr>
            </w:pPr>
          </w:p>
        </w:tc>
      </w:tr>
      <w:tr w:rsidR="005F4576" w:rsidRPr="00F44670" w14:paraId="680DE9AD" w14:textId="77777777" w:rsidTr="00B758A4">
        <w:trPr>
          <w:trHeight w:val="747"/>
        </w:trPr>
        <w:tc>
          <w:tcPr>
            <w:tcW w:w="2935" w:type="dxa"/>
            <w:shd w:val="clear" w:color="auto" w:fill="FFFFFF"/>
          </w:tcPr>
          <w:p w14:paraId="3924A918" w14:textId="6A2B6DD3" w:rsidR="005F4576" w:rsidRPr="00F44670" w:rsidRDefault="005F4576" w:rsidP="004F07CA">
            <w:pPr>
              <w:rPr>
                <w:b/>
                <w:sz w:val="22"/>
                <w:szCs w:val="22"/>
              </w:rPr>
            </w:pPr>
            <w:r w:rsidRPr="00F44670">
              <w:rPr>
                <w:b/>
                <w:sz w:val="22"/>
                <w:szCs w:val="22"/>
              </w:rPr>
              <w:t xml:space="preserve">Método de </w:t>
            </w:r>
            <w:r>
              <w:rPr>
                <w:b/>
                <w:sz w:val="22"/>
                <w:szCs w:val="22"/>
              </w:rPr>
              <w:t>c</w:t>
            </w:r>
            <w:r w:rsidRPr="00F44670">
              <w:rPr>
                <w:b/>
                <w:sz w:val="22"/>
                <w:szCs w:val="22"/>
              </w:rPr>
              <w:t>olocación</w:t>
            </w:r>
          </w:p>
        </w:tc>
        <w:tc>
          <w:tcPr>
            <w:tcW w:w="6415" w:type="dxa"/>
            <w:shd w:val="clear" w:color="auto" w:fill="FFFFFF"/>
          </w:tcPr>
          <w:p w14:paraId="4E77E15F" w14:textId="77777777" w:rsidR="005F4576" w:rsidRPr="00F44670" w:rsidRDefault="005F4576" w:rsidP="004F07CA">
            <w:pPr>
              <w:pStyle w:val="Sangradetextonormal"/>
              <w:ind w:left="0"/>
              <w:jc w:val="both"/>
              <w:rPr>
                <w:sz w:val="22"/>
                <w:szCs w:val="22"/>
                <w:lang w:val="es-ES" w:eastAsia="es-ES"/>
              </w:rPr>
            </w:pPr>
            <w:r w:rsidRPr="00F44670">
              <w:rPr>
                <w:sz w:val="22"/>
                <w:szCs w:val="22"/>
                <w:lang w:eastAsia="zh-CN"/>
              </w:rPr>
              <w:t xml:space="preserve">Serán colocadas a través de oferta pública en el país </w:t>
            </w:r>
            <w:r w:rsidRPr="00F44670">
              <w:rPr>
                <w:noProof/>
                <w:snapToGrid w:val="0"/>
                <w:sz w:val="22"/>
                <w:szCs w:val="22"/>
              </w:rPr>
              <w:t xml:space="preserve">mediante el sistema de colocación y adjudicación </w:t>
            </w:r>
            <w:r w:rsidRPr="00F44670">
              <w:rPr>
                <w:sz w:val="22"/>
                <w:szCs w:val="22"/>
                <w:lang w:eastAsia="zh-CN"/>
              </w:rPr>
              <w:t xml:space="preserve">conforme se detalla en la </w:t>
            </w:r>
            <w:r>
              <w:rPr>
                <w:sz w:val="22"/>
                <w:szCs w:val="22"/>
                <w:lang w:val="es-AR" w:eastAsia="zh-CN"/>
              </w:rPr>
              <w:t>Sección</w:t>
            </w:r>
            <w:r w:rsidRPr="00F44670">
              <w:rPr>
                <w:sz w:val="22"/>
                <w:szCs w:val="22"/>
                <w:lang w:eastAsia="zh-CN"/>
              </w:rPr>
              <w:t xml:space="preserve"> I</w:t>
            </w:r>
            <w:r>
              <w:rPr>
                <w:sz w:val="22"/>
                <w:szCs w:val="22"/>
                <w:lang w:val="es-AR" w:eastAsia="zh-CN"/>
              </w:rPr>
              <w:t>V</w:t>
            </w:r>
            <w:r w:rsidRPr="00F44670">
              <w:rPr>
                <w:sz w:val="22"/>
                <w:szCs w:val="22"/>
                <w:lang w:eastAsia="zh-CN"/>
              </w:rPr>
              <w:t xml:space="preserve"> “Plan de Distribución”. </w:t>
            </w:r>
          </w:p>
        </w:tc>
      </w:tr>
      <w:tr w:rsidR="005F4576" w:rsidRPr="00F44670" w14:paraId="6324A501" w14:textId="77777777" w:rsidTr="00B758A4">
        <w:trPr>
          <w:trHeight w:val="747"/>
        </w:trPr>
        <w:tc>
          <w:tcPr>
            <w:tcW w:w="2935" w:type="dxa"/>
            <w:shd w:val="clear" w:color="auto" w:fill="FFFFFF"/>
          </w:tcPr>
          <w:p w14:paraId="78CA8ED3" w14:textId="1F211A56" w:rsidR="005F4576" w:rsidRPr="00F44670" w:rsidRDefault="005F4576" w:rsidP="004F07CA">
            <w:pPr>
              <w:rPr>
                <w:b/>
                <w:sz w:val="22"/>
                <w:szCs w:val="22"/>
              </w:rPr>
            </w:pPr>
            <w:r w:rsidRPr="00F44670">
              <w:rPr>
                <w:b/>
                <w:sz w:val="22"/>
                <w:szCs w:val="22"/>
              </w:rPr>
              <w:t xml:space="preserve">Destino de los </w:t>
            </w:r>
            <w:r>
              <w:rPr>
                <w:b/>
                <w:sz w:val="22"/>
                <w:szCs w:val="22"/>
              </w:rPr>
              <w:t>f</w:t>
            </w:r>
            <w:r w:rsidRPr="00F44670">
              <w:rPr>
                <w:b/>
                <w:sz w:val="22"/>
                <w:szCs w:val="22"/>
              </w:rPr>
              <w:t>ondos</w:t>
            </w:r>
          </w:p>
        </w:tc>
        <w:tc>
          <w:tcPr>
            <w:tcW w:w="6415" w:type="dxa"/>
            <w:shd w:val="clear" w:color="auto" w:fill="FFFFFF"/>
          </w:tcPr>
          <w:p w14:paraId="0DD633F5" w14:textId="082C1DE8" w:rsidR="005F4576" w:rsidRPr="00F44670" w:rsidRDefault="005F4576" w:rsidP="004F07CA">
            <w:pPr>
              <w:jc w:val="both"/>
              <w:rPr>
                <w:color w:val="1F497D"/>
                <w:sz w:val="22"/>
                <w:szCs w:val="22"/>
              </w:rPr>
            </w:pPr>
            <w:r w:rsidRPr="00F44670">
              <w:rPr>
                <w:sz w:val="22"/>
                <w:szCs w:val="22"/>
              </w:rPr>
              <w:t xml:space="preserve">Los recursos provenientes de la colocación de las ON Serie II serán </w:t>
            </w:r>
            <w:r>
              <w:rPr>
                <w:sz w:val="22"/>
                <w:szCs w:val="22"/>
              </w:rPr>
              <w:t>aplicados</w:t>
            </w:r>
            <w:r w:rsidRPr="00F44670">
              <w:rPr>
                <w:sz w:val="22"/>
                <w:szCs w:val="22"/>
              </w:rPr>
              <w:t xml:space="preserve"> a</w:t>
            </w:r>
            <w:r>
              <w:rPr>
                <w:sz w:val="22"/>
                <w:szCs w:val="22"/>
              </w:rPr>
              <w:t xml:space="preserve"> cualquiera de</w:t>
            </w:r>
            <w:r w:rsidRPr="00F44670">
              <w:rPr>
                <w:sz w:val="22"/>
                <w:szCs w:val="22"/>
              </w:rPr>
              <w:t xml:space="preserve"> los destinos indicados en el artículo 36 de la ley 23.576. </w:t>
            </w:r>
          </w:p>
          <w:p w14:paraId="6D9408DB" w14:textId="77777777" w:rsidR="005F4576" w:rsidRPr="00F44670" w:rsidRDefault="005F4576" w:rsidP="004F07CA">
            <w:pPr>
              <w:pStyle w:val="Sangradetextonormal"/>
              <w:ind w:left="0"/>
              <w:jc w:val="both"/>
              <w:rPr>
                <w:sz w:val="22"/>
                <w:szCs w:val="22"/>
                <w:lang w:eastAsia="zh-CN"/>
              </w:rPr>
            </w:pPr>
          </w:p>
        </w:tc>
      </w:tr>
      <w:tr w:rsidR="005F4576" w:rsidRPr="00F44670" w14:paraId="11DD759E" w14:textId="77777777" w:rsidTr="00B758A4">
        <w:trPr>
          <w:trHeight w:val="747"/>
        </w:trPr>
        <w:tc>
          <w:tcPr>
            <w:tcW w:w="2935" w:type="dxa"/>
            <w:shd w:val="clear" w:color="auto" w:fill="FFFFFF"/>
          </w:tcPr>
          <w:p w14:paraId="76638B0B" w14:textId="77777777" w:rsidR="005F4576" w:rsidRPr="00F44670" w:rsidRDefault="005F4576" w:rsidP="004F07CA">
            <w:pPr>
              <w:rPr>
                <w:b/>
                <w:sz w:val="22"/>
                <w:szCs w:val="22"/>
              </w:rPr>
            </w:pPr>
            <w:r w:rsidRPr="00F44670">
              <w:rPr>
                <w:b/>
                <w:sz w:val="22"/>
                <w:szCs w:val="22"/>
              </w:rPr>
              <w:t>Calificación de riesgo</w:t>
            </w:r>
          </w:p>
        </w:tc>
        <w:tc>
          <w:tcPr>
            <w:tcW w:w="6415" w:type="dxa"/>
            <w:shd w:val="clear" w:color="auto" w:fill="FFFFFF"/>
          </w:tcPr>
          <w:p w14:paraId="63DA257F" w14:textId="7EF03304" w:rsidR="005F4576" w:rsidRPr="00F44670" w:rsidRDefault="005F4576" w:rsidP="004F07CA">
            <w:pPr>
              <w:autoSpaceDE w:val="0"/>
              <w:autoSpaceDN w:val="0"/>
              <w:adjustRightInd w:val="0"/>
              <w:jc w:val="both"/>
              <w:rPr>
                <w:color w:val="000000"/>
                <w:sz w:val="22"/>
                <w:szCs w:val="22"/>
              </w:rPr>
            </w:pPr>
            <w:r w:rsidRPr="00F44670">
              <w:rPr>
                <w:sz w:val="22"/>
                <w:szCs w:val="22"/>
              </w:rPr>
              <w:t xml:space="preserve">Las ON Serie II cuentan con una calificación de riesgo y han sido calificadas por </w:t>
            </w:r>
            <w:r w:rsidR="003170E8" w:rsidRPr="00C274DD">
              <w:rPr>
                <w:sz w:val="22"/>
                <w:szCs w:val="22"/>
              </w:rPr>
              <w:t>FIX SCR S.A. Agente de Calificación de Riesgo</w:t>
            </w:r>
            <w:r w:rsidRPr="00F44670">
              <w:rPr>
                <w:sz w:val="22"/>
                <w:szCs w:val="22"/>
              </w:rPr>
              <w:t xml:space="preserve"> quien</w:t>
            </w:r>
            <w:r w:rsidRPr="00F44670">
              <w:rPr>
                <w:sz w:val="22"/>
                <w:szCs w:val="22"/>
                <w:lang w:val="es-AR"/>
              </w:rPr>
              <w:t xml:space="preserve"> ha calificado las ON Serie II </w:t>
            </w:r>
            <w:r w:rsidR="003170E8">
              <w:rPr>
                <w:sz w:val="22"/>
                <w:szCs w:val="22"/>
                <w:lang w:val="es-AR"/>
              </w:rPr>
              <w:t xml:space="preserve">Clase A </w:t>
            </w:r>
            <w:r w:rsidRPr="00F44670">
              <w:rPr>
                <w:sz w:val="22"/>
                <w:szCs w:val="22"/>
                <w:lang w:val="es-AR"/>
              </w:rPr>
              <w:t>con</w:t>
            </w:r>
            <w:r w:rsidR="003170E8">
              <w:rPr>
                <w:sz w:val="22"/>
                <w:szCs w:val="22"/>
                <w:lang w:val="es-AR"/>
              </w:rPr>
              <w:t xml:space="preserve"> BBB+ (arg) y a las ON Serie II Clase B con A3 (arg)</w:t>
            </w:r>
            <w:r w:rsidRPr="00F44670">
              <w:rPr>
                <w:sz w:val="22"/>
                <w:szCs w:val="22"/>
                <w:lang w:val="es-AR"/>
              </w:rPr>
              <w:t xml:space="preserve"> </w:t>
            </w:r>
            <w:r w:rsidRPr="00F44670">
              <w:rPr>
                <w:sz w:val="22"/>
                <w:szCs w:val="22"/>
              </w:rPr>
              <w:t xml:space="preserve">con fecha </w:t>
            </w:r>
            <w:r w:rsidR="003170E8">
              <w:rPr>
                <w:sz w:val="22"/>
                <w:szCs w:val="22"/>
              </w:rPr>
              <w:t>5</w:t>
            </w:r>
            <w:r w:rsidRPr="00F44670">
              <w:rPr>
                <w:sz w:val="22"/>
                <w:szCs w:val="22"/>
                <w:lang w:val="es-AR"/>
              </w:rPr>
              <w:t xml:space="preserve"> </w:t>
            </w:r>
            <w:r w:rsidRPr="00F44670">
              <w:rPr>
                <w:sz w:val="22"/>
                <w:szCs w:val="22"/>
              </w:rPr>
              <w:t xml:space="preserve">de </w:t>
            </w:r>
            <w:r w:rsidR="003170E8">
              <w:rPr>
                <w:sz w:val="22"/>
                <w:szCs w:val="22"/>
              </w:rPr>
              <w:t>febrero</w:t>
            </w:r>
            <w:r w:rsidRPr="00F44670">
              <w:rPr>
                <w:sz w:val="22"/>
                <w:szCs w:val="22"/>
                <w:lang w:val="es-AR"/>
              </w:rPr>
              <w:t xml:space="preserve"> </w:t>
            </w:r>
            <w:r w:rsidRPr="00F44670">
              <w:rPr>
                <w:sz w:val="22"/>
                <w:szCs w:val="22"/>
              </w:rPr>
              <w:t>de 2020</w:t>
            </w:r>
            <w:r w:rsidRPr="00F44670">
              <w:rPr>
                <w:sz w:val="22"/>
                <w:szCs w:val="22"/>
                <w:lang w:val="es-AR"/>
              </w:rPr>
              <w:t>.</w:t>
            </w:r>
            <w:r w:rsidRPr="00F44670">
              <w:rPr>
                <w:color w:val="000000"/>
                <w:sz w:val="22"/>
                <w:szCs w:val="22"/>
              </w:rPr>
              <w:t xml:space="preserve"> </w:t>
            </w:r>
          </w:p>
          <w:p w14:paraId="42DD66C2" w14:textId="77777777" w:rsidR="005F4576" w:rsidRPr="00F44670" w:rsidRDefault="005F4576" w:rsidP="004F07CA">
            <w:pPr>
              <w:autoSpaceDE w:val="0"/>
              <w:autoSpaceDN w:val="0"/>
              <w:adjustRightInd w:val="0"/>
              <w:jc w:val="both"/>
              <w:rPr>
                <w:color w:val="000000"/>
                <w:sz w:val="22"/>
                <w:szCs w:val="22"/>
              </w:rPr>
            </w:pPr>
          </w:p>
          <w:p w14:paraId="0A005EB6" w14:textId="77777777" w:rsidR="003170E8" w:rsidRDefault="005F4576" w:rsidP="003170E8">
            <w:pPr>
              <w:pStyle w:val="Default"/>
              <w:rPr>
                <w:sz w:val="22"/>
                <w:szCs w:val="22"/>
              </w:rPr>
            </w:pPr>
            <w:r w:rsidRPr="00F44670">
              <w:rPr>
                <w:sz w:val="22"/>
                <w:szCs w:val="22"/>
              </w:rPr>
              <w:t xml:space="preserve">Significado de la calificación: </w:t>
            </w:r>
          </w:p>
          <w:p w14:paraId="487B96E4" w14:textId="48E16584" w:rsidR="003170E8" w:rsidRPr="00C274DD" w:rsidRDefault="003170E8" w:rsidP="00C274DD">
            <w:pPr>
              <w:autoSpaceDE w:val="0"/>
              <w:autoSpaceDN w:val="0"/>
              <w:adjustRightInd w:val="0"/>
              <w:jc w:val="both"/>
              <w:rPr>
                <w:sz w:val="22"/>
                <w:szCs w:val="22"/>
              </w:rPr>
            </w:pPr>
            <w:r w:rsidRPr="00C274DD">
              <w:rPr>
                <w:sz w:val="22"/>
                <w:szCs w:val="22"/>
              </w:rPr>
              <w:t xml:space="preserve">Categoría BBB(arg): "BBB" nacional implica una adecuada calidad crediticia respecto de otros emisores o emisiones del país. Sin embargo, cambios en las circunstancias o condiciones económicas tienen una mayor probabilidad de afectar la capacidad de pago en tiempo y forma que para obligaciones financieras calificadas con categorías superiores. </w:t>
            </w:r>
          </w:p>
          <w:p w14:paraId="322AB296" w14:textId="77777777" w:rsidR="003170E8" w:rsidRDefault="003170E8" w:rsidP="003170E8">
            <w:pPr>
              <w:autoSpaceDE w:val="0"/>
              <w:autoSpaceDN w:val="0"/>
              <w:adjustRightInd w:val="0"/>
              <w:jc w:val="both"/>
              <w:rPr>
                <w:sz w:val="22"/>
                <w:szCs w:val="22"/>
              </w:rPr>
            </w:pPr>
          </w:p>
          <w:p w14:paraId="42BBF05A" w14:textId="5FE229F2" w:rsidR="005F4576" w:rsidRPr="00F44670" w:rsidRDefault="003170E8" w:rsidP="003170E8">
            <w:pPr>
              <w:autoSpaceDE w:val="0"/>
              <w:autoSpaceDN w:val="0"/>
              <w:adjustRightInd w:val="0"/>
              <w:jc w:val="both"/>
              <w:rPr>
                <w:sz w:val="22"/>
                <w:szCs w:val="22"/>
              </w:rPr>
            </w:pPr>
            <w:r w:rsidRPr="00C274DD">
              <w:rPr>
                <w:sz w:val="22"/>
                <w:szCs w:val="22"/>
              </w:rPr>
              <w:t xml:space="preserve">A3(arg): Indica una adecuada capacidad de pago en tiempo y forma de los compromisos financieros respecto de otros emisores o emisiones del mismo país. Sin embargo, dicha capacidad es más susceptible en el corto plazo a cambios adversos que los compromisos financieros calificados. </w:t>
            </w:r>
          </w:p>
          <w:p w14:paraId="3F00784C" w14:textId="77777777" w:rsidR="005F4576" w:rsidRPr="00F44670" w:rsidRDefault="005F4576" w:rsidP="004F07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color w:val="000000"/>
                <w:sz w:val="22"/>
                <w:szCs w:val="22"/>
              </w:rPr>
            </w:pPr>
          </w:p>
          <w:p w14:paraId="1013E004" w14:textId="77777777" w:rsidR="005F4576" w:rsidRPr="00F44670" w:rsidRDefault="005F4576" w:rsidP="004F07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color w:val="000000"/>
                <w:sz w:val="22"/>
                <w:szCs w:val="22"/>
              </w:rPr>
            </w:pPr>
            <w:r w:rsidRPr="00F44670">
              <w:rPr>
                <w:color w:val="000000"/>
                <w:sz w:val="22"/>
                <w:szCs w:val="22"/>
              </w:rPr>
              <w:t xml:space="preserve">El dictamen de la calificadora de riesgo puede ser consultado en </w:t>
            </w:r>
            <w:hyperlink r:id="rId18" w:history="1">
              <w:r w:rsidRPr="00F44670">
                <w:rPr>
                  <w:rStyle w:val="Hipervnculo"/>
                  <w:sz w:val="22"/>
                  <w:szCs w:val="22"/>
                </w:rPr>
                <w:t>www.cnv.gov.ar</w:t>
              </w:r>
            </w:hyperlink>
            <w:r w:rsidRPr="00F44670">
              <w:rPr>
                <w:color w:val="000000"/>
                <w:sz w:val="22"/>
                <w:szCs w:val="22"/>
              </w:rPr>
              <w:t>.</w:t>
            </w:r>
          </w:p>
          <w:p w14:paraId="6585BC36" w14:textId="77777777" w:rsidR="005F4576" w:rsidRPr="00F44670" w:rsidRDefault="005F4576" w:rsidP="004F07CA">
            <w:pPr>
              <w:pStyle w:val="notaalpie"/>
              <w:rPr>
                <w:rFonts w:ascii="Times New Roman" w:hAnsi="Times New Roman"/>
                <w:sz w:val="22"/>
                <w:szCs w:val="22"/>
              </w:rPr>
            </w:pPr>
          </w:p>
          <w:p w14:paraId="56925DC0" w14:textId="496D88FB" w:rsidR="005F4576" w:rsidRPr="00F44670" w:rsidRDefault="005F4576" w:rsidP="004F07CA">
            <w:pPr>
              <w:pStyle w:val="notaalpie"/>
              <w:rPr>
                <w:rFonts w:ascii="Times New Roman" w:hAnsi="Times New Roman"/>
                <w:sz w:val="22"/>
                <w:szCs w:val="22"/>
              </w:rPr>
            </w:pPr>
            <w:r w:rsidRPr="00F44670">
              <w:rPr>
                <w:rFonts w:ascii="Times New Roman" w:hAnsi="Times New Roman"/>
                <w:sz w:val="22"/>
                <w:szCs w:val="22"/>
              </w:rPr>
              <w:t xml:space="preserve">La calificación no constituye y no representa una recomendación por parte de la Emisora </w:t>
            </w:r>
            <w:r>
              <w:rPr>
                <w:rFonts w:ascii="Times New Roman" w:hAnsi="Times New Roman"/>
                <w:sz w:val="22"/>
                <w:szCs w:val="22"/>
              </w:rPr>
              <w:t>ni</w:t>
            </w:r>
            <w:r w:rsidRPr="00F44670">
              <w:rPr>
                <w:rFonts w:ascii="Times New Roman" w:hAnsi="Times New Roman"/>
                <w:sz w:val="22"/>
                <w:szCs w:val="22"/>
              </w:rPr>
              <w:t xml:space="preserve"> del Colocador de compra, tenencia o venta de las ON Serie II a ser emitidas. </w:t>
            </w:r>
          </w:p>
          <w:p w14:paraId="48236B70" w14:textId="77777777" w:rsidR="005F4576" w:rsidRPr="00F44670" w:rsidRDefault="005F4576" w:rsidP="004F07CA">
            <w:pPr>
              <w:pStyle w:val="Textonotapie"/>
              <w:jc w:val="both"/>
              <w:rPr>
                <w:color w:val="000000"/>
                <w:sz w:val="22"/>
                <w:szCs w:val="22"/>
                <w:lang w:val="es-ES_tradnl" w:bidi="es-ES"/>
              </w:rPr>
            </w:pPr>
          </w:p>
        </w:tc>
      </w:tr>
      <w:tr w:rsidR="005F4576" w:rsidRPr="00F44670" w14:paraId="53C85AFC" w14:textId="77777777" w:rsidTr="00B758A4">
        <w:tc>
          <w:tcPr>
            <w:tcW w:w="2935" w:type="dxa"/>
            <w:shd w:val="clear" w:color="auto" w:fill="FFFFFF"/>
          </w:tcPr>
          <w:p w14:paraId="77F5DE46" w14:textId="77777777" w:rsidR="005F4576" w:rsidRPr="00F44670" w:rsidRDefault="005F4576" w:rsidP="004F07CA">
            <w:pPr>
              <w:rPr>
                <w:b/>
                <w:sz w:val="22"/>
                <w:szCs w:val="22"/>
              </w:rPr>
            </w:pPr>
            <w:r w:rsidRPr="00F44670">
              <w:rPr>
                <w:b/>
                <w:bCs/>
                <w:sz w:val="22"/>
                <w:szCs w:val="22"/>
              </w:rPr>
              <w:lastRenderedPageBreak/>
              <w:t>Fecha de Emisión</w:t>
            </w:r>
            <w:r>
              <w:rPr>
                <w:b/>
                <w:bCs/>
                <w:sz w:val="22"/>
                <w:szCs w:val="22"/>
              </w:rPr>
              <w:t xml:space="preserve"> y Liquidación</w:t>
            </w:r>
          </w:p>
        </w:tc>
        <w:tc>
          <w:tcPr>
            <w:tcW w:w="6415" w:type="dxa"/>
            <w:shd w:val="clear" w:color="auto" w:fill="FFFFFF"/>
          </w:tcPr>
          <w:p w14:paraId="2E5D2642" w14:textId="4844088F" w:rsidR="005F4576" w:rsidRPr="00F44670" w:rsidRDefault="005F4576" w:rsidP="004F07CA">
            <w:pPr>
              <w:pStyle w:val="Sangradetextonormal"/>
              <w:ind w:left="0"/>
              <w:rPr>
                <w:sz w:val="22"/>
                <w:szCs w:val="22"/>
                <w:lang w:val="es-ES" w:eastAsia="es-ES"/>
              </w:rPr>
            </w:pPr>
            <w:r w:rsidRPr="00F44670">
              <w:rPr>
                <w:sz w:val="22"/>
                <w:szCs w:val="22"/>
                <w:lang w:val="es-ES" w:eastAsia="es-ES"/>
              </w:rPr>
              <w:t xml:space="preserve">Será </w:t>
            </w:r>
            <w:r w:rsidR="008D057C">
              <w:rPr>
                <w:sz w:val="22"/>
                <w:szCs w:val="22"/>
                <w:lang w:val="es-ES" w:eastAsia="es-ES"/>
              </w:rPr>
              <w:t>dentro d</w:t>
            </w:r>
            <w:r w:rsidRPr="00F44670">
              <w:rPr>
                <w:sz w:val="22"/>
                <w:szCs w:val="22"/>
                <w:lang w:val="es-ES" w:eastAsia="es-ES"/>
              </w:rPr>
              <w:t xml:space="preserve">el </w:t>
            </w:r>
            <w:r w:rsidR="008D057C">
              <w:rPr>
                <w:sz w:val="22"/>
                <w:szCs w:val="22"/>
                <w:lang w:val="es-ES" w:eastAsia="es-ES"/>
              </w:rPr>
              <w:t>quinto</w:t>
            </w:r>
            <w:r w:rsidRPr="00F44670">
              <w:rPr>
                <w:sz w:val="22"/>
                <w:szCs w:val="22"/>
                <w:lang w:val="es-ES" w:eastAsia="es-ES"/>
              </w:rPr>
              <w:t xml:space="preserve"> Día Hábil posterior al cierre del Período de Licitación</w:t>
            </w:r>
            <w:r w:rsidR="008D057C">
              <w:rPr>
                <w:sz w:val="22"/>
                <w:szCs w:val="22"/>
                <w:lang w:val="es-ES" w:eastAsia="es-ES"/>
              </w:rPr>
              <w:t xml:space="preserve"> conforme se indique en el Aviso de Colocación</w:t>
            </w:r>
            <w:r w:rsidRPr="00F44670">
              <w:rPr>
                <w:sz w:val="22"/>
                <w:szCs w:val="22"/>
                <w:lang w:val="es-ES" w:eastAsia="es-ES"/>
              </w:rPr>
              <w:t>.</w:t>
            </w:r>
          </w:p>
          <w:p w14:paraId="46916B26" w14:textId="77777777" w:rsidR="005F4576" w:rsidRPr="00F44670" w:rsidRDefault="005F4576" w:rsidP="004F07CA">
            <w:pPr>
              <w:pStyle w:val="Sangradetextonormal"/>
              <w:ind w:left="0"/>
              <w:jc w:val="both"/>
              <w:rPr>
                <w:sz w:val="22"/>
                <w:szCs w:val="22"/>
                <w:lang w:val="es-ES" w:eastAsia="es-ES"/>
              </w:rPr>
            </w:pPr>
          </w:p>
        </w:tc>
      </w:tr>
      <w:tr w:rsidR="005F4576" w:rsidRPr="00F44670" w14:paraId="18D961D2" w14:textId="77777777" w:rsidTr="00B758A4">
        <w:tc>
          <w:tcPr>
            <w:tcW w:w="2935" w:type="dxa"/>
            <w:shd w:val="clear" w:color="auto" w:fill="FFFFFF"/>
          </w:tcPr>
          <w:p w14:paraId="485748A4" w14:textId="77777777" w:rsidR="005F4576" w:rsidRPr="00F44670" w:rsidRDefault="005F4576" w:rsidP="004F07CA">
            <w:pPr>
              <w:pStyle w:val="Sangradetextonormal"/>
              <w:ind w:left="6"/>
              <w:rPr>
                <w:b/>
                <w:bCs/>
                <w:sz w:val="22"/>
                <w:szCs w:val="22"/>
                <w:lang w:val="es-ES_tradnl" w:eastAsia="es-ES"/>
              </w:rPr>
            </w:pPr>
            <w:r w:rsidRPr="00F44670">
              <w:rPr>
                <w:b/>
                <w:bCs/>
                <w:sz w:val="22"/>
                <w:szCs w:val="22"/>
                <w:lang w:val="es-ES_tradnl" w:eastAsia="es-ES"/>
              </w:rPr>
              <w:t>Período de Colocación</w:t>
            </w:r>
          </w:p>
          <w:p w14:paraId="578AA646" w14:textId="77777777" w:rsidR="005F4576" w:rsidRPr="00F44670" w:rsidRDefault="005F4576" w:rsidP="004F07CA">
            <w:pPr>
              <w:pStyle w:val="Sangradetextonormal"/>
              <w:ind w:left="6"/>
              <w:rPr>
                <w:b/>
                <w:bCs/>
                <w:sz w:val="22"/>
                <w:szCs w:val="22"/>
                <w:lang w:val="es-ES" w:eastAsia="es-ES"/>
              </w:rPr>
            </w:pPr>
          </w:p>
          <w:p w14:paraId="7D19BE71" w14:textId="77777777" w:rsidR="005F4576" w:rsidRPr="00F44670" w:rsidRDefault="005F4576" w:rsidP="004F07CA">
            <w:pPr>
              <w:rPr>
                <w:b/>
                <w:sz w:val="22"/>
                <w:szCs w:val="22"/>
              </w:rPr>
            </w:pPr>
          </w:p>
        </w:tc>
        <w:tc>
          <w:tcPr>
            <w:tcW w:w="6415" w:type="dxa"/>
            <w:shd w:val="clear" w:color="auto" w:fill="FFFFFF"/>
          </w:tcPr>
          <w:p w14:paraId="5FABEE48" w14:textId="02700EBF" w:rsidR="005F4576" w:rsidRPr="00F44670" w:rsidRDefault="005F4576" w:rsidP="004F07CA">
            <w:pPr>
              <w:pStyle w:val="notaalpie"/>
              <w:suppressAutoHyphens/>
              <w:rPr>
                <w:rFonts w:ascii="Times New Roman" w:hAnsi="Times New Roman"/>
                <w:sz w:val="22"/>
                <w:szCs w:val="22"/>
              </w:rPr>
            </w:pPr>
            <w:r w:rsidRPr="00F44670">
              <w:rPr>
                <w:rFonts w:ascii="Times New Roman" w:hAnsi="Times New Roman"/>
                <w:sz w:val="22"/>
                <w:szCs w:val="22"/>
              </w:rPr>
              <w:t>Es el lapso de tiempo durante el cual se realiza la colocación entre el público de las ON Serie II el que comprende el Período de Difusión y el Período de Licitación el que será informado en el Aviso de Colocación.</w:t>
            </w:r>
          </w:p>
          <w:p w14:paraId="61E13C76" w14:textId="77777777" w:rsidR="005F4576" w:rsidRPr="00F44670" w:rsidRDefault="005F4576" w:rsidP="004F07CA">
            <w:pPr>
              <w:pStyle w:val="Sangradetextonormal"/>
              <w:ind w:left="0"/>
              <w:jc w:val="both"/>
              <w:rPr>
                <w:sz w:val="22"/>
                <w:szCs w:val="22"/>
                <w:lang w:val="es-ES" w:eastAsia="es-ES"/>
              </w:rPr>
            </w:pPr>
            <w:r w:rsidRPr="00F44670">
              <w:rPr>
                <w:sz w:val="22"/>
                <w:szCs w:val="22"/>
                <w:lang w:val="es-ES" w:eastAsia="es-ES"/>
              </w:rPr>
              <w:t xml:space="preserve"> </w:t>
            </w:r>
          </w:p>
        </w:tc>
      </w:tr>
      <w:tr w:rsidR="005F4576" w:rsidRPr="00F44670" w14:paraId="4BEA830B" w14:textId="77777777" w:rsidTr="00B758A4">
        <w:tc>
          <w:tcPr>
            <w:tcW w:w="2935" w:type="dxa"/>
            <w:shd w:val="clear" w:color="auto" w:fill="FFFFFF"/>
          </w:tcPr>
          <w:p w14:paraId="668A7ECB" w14:textId="77777777" w:rsidR="005F4576" w:rsidRPr="00F44670" w:rsidRDefault="005F4576" w:rsidP="004F07CA">
            <w:pPr>
              <w:rPr>
                <w:b/>
                <w:sz w:val="22"/>
                <w:szCs w:val="22"/>
              </w:rPr>
            </w:pPr>
            <w:r w:rsidRPr="00F44670">
              <w:rPr>
                <w:b/>
                <w:bCs/>
                <w:sz w:val="22"/>
                <w:szCs w:val="22"/>
                <w:lang w:val="es-ES_tradnl"/>
              </w:rPr>
              <w:t>Período de Difusión</w:t>
            </w:r>
          </w:p>
        </w:tc>
        <w:tc>
          <w:tcPr>
            <w:tcW w:w="6415" w:type="dxa"/>
            <w:shd w:val="clear" w:color="auto" w:fill="FFFFFF"/>
          </w:tcPr>
          <w:p w14:paraId="6A2F12DA" w14:textId="77777777" w:rsidR="005F4576" w:rsidRPr="00F44670" w:rsidRDefault="005F4576" w:rsidP="004F07CA">
            <w:pPr>
              <w:pStyle w:val="Textoindependiente22"/>
              <w:jc w:val="both"/>
              <w:rPr>
                <w:rFonts w:ascii="Times New Roman" w:hAnsi="Times New Roman"/>
                <w:b/>
                <w:color w:val="000000"/>
                <w:sz w:val="22"/>
                <w:szCs w:val="22"/>
              </w:rPr>
            </w:pPr>
            <w:r w:rsidRPr="00F44670">
              <w:rPr>
                <w:rFonts w:ascii="Times New Roman" w:hAnsi="Times New Roman"/>
                <w:color w:val="000000"/>
                <w:sz w:val="22"/>
                <w:szCs w:val="22"/>
              </w:rPr>
              <w:t xml:space="preserve">Significa el período </w:t>
            </w:r>
            <w:r w:rsidRPr="00F44670">
              <w:rPr>
                <w:rFonts w:ascii="Times New Roman" w:hAnsi="Times New Roman"/>
                <w:sz w:val="22"/>
                <w:szCs w:val="22"/>
              </w:rPr>
              <w:t xml:space="preserve">de, por lo menos, 3 (tres) días hábiles bursátiles para la difusión que </w:t>
            </w:r>
            <w:r w:rsidRPr="00F44670">
              <w:rPr>
                <w:rFonts w:ascii="Times New Roman" w:hAnsi="Times New Roman"/>
                <w:color w:val="000000"/>
                <w:sz w:val="22"/>
                <w:szCs w:val="22"/>
              </w:rPr>
              <w:t>será informado oportunamente en el Aviso de Colocación.</w:t>
            </w:r>
          </w:p>
          <w:p w14:paraId="2AF31E9F" w14:textId="77777777" w:rsidR="005F4576" w:rsidRPr="00F44670" w:rsidRDefault="005F4576" w:rsidP="004F07CA">
            <w:pPr>
              <w:pStyle w:val="Sangradetextonormal"/>
              <w:ind w:left="0"/>
              <w:jc w:val="both"/>
              <w:rPr>
                <w:sz w:val="22"/>
                <w:szCs w:val="22"/>
                <w:lang w:val="es-ES" w:eastAsia="es-ES"/>
              </w:rPr>
            </w:pPr>
          </w:p>
        </w:tc>
      </w:tr>
      <w:tr w:rsidR="005F4576" w:rsidRPr="00F44670" w14:paraId="1C1F30CD" w14:textId="77777777" w:rsidTr="00B758A4">
        <w:tc>
          <w:tcPr>
            <w:tcW w:w="2935" w:type="dxa"/>
            <w:shd w:val="clear" w:color="auto" w:fill="FFFFFF"/>
          </w:tcPr>
          <w:p w14:paraId="7EB20932" w14:textId="77777777" w:rsidR="005F4576" w:rsidRPr="00F44670" w:rsidRDefault="005F4576" w:rsidP="004F07CA">
            <w:pPr>
              <w:rPr>
                <w:b/>
                <w:sz w:val="22"/>
                <w:szCs w:val="22"/>
              </w:rPr>
            </w:pPr>
            <w:r w:rsidRPr="00F44670">
              <w:rPr>
                <w:b/>
                <w:bCs/>
                <w:sz w:val="22"/>
                <w:szCs w:val="22"/>
                <w:lang w:val="es-ES_tradnl"/>
              </w:rPr>
              <w:t>Período de Licitación</w:t>
            </w:r>
          </w:p>
        </w:tc>
        <w:tc>
          <w:tcPr>
            <w:tcW w:w="6415" w:type="dxa"/>
            <w:shd w:val="clear" w:color="auto" w:fill="FFFFFF"/>
          </w:tcPr>
          <w:p w14:paraId="0F17B8F4" w14:textId="77777777" w:rsidR="005F4576" w:rsidRPr="00F44670" w:rsidRDefault="005F4576" w:rsidP="004F07CA">
            <w:pPr>
              <w:pStyle w:val="Sangradetextonormal"/>
              <w:ind w:left="0"/>
              <w:jc w:val="both"/>
              <w:rPr>
                <w:sz w:val="22"/>
                <w:szCs w:val="22"/>
                <w:lang w:val="es-ES" w:eastAsia="es-ES"/>
              </w:rPr>
            </w:pPr>
            <w:r w:rsidRPr="00F44670">
              <w:rPr>
                <w:color w:val="000000"/>
                <w:sz w:val="22"/>
                <w:szCs w:val="22"/>
              </w:rPr>
              <w:t>Significa el período de, por lo menos, 1 (un) día hábil bursátil para la subasta o licitación pública que</w:t>
            </w:r>
            <w:r w:rsidRPr="00F44670">
              <w:rPr>
                <w:sz w:val="22"/>
                <w:szCs w:val="22"/>
              </w:rPr>
              <w:t xml:space="preserve"> </w:t>
            </w:r>
            <w:r w:rsidRPr="00F44670">
              <w:rPr>
                <w:color w:val="000000"/>
                <w:sz w:val="22"/>
                <w:szCs w:val="22"/>
              </w:rPr>
              <w:t>será informado oportunamente en el Aviso de Colocación.</w:t>
            </w:r>
          </w:p>
        </w:tc>
      </w:tr>
      <w:tr w:rsidR="005F4576" w:rsidRPr="00F44670" w14:paraId="223566E8" w14:textId="77777777" w:rsidTr="00B758A4">
        <w:tc>
          <w:tcPr>
            <w:tcW w:w="2935" w:type="dxa"/>
            <w:shd w:val="clear" w:color="auto" w:fill="FFFFFF"/>
          </w:tcPr>
          <w:p w14:paraId="739FD8E0" w14:textId="77777777" w:rsidR="005F4576" w:rsidRPr="00F44670" w:rsidRDefault="005F4576" w:rsidP="004F07CA">
            <w:pPr>
              <w:rPr>
                <w:b/>
                <w:bCs/>
                <w:sz w:val="22"/>
                <w:szCs w:val="22"/>
                <w:lang w:val="es-ES_tradnl"/>
              </w:rPr>
            </w:pPr>
            <w:r w:rsidRPr="00F44670">
              <w:rPr>
                <w:b/>
                <w:bCs/>
                <w:sz w:val="22"/>
                <w:szCs w:val="22"/>
                <w:lang w:val="es-ES_tradnl"/>
              </w:rPr>
              <w:t>Acción ejecutiva</w:t>
            </w:r>
          </w:p>
        </w:tc>
        <w:tc>
          <w:tcPr>
            <w:tcW w:w="6415" w:type="dxa"/>
            <w:shd w:val="clear" w:color="auto" w:fill="FFFFFF"/>
          </w:tcPr>
          <w:p w14:paraId="564FF040" w14:textId="77777777" w:rsidR="005F4576" w:rsidRPr="00F44670" w:rsidRDefault="005F4576" w:rsidP="004F07CA">
            <w:pPr>
              <w:jc w:val="both"/>
              <w:rPr>
                <w:sz w:val="22"/>
                <w:szCs w:val="22"/>
              </w:rPr>
            </w:pPr>
            <w:r w:rsidRPr="00F44670">
              <w:rPr>
                <w:sz w:val="22"/>
                <w:szCs w:val="22"/>
              </w:rPr>
              <w:t>Conforme al artículo 29 de la Ley de Obligaciones Negociables, las ON Serie II otorgan acción ejecutiva a sus tenedores para reclamar el capital, actualizaciones e intereses.</w:t>
            </w:r>
          </w:p>
          <w:p w14:paraId="53C0B039" w14:textId="77777777" w:rsidR="005F4576" w:rsidRPr="00F44670" w:rsidRDefault="005F4576" w:rsidP="004F07CA">
            <w:pPr>
              <w:pStyle w:val="Sangradetextonormal"/>
              <w:ind w:left="0"/>
              <w:jc w:val="both"/>
              <w:rPr>
                <w:color w:val="000000"/>
                <w:sz w:val="22"/>
                <w:szCs w:val="22"/>
                <w:lang w:val="es-ES"/>
              </w:rPr>
            </w:pPr>
          </w:p>
        </w:tc>
      </w:tr>
      <w:tr w:rsidR="007E4BE4" w:rsidRPr="00F44670" w14:paraId="2DD10781" w14:textId="77777777" w:rsidTr="00B547B2">
        <w:tc>
          <w:tcPr>
            <w:tcW w:w="2935" w:type="dxa"/>
            <w:shd w:val="clear" w:color="auto" w:fill="FFFFFF"/>
          </w:tcPr>
          <w:p w14:paraId="4E3C5B41" w14:textId="23DDF8D0" w:rsidR="007E4BE4" w:rsidRPr="00F44670" w:rsidRDefault="007E4BE4" w:rsidP="004F07CA">
            <w:pPr>
              <w:rPr>
                <w:b/>
                <w:bCs/>
                <w:sz w:val="22"/>
                <w:szCs w:val="22"/>
                <w:lang w:val="es-ES_tradnl"/>
              </w:rPr>
            </w:pPr>
            <w:r>
              <w:rPr>
                <w:b/>
                <w:bCs/>
                <w:sz w:val="22"/>
                <w:szCs w:val="22"/>
                <w:lang w:val="es-ES_tradnl"/>
              </w:rPr>
              <w:t>Agente de Liquidación</w:t>
            </w:r>
          </w:p>
        </w:tc>
        <w:tc>
          <w:tcPr>
            <w:tcW w:w="6415" w:type="dxa"/>
            <w:shd w:val="clear" w:color="auto" w:fill="FFFFFF"/>
          </w:tcPr>
          <w:p w14:paraId="7C85A327" w14:textId="0DF24C6F" w:rsidR="007E4BE4" w:rsidRPr="00F44670" w:rsidRDefault="00A93908" w:rsidP="004F07CA">
            <w:pPr>
              <w:jc w:val="both"/>
              <w:rPr>
                <w:sz w:val="22"/>
                <w:szCs w:val="22"/>
              </w:rPr>
            </w:pPr>
            <w:r>
              <w:rPr>
                <w:sz w:val="22"/>
                <w:szCs w:val="22"/>
              </w:rPr>
              <w:t>Banco Supervielle S.A.</w:t>
            </w:r>
          </w:p>
        </w:tc>
      </w:tr>
      <w:bookmarkEnd w:id="3"/>
    </w:tbl>
    <w:p w14:paraId="7C2E66A4" w14:textId="77777777" w:rsidR="003E0BE8" w:rsidRDefault="003E0BE8" w:rsidP="003C03AE">
      <w:pPr>
        <w:jc w:val="center"/>
        <w:outlineLvl w:val="0"/>
        <w:rPr>
          <w:bCs/>
          <w:sz w:val="20"/>
          <w:szCs w:val="20"/>
          <w:u w:val="single"/>
          <w:lang w:eastAsia="x-none"/>
        </w:rPr>
      </w:pPr>
    </w:p>
    <w:p w14:paraId="75B990D8" w14:textId="58C1E7B3" w:rsidR="003C03AE" w:rsidRPr="00B758A4" w:rsidRDefault="008D4DC8" w:rsidP="003C189F">
      <w:pPr>
        <w:jc w:val="center"/>
        <w:rPr>
          <w:b/>
          <w:bCs/>
          <w:sz w:val="20"/>
          <w:szCs w:val="20"/>
          <w:lang w:eastAsia="x-none"/>
        </w:rPr>
      </w:pPr>
      <w:r w:rsidRPr="00B758A4">
        <w:rPr>
          <w:b/>
          <w:bCs/>
          <w:sz w:val="20"/>
          <w:szCs w:val="20"/>
          <w:lang w:eastAsia="x-none"/>
        </w:rPr>
        <w:t>TÉRMINOS Y CONDICIONES PARTICULARES DE LAS OBLIGACIONES NEGOCIABLES</w:t>
      </w:r>
      <w:r w:rsidR="000E5AD3">
        <w:rPr>
          <w:b/>
          <w:bCs/>
          <w:sz w:val="20"/>
          <w:szCs w:val="20"/>
          <w:lang w:eastAsia="x-none"/>
        </w:rPr>
        <w:t xml:space="preserve"> SERIE II</w:t>
      </w:r>
      <w:r w:rsidRPr="00B758A4">
        <w:rPr>
          <w:b/>
          <w:bCs/>
          <w:sz w:val="20"/>
          <w:szCs w:val="20"/>
          <w:lang w:eastAsia="x-none"/>
        </w:rPr>
        <w:t xml:space="preserve"> </w:t>
      </w:r>
      <w:r w:rsidRPr="00B758A4">
        <w:rPr>
          <w:b/>
          <w:bCs/>
          <w:sz w:val="20"/>
          <w:szCs w:val="20"/>
        </w:rPr>
        <w:t>CLASE A</w:t>
      </w:r>
    </w:p>
    <w:p w14:paraId="1FE0C2F4" w14:textId="47184E3E" w:rsidR="008D4DC8" w:rsidRDefault="008D4DC8" w:rsidP="003C03AE">
      <w:pPr>
        <w:jc w:val="center"/>
        <w:outlineLvl w:val="0"/>
        <w:rPr>
          <w:bCs/>
          <w:sz w:val="22"/>
          <w:szCs w:val="22"/>
          <w:u w:val="single"/>
          <w:lang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6415"/>
      </w:tblGrid>
      <w:tr w:rsidR="00251EBE" w:rsidRPr="00F44670" w14:paraId="0DFB2CCF" w14:textId="77777777" w:rsidTr="009F2917">
        <w:tc>
          <w:tcPr>
            <w:tcW w:w="2935" w:type="dxa"/>
            <w:shd w:val="clear" w:color="auto" w:fill="FFFFFF"/>
          </w:tcPr>
          <w:p w14:paraId="2B234647" w14:textId="03372593" w:rsidR="00251EBE" w:rsidRPr="00F44670" w:rsidRDefault="00251EBE" w:rsidP="00251EBE">
            <w:pPr>
              <w:pStyle w:val="Sangradetextonormal"/>
              <w:ind w:left="6"/>
              <w:rPr>
                <w:b/>
                <w:sz w:val="22"/>
                <w:szCs w:val="22"/>
                <w:lang w:val="es-ES" w:eastAsia="es-ES"/>
              </w:rPr>
            </w:pPr>
            <w:r>
              <w:rPr>
                <w:b/>
                <w:sz w:val="22"/>
                <w:szCs w:val="22"/>
                <w:lang w:val="es-ES" w:eastAsia="es-ES"/>
              </w:rPr>
              <w:t>Título</w:t>
            </w:r>
          </w:p>
        </w:tc>
        <w:tc>
          <w:tcPr>
            <w:tcW w:w="6415" w:type="dxa"/>
            <w:shd w:val="clear" w:color="auto" w:fill="FFFFFF"/>
          </w:tcPr>
          <w:p w14:paraId="034BCCC4" w14:textId="75A9353E" w:rsidR="00251EBE" w:rsidRPr="00F44670" w:rsidDel="000E5AD3" w:rsidRDefault="00251EBE" w:rsidP="00251EBE">
            <w:pPr>
              <w:pStyle w:val="Sangradetextonormal"/>
              <w:ind w:left="0"/>
              <w:jc w:val="both"/>
              <w:rPr>
                <w:sz w:val="22"/>
                <w:szCs w:val="22"/>
                <w:highlight w:val="yellow"/>
                <w:lang w:val="es-ES" w:eastAsia="es-ES"/>
              </w:rPr>
            </w:pPr>
            <w:r w:rsidRPr="00F13673">
              <w:rPr>
                <w:sz w:val="22"/>
                <w:szCs w:val="22"/>
                <w:lang w:val="es-ES" w:eastAsia="es-ES"/>
              </w:rPr>
              <w:t>Obligaciones Negociables Serie II Clase A.</w:t>
            </w:r>
          </w:p>
        </w:tc>
      </w:tr>
      <w:tr w:rsidR="00251EBE" w:rsidRPr="00F44670" w14:paraId="7BBD07BA" w14:textId="77777777" w:rsidTr="009F2917">
        <w:tc>
          <w:tcPr>
            <w:tcW w:w="2935" w:type="dxa"/>
            <w:shd w:val="clear" w:color="auto" w:fill="FFFFFF"/>
          </w:tcPr>
          <w:p w14:paraId="576F3BD8" w14:textId="776C783E" w:rsidR="00251EBE" w:rsidRPr="00F44670" w:rsidRDefault="00251EBE" w:rsidP="00251EBE">
            <w:pPr>
              <w:pStyle w:val="Sangradetextonormal"/>
              <w:ind w:left="6"/>
              <w:rPr>
                <w:b/>
                <w:sz w:val="22"/>
                <w:szCs w:val="22"/>
                <w:lang w:val="es-ES" w:eastAsia="es-ES"/>
              </w:rPr>
            </w:pPr>
            <w:r>
              <w:rPr>
                <w:b/>
                <w:sz w:val="22"/>
                <w:szCs w:val="22"/>
                <w:lang w:val="es-ES" w:eastAsia="es-ES"/>
              </w:rPr>
              <w:t>Descripción</w:t>
            </w:r>
          </w:p>
        </w:tc>
        <w:tc>
          <w:tcPr>
            <w:tcW w:w="6415" w:type="dxa"/>
            <w:shd w:val="clear" w:color="auto" w:fill="FFFFFF"/>
          </w:tcPr>
          <w:p w14:paraId="6157AE0D" w14:textId="588D7DE8" w:rsidR="00251EBE" w:rsidRPr="00F44670" w:rsidDel="000E5AD3" w:rsidRDefault="00251EBE" w:rsidP="000F6214">
            <w:pPr>
              <w:pStyle w:val="Sangradetextonormal"/>
              <w:ind w:left="0"/>
              <w:jc w:val="both"/>
              <w:rPr>
                <w:sz w:val="22"/>
                <w:szCs w:val="22"/>
                <w:highlight w:val="yellow"/>
                <w:lang w:val="es-ES" w:eastAsia="es-ES"/>
              </w:rPr>
            </w:pPr>
            <w:r w:rsidRPr="00F13673">
              <w:rPr>
                <w:sz w:val="22"/>
                <w:szCs w:val="22"/>
                <w:lang w:val="es-ES" w:eastAsia="es-ES"/>
              </w:rPr>
              <w:t>Obligaciones Negociables Serie II Clase A, denominadas en Dólares  a  tasa fija, la cual será informada en el Aviso de Resultado de la Colocación.</w:t>
            </w:r>
          </w:p>
        </w:tc>
      </w:tr>
      <w:tr w:rsidR="00251EBE" w:rsidRPr="00F44670" w14:paraId="053C370A" w14:textId="77777777" w:rsidTr="009F2917">
        <w:tc>
          <w:tcPr>
            <w:tcW w:w="2935" w:type="dxa"/>
            <w:shd w:val="clear" w:color="auto" w:fill="FFFFFF"/>
          </w:tcPr>
          <w:p w14:paraId="3E3B2893" w14:textId="2CB618EB" w:rsidR="00251EBE" w:rsidRPr="00F44670" w:rsidRDefault="00251EBE" w:rsidP="00251EBE">
            <w:pPr>
              <w:pStyle w:val="Sangradetextonormal"/>
              <w:ind w:left="6"/>
              <w:rPr>
                <w:b/>
                <w:sz w:val="22"/>
                <w:szCs w:val="22"/>
                <w:lang w:val="es-ES" w:eastAsia="es-ES"/>
              </w:rPr>
            </w:pPr>
            <w:r w:rsidRPr="00F44670">
              <w:rPr>
                <w:b/>
                <w:sz w:val="22"/>
                <w:szCs w:val="22"/>
                <w:lang w:val="es-ES" w:eastAsia="es-ES"/>
              </w:rPr>
              <w:t xml:space="preserve">Moneda de </w:t>
            </w:r>
            <w:r>
              <w:rPr>
                <w:b/>
                <w:sz w:val="22"/>
                <w:szCs w:val="22"/>
                <w:lang w:val="es-ES" w:eastAsia="es-ES"/>
              </w:rPr>
              <w:t>Denominación</w:t>
            </w:r>
            <w:r w:rsidRPr="00F44670">
              <w:rPr>
                <w:b/>
                <w:sz w:val="22"/>
                <w:szCs w:val="22"/>
                <w:lang w:val="es-ES" w:eastAsia="es-ES"/>
              </w:rPr>
              <w:t xml:space="preserve"> y </w:t>
            </w:r>
            <w:r>
              <w:rPr>
                <w:b/>
                <w:sz w:val="22"/>
                <w:szCs w:val="22"/>
                <w:lang w:val="es-ES" w:eastAsia="es-ES"/>
              </w:rPr>
              <w:t>P</w:t>
            </w:r>
            <w:r w:rsidRPr="00F44670">
              <w:rPr>
                <w:b/>
                <w:sz w:val="22"/>
                <w:szCs w:val="22"/>
                <w:lang w:val="es-ES" w:eastAsia="es-ES"/>
              </w:rPr>
              <w:t xml:space="preserve">ago de los </w:t>
            </w:r>
            <w:r>
              <w:rPr>
                <w:b/>
                <w:sz w:val="22"/>
                <w:szCs w:val="22"/>
                <w:lang w:val="es-ES" w:eastAsia="es-ES"/>
              </w:rPr>
              <w:t>S</w:t>
            </w:r>
            <w:r w:rsidRPr="00F44670">
              <w:rPr>
                <w:b/>
                <w:sz w:val="22"/>
                <w:szCs w:val="22"/>
                <w:lang w:val="es-ES" w:eastAsia="es-ES"/>
              </w:rPr>
              <w:t>ervicios</w:t>
            </w:r>
          </w:p>
        </w:tc>
        <w:tc>
          <w:tcPr>
            <w:tcW w:w="6415" w:type="dxa"/>
            <w:shd w:val="clear" w:color="auto" w:fill="FFFFFF"/>
          </w:tcPr>
          <w:p w14:paraId="7E9069EA" w14:textId="4C83EE36" w:rsidR="00251EBE" w:rsidRPr="00F44670" w:rsidRDefault="00251EBE">
            <w:pPr>
              <w:pStyle w:val="Sangradetextonormal"/>
              <w:ind w:left="0"/>
              <w:jc w:val="both"/>
              <w:rPr>
                <w:sz w:val="22"/>
                <w:szCs w:val="22"/>
                <w:lang w:val="es-ES" w:eastAsia="es-ES"/>
              </w:rPr>
            </w:pPr>
            <w:r w:rsidRPr="00B411FD">
              <w:rPr>
                <w:sz w:val="22"/>
                <w:szCs w:val="22"/>
                <w:lang w:val="es-ES" w:eastAsia="es-ES"/>
              </w:rPr>
              <w:t>Las Obligaciones Negociables Serie II Clase A estarán denominadas en Dólares  y serán pagaderas en Pesos al Tipo de Cambio Aplicable</w:t>
            </w:r>
            <w:r w:rsidRPr="000F6214">
              <w:rPr>
                <w:sz w:val="22"/>
                <w:szCs w:val="22"/>
                <w:lang w:val="es-ES" w:eastAsia="es-ES"/>
              </w:rPr>
              <w:t xml:space="preserve"> en cada  Fecha de Pago de Intereses</w:t>
            </w:r>
            <w:r w:rsidR="00F3346A">
              <w:rPr>
                <w:sz w:val="22"/>
                <w:szCs w:val="22"/>
                <w:lang w:val="es-ES" w:eastAsia="es-ES"/>
              </w:rPr>
              <w:t xml:space="preserve"> (conforme este término se define más adelante) y en la Fecha de Amortización</w:t>
            </w:r>
            <w:r w:rsidR="00E61D59">
              <w:rPr>
                <w:sz w:val="22"/>
                <w:szCs w:val="22"/>
                <w:lang w:val="es-ES" w:eastAsia="es-ES"/>
              </w:rPr>
              <w:t xml:space="preserve"> (conforme este término se define más adelante)</w:t>
            </w:r>
            <w:r w:rsidRPr="000F6214">
              <w:rPr>
                <w:sz w:val="22"/>
                <w:szCs w:val="22"/>
                <w:lang w:val="es-ES" w:eastAsia="es-ES"/>
              </w:rPr>
              <w:t>, según fuera</w:t>
            </w:r>
            <w:r>
              <w:rPr>
                <w:sz w:val="22"/>
                <w:szCs w:val="22"/>
                <w:lang w:val="es-ES" w:eastAsia="es-ES"/>
              </w:rPr>
              <w:t xml:space="preserve"> el caso.</w:t>
            </w:r>
          </w:p>
        </w:tc>
      </w:tr>
      <w:tr w:rsidR="00251EBE" w:rsidRPr="00F44670" w14:paraId="533A324F" w14:textId="77777777" w:rsidTr="009F2917">
        <w:tc>
          <w:tcPr>
            <w:tcW w:w="2935" w:type="dxa"/>
            <w:shd w:val="clear" w:color="auto" w:fill="FFFFFF"/>
          </w:tcPr>
          <w:p w14:paraId="68442283" w14:textId="3E2C37B1" w:rsidR="00251EBE" w:rsidRPr="00F44670" w:rsidRDefault="00251EBE" w:rsidP="00251EBE">
            <w:pPr>
              <w:pStyle w:val="Sangradetextonormal"/>
              <w:ind w:left="6"/>
              <w:rPr>
                <w:b/>
                <w:sz w:val="22"/>
                <w:szCs w:val="22"/>
                <w:lang w:val="es-ES" w:eastAsia="es-ES"/>
              </w:rPr>
            </w:pPr>
            <w:r>
              <w:rPr>
                <w:b/>
                <w:sz w:val="22"/>
                <w:szCs w:val="22"/>
                <w:lang w:val="es-ES" w:eastAsia="es-ES"/>
              </w:rPr>
              <w:t>Forma y Moneda de Integración</w:t>
            </w:r>
          </w:p>
        </w:tc>
        <w:tc>
          <w:tcPr>
            <w:tcW w:w="6415" w:type="dxa"/>
            <w:shd w:val="clear" w:color="auto" w:fill="FFFFFF"/>
          </w:tcPr>
          <w:p w14:paraId="18ECE5D7" w14:textId="41615BF7" w:rsidR="00251EBE" w:rsidRDefault="00251EBE" w:rsidP="00251EBE">
            <w:pPr>
              <w:pStyle w:val="Sangradetextonormal"/>
              <w:ind w:left="0"/>
              <w:jc w:val="both"/>
              <w:rPr>
                <w:sz w:val="22"/>
                <w:szCs w:val="22"/>
                <w:highlight w:val="yellow"/>
                <w:lang w:val="es-ES" w:eastAsia="es-ES"/>
              </w:rPr>
            </w:pPr>
            <w:r w:rsidRPr="00F13673">
              <w:rPr>
                <w:sz w:val="22"/>
                <w:szCs w:val="22"/>
                <w:lang w:val="es-ES" w:eastAsia="es-ES"/>
              </w:rPr>
              <w:t>La suscripción e integración será efectuada en Pesos al Tipo de Cambio Inicial.</w:t>
            </w:r>
          </w:p>
        </w:tc>
      </w:tr>
      <w:tr w:rsidR="00251EBE" w:rsidRPr="00F44670" w14:paraId="320AC0D1" w14:textId="77777777" w:rsidTr="009F2917">
        <w:tc>
          <w:tcPr>
            <w:tcW w:w="2935" w:type="dxa"/>
            <w:shd w:val="clear" w:color="auto" w:fill="FFFFFF"/>
          </w:tcPr>
          <w:p w14:paraId="72182603" w14:textId="6F92DB33" w:rsidR="00251EBE" w:rsidRPr="00F44670" w:rsidRDefault="00251EBE" w:rsidP="00251EBE">
            <w:pPr>
              <w:pStyle w:val="Sangradetextonormal"/>
              <w:ind w:left="6"/>
              <w:rPr>
                <w:b/>
                <w:sz w:val="22"/>
                <w:szCs w:val="22"/>
                <w:lang w:val="es-ES" w:eastAsia="es-ES"/>
              </w:rPr>
            </w:pPr>
            <w:r>
              <w:rPr>
                <w:b/>
                <w:sz w:val="22"/>
                <w:szCs w:val="22"/>
                <w:lang w:val="es-ES" w:eastAsia="es-ES"/>
              </w:rPr>
              <w:t>Tipo de Cambio Inicial</w:t>
            </w:r>
          </w:p>
        </w:tc>
        <w:tc>
          <w:tcPr>
            <w:tcW w:w="6415" w:type="dxa"/>
            <w:shd w:val="clear" w:color="auto" w:fill="FFFFFF"/>
          </w:tcPr>
          <w:p w14:paraId="469B644A" w14:textId="7132BA00" w:rsidR="00251EBE" w:rsidRPr="00FE2849" w:rsidRDefault="00251EBE" w:rsidP="00251EBE">
            <w:pPr>
              <w:pStyle w:val="Sangradetextonormal"/>
              <w:ind w:left="34"/>
              <w:jc w:val="both"/>
              <w:rPr>
                <w:sz w:val="22"/>
                <w:szCs w:val="22"/>
              </w:rPr>
            </w:pPr>
            <w:r w:rsidRPr="00A302F7">
              <w:rPr>
                <w:sz w:val="22"/>
                <w:szCs w:val="22"/>
                <w:lang w:val="es-ES"/>
              </w:rPr>
              <w:t>Se</w:t>
            </w:r>
            <w:r w:rsidRPr="00FE2849">
              <w:rPr>
                <w:sz w:val="22"/>
                <w:szCs w:val="22"/>
              </w:rPr>
              <w:t xml:space="preserve">rá el tipo de cambio determinado y publicado por el BCRA mediante la Comunicación “A” 3500 (o la regulación que la modifique) en base al procedimiento de encuesta de cambio establecido en la misma, que surja del promedio aritmético simple de los valores de los últimos tres (3) Días Hábiles previos al día en que finaliza el Período de Licitación. El monto de la emisión y el Tipo de Cambio </w:t>
            </w:r>
            <w:r w:rsidR="00F3346A">
              <w:rPr>
                <w:sz w:val="22"/>
                <w:szCs w:val="22"/>
                <w:lang w:val="es-AR"/>
              </w:rPr>
              <w:t>I</w:t>
            </w:r>
            <w:r>
              <w:rPr>
                <w:sz w:val="22"/>
                <w:szCs w:val="22"/>
                <w:lang w:val="es-AR"/>
              </w:rPr>
              <w:t>nicial</w:t>
            </w:r>
            <w:r w:rsidRPr="00FE2849">
              <w:rPr>
                <w:sz w:val="22"/>
                <w:szCs w:val="22"/>
              </w:rPr>
              <w:t xml:space="preserve"> será calculado el día de cierre del Período de Licitación e informado en el Aviso de Resultado de Colocación. </w:t>
            </w:r>
          </w:p>
          <w:p w14:paraId="237747D0" w14:textId="6C7364E3" w:rsidR="00251EBE" w:rsidRPr="00F44670" w:rsidRDefault="00251EBE" w:rsidP="00251EBE">
            <w:pPr>
              <w:pStyle w:val="Sangradetextonormal"/>
              <w:ind w:left="0"/>
              <w:jc w:val="both"/>
              <w:rPr>
                <w:sz w:val="22"/>
                <w:szCs w:val="22"/>
                <w:highlight w:val="yellow"/>
                <w:lang w:val="es-ES" w:eastAsia="es-ES"/>
              </w:rPr>
            </w:pPr>
          </w:p>
        </w:tc>
      </w:tr>
      <w:tr w:rsidR="00251EBE" w:rsidRPr="00F44670" w14:paraId="7217C636" w14:textId="77777777" w:rsidTr="009F2917">
        <w:tc>
          <w:tcPr>
            <w:tcW w:w="2935" w:type="dxa"/>
            <w:shd w:val="clear" w:color="auto" w:fill="FFFFFF"/>
          </w:tcPr>
          <w:p w14:paraId="4369B1A0" w14:textId="31B316EA" w:rsidR="00251EBE" w:rsidRDefault="00251EBE" w:rsidP="00251EBE">
            <w:pPr>
              <w:pStyle w:val="Sangradetextonormal"/>
              <w:ind w:left="6"/>
              <w:rPr>
                <w:b/>
                <w:sz w:val="22"/>
                <w:szCs w:val="22"/>
                <w:lang w:val="es-ES" w:eastAsia="es-ES"/>
              </w:rPr>
            </w:pPr>
            <w:r>
              <w:rPr>
                <w:b/>
                <w:sz w:val="22"/>
                <w:szCs w:val="22"/>
                <w:lang w:val="es-ES" w:eastAsia="es-ES"/>
              </w:rPr>
              <w:t>Tipo de Cambio Aplicable</w:t>
            </w:r>
          </w:p>
        </w:tc>
        <w:tc>
          <w:tcPr>
            <w:tcW w:w="6415" w:type="dxa"/>
            <w:shd w:val="clear" w:color="auto" w:fill="FFFFFF"/>
          </w:tcPr>
          <w:p w14:paraId="2F893FCC" w14:textId="1ECF04F4" w:rsidR="00251EBE" w:rsidRDefault="0080216A">
            <w:pPr>
              <w:pStyle w:val="Sangradetextonormal"/>
              <w:ind w:left="34"/>
              <w:jc w:val="both"/>
              <w:rPr>
                <w:sz w:val="22"/>
                <w:szCs w:val="22"/>
              </w:rPr>
            </w:pPr>
            <w:r w:rsidRPr="003170E8">
              <w:rPr>
                <w:sz w:val="22"/>
                <w:szCs w:val="22"/>
              </w:rPr>
              <w:t>Significa el promedio aritmético simple de los últimos 3 (tres) Días Hábiles previos a la Fecha de Cálculo correspondiente del tipo de cambio publicado por el BC</w:t>
            </w:r>
            <w:r>
              <w:rPr>
                <w:sz w:val="22"/>
                <w:szCs w:val="22"/>
                <w:lang w:val="es-AR"/>
              </w:rPr>
              <w:t>RA</w:t>
            </w:r>
            <w:r w:rsidRPr="003170E8">
              <w:rPr>
                <w:sz w:val="22"/>
                <w:szCs w:val="22"/>
              </w:rPr>
              <w:t xml:space="preserve"> mediante la Comunicación “A” 3500 (o la regulación que la sucediere o modificare en el tiempo) en base al procedimiento de encuesta de cambio establecido en la misma, siempre y cuando dicho tipo de cambio reflejare el tipo de cambio para la liquidación de divisas proveniente de la exportación de los Productos de Referencia (según éste término se define más abajo), el cual será calculado por la </w:t>
            </w:r>
            <w:r>
              <w:rPr>
                <w:sz w:val="22"/>
                <w:szCs w:val="22"/>
                <w:lang w:val="es-AR"/>
              </w:rPr>
              <w:t>Sociedad</w:t>
            </w:r>
            <w:r w:rsidRPr="003170E8">
              <w:rPr>
                <w:sz w:val="22"/>
                <w:szCs w:val="22"/>
              </w:rPr>
              <w:t xml:space="preserve">. En el supuesto que (i) dicho tipo de cambio no reflejare el tipo de cambio para la liquidación de divisas proveniente </w:t>
            </w:r>
            <w:r w:rsidRPr="003170E8">
              <w:rPr>
                <w:sz w:val="22"/>
                <w:szCs w:val="22"/>
              </w:rPr>
              <w:lastRenderedPageBreak/>
              <w:t>de la exportación de los Productos de Referencia</w:t>
            </w:r>
            <w:r w:rsidR="007363C8">
              <w:rPr>
                <w:sz w:val="22"/>
                <w:szCs w:val="22"/>
                <w:lang w:val="es-AR"/>
              </w:rPr>
              <w:t xml:space="preserve"> (conforme este término se define más adelante)</w:t>
            </w:r>
            <w:r w:rsidRPr="003170E8">
              <w:rPr>
                <w:sz w:val="22"/>
                <w:szCs w:val="22"/>
              </w:rPr>
              <w:t>,</w:t>
            </w:r>
            <w:r w:rsidRPr="00A93908">
              <w:rPr>
                <w:sz w:val="22"/>
                <w:szCs w:val="22"/>
              </w:rPr>
              <w:t xml:space="preserve"> circunstancia</w:t>
            </w:r>
            <w:r w:rsidRPr="003170E8">
              <w:rPr>
                <w:sz w:val="22"/>
                <w:szCs w:val="22"/>
              </w:rPr>
              <w:t xml:space="preserve"> que deberá ser informada por la </w:t>
            </w:r>
            <w:r>
              <w:rPr>
                <w:sz w:val="22"/>
                <w:szCs w:val="22"/>
                <w:lang w:val="es-AR"/>
              </w:rPr>
              <w:t>Sociedad</w:t>
            </w:r>
            <w:r w:rsidRPr="003170E8">
              <w:rPr>
                <w:sz w:val="22"/>
                <w:szCs w:val="22"/>
              </w:rPr>
              <w:t xml:space="preserve"> mediante publicación de una nota de hecho relevante a ser publicada en la AIF, Boletín Diario de la BCBA</w:t>
            </w:r>
            <w:r w:rsidR="00615E91">
              <w:rPr>
                <w:sz w:val="22"/>
                <w:szCs w:val="22"/>
                <w:lang w:val="es-AR"/>
              </w:rPr>
              <w:t>, en el Boletín Diario de la BCR</w:t>
            </w:r>
            <w:r w:rsidRPr="003170E8">
              <w:rPr>
                <w:sz w:val="22"/>
                <w:szCs w:val="22"/>
              </w:rPr>
              <w:t xml:space="preserve"> y en la Página Web del MAE, o (ii) el B</w:t>
            </w:r>
            <w:r w:rsidR="007363C8">
              <w:rPr>
                <w:sz w:val="22"/>
                <w:szCs w:val="22"/>
                <w:lang w:val="es-AR"/>
              </w:rPr>
              <w:t>CRA</w:t>
            </w:r>
            <w:r w:rsidRPr="003170E8">
              <w:rPr>
                <w:sz w:val="22"/>
                <w:szCs w:val="22"/>
              </w:rPr>
              <w:t xml:space="preserve"> dejare de efectuar dicha determinación y publicación, será (x) en primer lugar, el promedio aritmético del tipo de cambio comprador de los </w:t>
            </w:r>
            <w:r w:rsidR="007363C8">
              <w:rPr>
                <w:sz w:val="22"/>
                <w:szCs w:val="22"/>
                <w:lang w:val="es-AR"/>
              </w:rPr>
              <w:t>p</w:t>
            </w:r>
            <w:r w:rsidRPr="003170E8">
              <w:rPr>
                <w:sz w:val="22"/>
                <w:szCs w:val="22"/>
              </w:rPr>
              <w:t>esos equivalentes a un Dólar divisa por la liquidación de divisas proveniente de la exportación de cada uno de los Productos de Referencia informado por el B</w:t>
            </w:r>
            <w:r w:rsidR="007363C8">
              <w:rPr>
                <w:sz w:val="22"/>
                <w:szCs w:val="22"/>
                <w:lang w:val="es-AR"/>
              </w:rPr>
              <w:t>CRA</w:t>
            </w:r>
            <w:r w:rsidRPr="003170E8">
              <w:rPr>
                <w:sz w:val="22"/>
                <w:szCs w:val="22"/>
              </w:rPr>
              <w:t xml:space="preserve"> al cierre de operaciones; o (y) si este último no se encontrara disponible por cualquier causa, en segundo lugar, el promedio aritmético de la cotización del Dólar </w:t>
            </w:r>
            <w:r w:rsidR="007363C8">
              <w:rPr>
                <w:sz w:val="22"/>
                <w:szCs w:val="22"/>
                <w:lang w:val="es-AR"/>
              </w:rPr>
              <w:t>d</w:t>
            </w:r>
            <w:r w:rsidRPr="003170E8">
              <w:rPr>
                <w:sz w:val="22"/>
                <w:szCs w:val="22"/>
              </w:rPr>
              <w:t>ivisa comprador por la liquidación de divisas proveniente de la exportación de Productos de Referencia informada por los siguientes bancos: la Sucursal de Citibank N.A establecida en la República Argentina, Banco Santander Río S.A., Industrial and Commercial Bank of China (Argentina) S.A., Banco de Galicia y Buenos Aires S.A.</w:t>
            </w:r>
            <w:r w:rsidR="00461AE6">
              <w:rPr>
                <w:sz w:val="22"/>
                <w:szCs w:val="22"/>
                <w:lang w:val="es-AR"/>
              </w:rPr>
              <w:t>U</w:t>
            </w:r>
            <w:r w:rsidRPr="003170E8">
              <w:rPr>
                <w:sz w:val="22"/>
                <w:szCs w:val="22"/>
              </w:rPr>
              <w:t xml:space="preserve"> y Banco Itaú Argentina S.A. en Argentina, al cierre de sus operaciones; en los supuesto (x) e (y) anteriores según sea calculado por la </w:t>
            </w:r>
            <w:r w:rsidR="007363C8">
              <w:rPr>
                <w:sz w:val="22"/>
                <w:szCs w:val="22"/>
                <w:lang w:val="es-AR"/>
              </w:rPr>
              <w:t>Sociedad</w:t>
            </w:r>
            <w:r w:rsidRPr="003170E8">
              <w:rPr>
                <w:sz w:val="22"/>
                <w:szCs w:val="22"/>
              </w:rPr>
              <w:t>. Todos los cálculos del promedio aritmético serán expresados en cuatro decimales.</w:t>
            </w:r>
          </w:p>
          <w:p w14:paraId="48D01739" w14:textId="022DBBC6" w:rsidR="007363C8" w:rsidRPr="0080216A" w:rsidRDefault="007363C8">
            <w:pPr>
              <w:pStyle w:val="Sangradetextonormal"/>
              <w:ind w:left="34"/>
              <w:jc w:val="both"/>
              <w:rPr>
                <w:sz w:val="22"/>
                <w:szCs w:val="22"/>
                <w:lang w:val="es-ES"/>
              </w:rPr>
            </w:pPr>
          </w:p>
        </w:tc>
      </w:tr>
      <w:tr w:rsidR="007363C8" w:rsidRPr="00F44670" w14:paraId="51EDDF18" w14:textId="77777777" w:rsidTr="009F2917">
        <w:tc>
          <w:tcPr>
            <w:tcW w:w="2935" w:type="dxa"/>
            <w:shd w:val="clear" w:color="auto" w:fill="FFFFFF"/>
          </w:tcPr>
          <w:p w14:paraId="49E4F480" w14:textId="0A93FBBA" w:rsidR="007363C8" w:rsidRPr="007363C8" w:rsidRDefault="007363C8" w:rsidP="00251EBE">
            <w:pPr>
              <w:pStyle w:val="Sangradetextonormal"/>
              <w:ind w:left="6"/>
              <w:rPr>
                <w:b/>
                <w:sz w:val="22"/>
                <w:szCs w:val="22"/>
                <w:lang w:val="es-ES" w:eastAsia="es-ES"/>
              </w:rPr>
            </w:pPr>
            <w:r w:rsidRPr="003170E8">
              <w:rPr>
                <w:b/>
                <w:sz w:val="22"/>
                <w:szCs w:val="22"/>
              </w:rPr>
              <w:lastRenderedPageBreak/>
              <w:t>Productos de Referencia</w:t>
            </w:r>
          </w:p>
        </w:tc>
        <w:tc>
          <w:tcPr>
            <w:tcW w:w="6415" w:type="dxa"/>
            <w:shd w:val="clear" w:color="auto" w:fill="FFFFFF"/>
          </w:tcPr>
          <w:p w14:paraId="6F84BA59" w14:textId="04B018E5" w:rsidR="007363C8" w:rsidRPr="007363C8" w:rsidDel="0080216A" w:rsidRDefault="007363C8" w:rsidP="00251EBE">
            <w:pPr>
              <w:pStyle w:val="Sangradetextonormal"/>
              <w:ind w:left="34"/>
              <w:jc w:val="both"/>
              <w:rPr>
                <w:sz w:val="22"/>
                <w:szCs w:val="22"/>
                <w:lang w:val="es-ES"/>
              </w:rPr>
            </w:pPr>
            <w:r w:rsidRPr="003170E8">
              <w:rPr>
                <w:sz w:val="22"/>
                <w:szCs w:val="22"/>
              </w:rPr>
              <w:t xml:space="preserve">Son aquellos bienes que, a la fecha del presente, se encuentran descriptos en los capítulos N° 10, 12, 15 y 23 del Nomenclador Común del Mercosur, disponible en </w:t>
            </w:r>
            <w:hyperlink r:id="rId19" w:history="1">
              <w:r w:rsidRPr="003170E8">
                <w:rPr>
                  <w:rStyle w:val="Hipervnculo"/>
                  <w:sz w:val="22"/>
                  <w:szCs w:val="22"/>
                </w:rPr>
                <w:t>http://www.afip.gov.ar/aduana/arancelintegrado</w:t>
              </w:r>
            </w:hyperlink>
            <w:r w:rsidRPr="003170E8">
              <w:rPr>
                <w:sz w:val="22"/>
                <w:szCs w:val="22"/>
              </w:rPr>
              <w:t>.</w:t>
            </w:r>
          </w:p>
        </w:tc>
      </w:tr>
      <w:tr w:rsidR="00251EBE" w:rsidRPr="00F44670" w14:paraId="0B01C83F" w14:textId="77777777" w:rsidTr="009F2917">
        <w:tc>
          <w:tcPr>
            <w:tcW w:w="2935" w:type="dxa"/>
            <w:shd w:val="clear" w:color="auto" w:fill="FFFFFF"/>
          </w:tcPr>
          <w:p w14:paraId="042D6267" w14:textId="70CB7513" w:rsidR="00251EBE" w:rsidRDefault="00251EBE" w:rsidP="00251EBE">
            <w:pPr>
              <w:pStyle w:val="Sangradetextonormal"/>
              <w:ind w:left="6"/>
              <w:rPr>
                <w:b/>
                <w:sz w:val="22"/>
                <w:szCs w:val="22"/>
                <w:lang w:val="es-ES" w:eastAsia="es-ES"/>
              </w:rPr>
            </w:pPr>
            <w:r>
              <w:rPr>
                <w:b/>
                <w:sz w:val="22"/>
                <w:szCs w:val="22"/>
                <w:lang w:val="es-ES" w:eastAsia="es-ES"/>
              </w:rPr>
              <w:t>Fecha de Cálculo</w:t>
            </w:r>
          </w:p>
        </w:tc>
        <w:tc>
          <w:tcPr>
            <w:tcW w:w="6415" w:type="dxa"/>
            <w:shd w:val="clear" w:color="auto" w:fill="FFFFFF"/>
          </w:tcPr>
          <w:p w14:paraId="4A1CA7D4" w14:textId="18DA500B" w:rsidR="00F3346A" w:rsidRPr="006F61B3" w:rsidRDefault="00F3346A" w:rsidP="00F3346A">
            <w:pPr>
              <w:pStyle w:val="Sangradetextonormal"/>
              <w:ind w:left="34"/>
              <w:jc w:val="both"/>
              <w:rPr>
                <w:sz w:val="22"/>
                <w:szCs w:val="22"/>
              </w:rPr>
            </w:pPr>
            <w:r w:rsidRPr="006F61B3">
              <w:rPr>
                <w:sz w:val="22"/>
                <w:szCs w:val="22"/>
              </w:rPr>
              <w:t xml:space="preserve">Para cada Fecha de Pago de </w:t>
            </w:r>
            <w:r>
              <w:rPr>
                <w:sz w:val="22"/>
                <w:szCs w:val="22"/>
                <w:lang w:val="es-AR"/>
              </w:rPr>
              <w:t>Interés y para la Fecha de Amortización</w:t>
            </w:r>
            <w:r w:rsidRPr="006F61B3">
              <w:rPr>
                <w:sz w:val="22"/>
                <w:szCs w:val="22"/>
              </w:rPr>
              <w:t>, será aquél Día Hábil correspondiente a los 6 (seis) Días Hábiles anteriores a la fecha de efectivo pago.</w:t>
            </w:r>
          </w:p>
          <w:p w14:paraId="5C24CE0E" w14:textId="59CC93B1" w:rsidR="00251EBE" w:rsidRPr="00B411FD" w:rsidRDefault="00251EBE" w:rsidP="00251EBE">
            <w:pPr>
              <w:pStyle w:val="Sangradetextonormal"/>
              <w:ind w:left="34"/>
              <w:jc w:val="both"/>
              <w:rPr>
                <w:sz w:val="22"/>
                <w:szCs w:val="22"/>
              </w:rPr>
            </w:pPr>
          </w:p>
        </w:tc>
      </w:tr>
      <w:tr w:rsidR="00251EBE" w:rsidRPr="00F44670" w14:paraId="7A4C4E08" w14:textId="77777777" w:rsidTr="009F2917">
        <w:tc>
          <w:tcPr>
            <w:tcW w:w="2935" w:type="dxa"/>
            <w:shd w:val="clear" w:color="auto" w:fill="FFFFFF"/>
          </w:tcPr>
          <w:p w14:paraId="57F0A1BD" w14:textId="77777777" w:rsidR="00251EBE" w:rsidRPr="00F44670" w:rsidRDefault="00251EBE" w:rsidP="00251EBE">
            <w:pPr>
              <w:pStyle w:val="Sangradetextonormal"/>
              <w:ind w:left="6"/>
              <w:rPr>
                <w:b/>
                <w:sz w:val="22"/>
                <w:szCs w:val="22"/>
                <w:lang w:val="es-ES"/>
              </w:rPr>
            </w:pPr>
            <w:r w:rsidRPr="00F44670">
              <w:rPr>
                <w:b/>
                <w:sz w:val="22"/>
                <w:szCs w:val="22"/>
                <w:lang w:val="es-ES" w:eastAsia="es-ES"/>
              </w:rPr>
              <w:t>Servicios de Interés</w:t>
            </w:r>
          </w:p>
        </w:tc>
        <w:tc>
          <w:tcPr>
            <w:tcW w:w="6415" w:type="dxa"/>
            <w:shd w:val="clear" w:color="auto" w:fill="FFFFFF"/>
          </w:tcPr>
          <w:p w14:paraId="4579C29A" w14:textId="07A97BF6" w:rsidR="00251EBE" w:rsidRPr="00F44670" w:rsidRDefault="00251EBE" w:rsidP="00251EBE">
            <w:pPr>
              <w:jc w:val="both"/>
              <w:rPr>
                <w:sz w:val="22"/>
                <w:szCs w:val="22"/>
                <w:lang w:val="es-ES_tradnl"/>
              </w:rPr>
            </w:pPr>
            <w:r w:rsidRPr="00F44670">
              <w:rPr>
                <w:sz w:val="22"/>
                <w:szCs w:val="22"/>
              </w:rPr>
              <w:t xml:space="preserve">Se pagarán intereses en forma </w:t>
            </w:r>
            <w:r>
              <w:rPr>
                <w:sz w:val="22"/>
                <w:szCs w:val="22"/>
              </w:rPr>
              <w:t>trimestral contados desde la Fecha de Emisión y Liquidación</w:t>
            </w:r>
            <w:r w:rsidR="00F3346A">
              <w:rPr>
                <w:sz w:val="22"/>
                <w:szCs w:val="22"/>
              </w:rPr>
              <w:t xml:space="preserve"> </w:t>
            </w:r>
            <w:r w:rsidR="00F3346A" w:rsidRPr="00FB28AB">
              <w:rPr>
                <w:sz w:val="22"/>
              </w:rPr>
              <w:t>(cada una, una “Fecha de Pago de Intereses”</w:t>
            </w:r>
            <w:r w:rsidR="00F3346A">
              <w:rPr>
                <w:sz w:val="22"/>
              </w:rPr>
              <w:t>)</w:t>
            </w:r>
            <w:r w:rsidRPr="00F44670">
              <w:rPr>
                <w:sz w:val="22"/>
                <w:szCs w:val="22"/>
              </w:rPr>
              <w:t>, a una tasa nominal anual fija (</w:t>
            </w:r>
            <w:r w:rsidRPr="00F44670">
              <w:rPr>
                <w:bCs/>
                <w:sz w:val="22"/>
                <w:szCs w:val="22"/>
                <w:lang w:val="es-AR"/>
              </w:rPr>
              <w:t>la Tasa Fija)</w:t>
            </w:r>
            <w:r w:rsidRPr="00F44670">
              <w:rPr>
                <w:sz w:val="22"/>
                <w:szCs w:val="22"/>
                <w:lang w:val="es-ES_tradnl"/>
              </w:rPr>
              <w:t>.</w:t>
            </w:r>
          </w:p>
          <w:p w14:paraId="7922B3BE" w14:textId="77777777" w:rsidR="00251EBE" w:rsidRPr="00F44670" w:rsidRDefault="00251EBE" w:rsidP="00251EBE">
            <w:pPr>
              <w:pStyle w:val="Sangradetextonormal"/>
              <w:ind w:left="34"/>
              <w:jc w:val="both"/>
              <w:rPr>
                <w:sz w:val="22"/>
                <w:szCs w:val="22"/>
                <w:lang w:val="es-ES" w:eastAsia="es-ES"/>
              </w:rPr>
            </w:pPr>
          </w:p>
          <w:p w14:paraId="43567F07" w14:textId="77777777" w:rsidR="00251EBE" w:rsidRPr="00F44670" w:rsidRDefault="00251EBE" w:rsidP="00251EBE">
            <w:pPr>
              <w:pStyle w:val="Textoindependiente3"/>
              <w:jc w:val="both"/>
              <w:rPr>
                <w:b w:val="0"/>
                <w:bCs w:val="0"/>
                <w:sz w:val="22"/>
                <w:szCs w:val="22"/>
                <w:lang w:val="es-ES" w:eastAsia="es-ES"/>
              </w:rPr>
            </w:pPr>
            <w:r w:rsidRPr="00F44670">
              <w:rPr>
                <w:b w:val="0"/>
                <w:sz w:val="22"/>
                <w:szCs w:val="22"/>
                <w:lang w:val="es-ES" w:eastAsia="es-ES"/>
              </w:rPr>
              <w:t>“</w:t>
            </w:r>
            <w:r w:rsidRPr="00F44670">
              <w:rPr>
                <w:b w:val="0"/>
                <w:i/>
                <w:sz w:val="22"/>
                <w:szCs w:val="22"/>
                <w:lang w:val="es-ES" w:eastAsia="es-ES"/>
              </w:rPr>
              <w:t>Tasa Fija</w:t>
            </w:r>
            <w:r w:rsidRPr="00F44670">
              <w:rPr>
                <w:b w:val="0"/>
                <w:sz w:val="22"/>
                <w:szCs w:val="22"/>
                <w:lang w:val="es-ES" w:eastAsia="es-ES"/>
              </w:rPr>
              <w:t>”: s</w:t>
            </w:r>
            <w:r w:rsidRPr="00F44670">
              <w:rPr>
                <w:b w:val="0"/>
                <w:bCs w:val="0"/>
                <w:sz w:val="22"/>
                <w:szCs w:val="22"/>
                <w:lang w:val="es-ES" w:eastAsia="es-ES"/>
              </w:rPr>
              <w:t xml:space="preserve">erá una tasa fija a ser determinada con anterioridad a la Fecha de Emisión </w:t>
            </w:r>
            <w:r>
              <w:rPr>
                <w:b w:val="0"/>
                <w:bCs w:val="0"/>
                <w:sz w:val="22"/>
                <w:szCs w:val="22"/>
                <w:lang w:val="es-ES" w:eastAsia="es-ES"/>
              </w:rPr>
              <w:t xml:space="preserve">y Liquidación </w:t>
            </w:r>
            <w:r w:rsidRPr="00F44670">
              <w:rPr>
                <w:b w:val="0"/>
                <w:bCs w:val="0"/>
                <w:sz w:val="22"/>
                <w:szCs w:val="22"/>
                <w:lang w:val="es-ES" w:eastAsia="es-ES"/>
              </w:rPr>
              <w:t>e informada mediante el Aviso de Resultado de Colocación. Dicha determinación resultará del procedimiento de adjudicación de las Obligaciones Negociables detallado en la Sección</w:t>
            </w:r>
            <w:r>
              <w:rPr>
                <w:b w:val="0"/>
                <w:bCs w:val="0"/>
                <w:sz w:val="22"/>
                <w:szCs w:val="22"/>
                <w:lang w:val="es-ES" w:eastAsia="es-ES"/>
              </w:rPr>
              <w:t xml:space="preserve"> IV</w:t>
            </w:r>
            <w:r w:rsidRPr="00F44670">
              <w:rPr>
                <w:b w:val="0"/>
                <w:bCs w:val="0"/>
                <w:sz w:val="22"/>
                <w:szCs w:val="22"/>
                <w:lang w:val="es-ES" w:eastAsia="es-ES"/>
              </w:rPr>
              <w:t xml:space="preserve"> “Plan de Distribución” del Suplemento de Prospecto.</w:t>
            </w:r>
          </w:p>
          <w:p w14:paraId="685404E2" w14:textId="77777777" w:rsidR="00251EBE" w:rsidRPr="00F44670" w:rsidRDefault="00251EBE" w:rsidP="00251EBE">
            <w:pPr>
              <w:pStyle w:val="Sangradetextonormal"/>
              <w:ind w:left="0"/>
              <w:jc w:val="both"/>
              <w:rPr>
                <w:sz w:val="22"/>
                <w:szCs w:val="22"/>
                <w:lang w:val="es-ES" w:eastAsia="es-ES"/>
              </w:rPr>
            </w:pPr>
          </w:p>
        </w:tc>
      </w:tr>
      <w:tr w:rsidR="00251EBE" w:rsidRPr="00F44670" w14:paraId="5AFFED28" w14:textId="77777777" w:rsidTr="009F2917">
        <w:tc>
          <w:tcPr>
            <w:tcW w:w="2935" w:type="dxa"/>
            <w:shd w:val="clear" w:color="auto" w:fill="FFFFFF"/>
          </w:tcPr>
          <w:p w14:paraId="4600D9C0" w14:textId="77777777" w:rsidR="00251EBE" w:rsidRPr="00F44670" w:rsidRDefault="00251EBE" w:rsidP="00251EBE">
            <w:pPr>
              <w:pStyle w:val="Sangradetextonormal"/>
              <w:ind w:left="6"/>
              <w:rPr>
                <w:b/>
                <w:sz w:val="22"/>
                <w:szCs w:val="22"/>
                <w:lang w:val="es-ES" w:eastAsia="es-ES"/>
              </w:rPr>
            </w:pPr>
            <w:r w:rsidRPr="00F44670">
              <w:rPr>
                <w:b/>
                <w:sz w:val="22"/>
                <w:szCs w:val="22"/>
                <w:lang w:val="es-ES" w:eastAsia="es-ES"/>
              </w:rPr>
              <w:t>Vencimiento</w:t>
            </w:r>
          </w:p>
        </w:tc>
        <w:tc>
          <w:tcPr>
            <w:tcW w:w="6415" w:type="dxa"/>
            <w:shd w:val="clear" w:color="auto" w:fill="FFFFFF"/>
          </w:tcPr>
          <w:p w14:paraId="29AE806E" w14:textId="3F9D0B25" w:rsidR="00251EBE" w:rsidRPr="00F44670" w:rsidRDefault="00251EBE" w:rsidP="00251EBE">
            <w:pPr>
              <w:pStyle w:val="Sangradetextonormal"/>
              <w:ind w:left="0"/>
              <w:rPr>
                <w:sz w:val="22"/>
                <w:szCs w:val="22"/>
                <w:lang w:val="es-ES" w:eastAsia="es-ES"/>
              </w:rPr>
            </w:pPr>
            <w:r w:rsidRPr="00F44670">
              <w:rPr>
                <w:sz w:val="22"/>
                <w:szCs w:val="22"/>
                <w:lang w:val="es-ES" w:eastAsia="es-ES"/>
              </w:rPr>
              <w:t>El vencimiento de la</w:t>
            </w:r>
            <w:r>
              <w:rPr>
                <w:sz w:val="22"/>
                <w:szCs w:val="22"/>
                <w:lang w:val="es-ES" w:eastAsia="es-ES"/>
              </w:rPr>
              <w:t xml:space="preserve">s </w:t>
            </w:r>
            <w:r w:rsidRPr="00F44670">
              <w:rPr>
                <w:sz w:val="22"/>
                <w:szCs w:val="22"/>
                <w:lang w:val="es-ES" w:eastAsia="es-ES"/>
              </w:rPr>
              <w:t>O</w:t>
            </w:r>
            <w:r>
              <w:rPr>
                <w:sz w:val="22"/>
                <w:szCs w:val="22"/>
                <w:lang w:val="es-ES" w:eastAsia="es-ES"/>
              </w:rPr>
              <w:t>N Serie II Clase A</w:t>
            </w:r>
            <w:r w:rsidRPr="00F44670">
              <w:rPr>
                <w:sz w:val="22"/>
                <w:szCs w:val="22"/>
                <w:lang w:val="es-ES" w:eastAsia="es-ES"/>
              </w:rPr>
              <w:t xml:space="preserve"> se producirá a </w:t>
            </w:r>
            <w:r w:rsidRPr="00A93908">
              <w:rPr>
                <w:sz w:val="22"/>
                <w:szCs w:val="22"/>
                <w:lang w:val="es-ES" w:eastAsia="es-ES"/>
              </w:rPr>
              <w:t xml:space="preserve">los </w:t>
            </w:r>
            <w:r w:rsidRPr="00C274DD">
              <w:rPr>
                <w:sz w:val="22"/>
                <w:szCs w:val="22"/>
                <w:lang w:val="es-ES" w:eastAsia="es-ES"/>
              </w:rPr>
              <w:t>18</w:t>
            </w:r>
            <w:r w:rsidRPr="00F44670">
              <w:rPr>
                <w:sz w:val="22"/>
                <w:szCs w:val="22"/>
                <w:lang w:val="es-ES" w:eastAsia="es-ES"/>
              </w:rPr>
              <w:t xml:space="preserve"> meses desde la Fecha de Emisión</w:t>
            </w:r>
            <w:r>
              <w:rPr>
                <w:sz w:val="22"/>
                <w:szCs w:val="22"/>
                <w:lang w:val="es-ES" w:eastAsia="es-ES"/>
              </w:rPr>
              <w:t xml:space="preserve"> y Liquidación</w:t>
            </w:r>
            <w:r w:rsidRPr="00F44670">
              <w:rPr>
                <w:sz w:val="22"/>
                <w:szCs w:val="22"/>
                <w:lang w:val="es-ES" w:eastAsia="es-ES"/>
              </w:rPr>
              <w:t xml:space="preserve"> (la “Fecha de Vencimiento”).</w:t>
            </w:r>
          </w:p>
          <w:p w14:paraId="2681C218" w14:textId="77777777" w:rsidR="00251EBE" w:rsidRPr="00F44670" w:rsidRDefault="00251EBE" w:rsidP="00251EBE">
            <w:pPr>
              <w:pStyle w:val="Sangradetextonormal"/>
              <w:ind w:left="0"/>
              <w:rPr>
                <w:b/>
                <w:sz w:val="22"/>
                <w:szCs w:val="22"/>
                <w:u w:val="single"/>
                <w:lang w:val="es-ES" w:eastAsia="es-ES"/>
              </w:rPr>
            </w:pPr>
          </w:p>
        </w:tc>
      </w:tr>
      <w:tr w:rsidR="00251EBE" w:rsidRPr="00F44670" w14:paraId="59D8B365" w14:textId="77777777" w:rsidTr="009F2917">
        <w:trPr>
          <w:trHeight w:val="1191"/>
        </w:trPr>
        <w:tc>
          <w:tcPr>
            <w:tcW w:w="2935" w:type="dxa"/>
            <w:shd w:val="clear" w:color="auto" w:fill="FFFFFF"/>
          </w:tcPr>
          <w:p w14:paraId="2739FA97" w14:textId="77777777" w:rsidR="00251EBE" w:rsidRPr="00F44670" w:rsidRDefault="00251EBE" w:rsidP="00251EBE">
            <w:pPr>
              <w:pStyle w:val="Sangradetextonormal"/>
              <w:ind w:left="6"/>
              <w:rPr>
                <w:b/>
                <w:bCs/>
                <w:sz w:val="22"/>
                <w:szCs w:val="22"/>
                <w:lang w:val="es-ES" w:eastAsia="es-ES"/>
              </w:rPr>
            </w:pPr>
            <w:r w:rsidRPr="00F44670">
              <w:rPr>
                <w:b/>
                <w:sz w:val="22"/>
                <w:szCs w:val="22"/>
                <w:lang w:val="es-ES" w:eastAsia="es-ES"/>
              </w:rPr>
              <w:t>Amortización</w:t>
            </w:r>
          </w:p>
        </w:tc>
        <w:tc>
          <w:tcPr>
            <w:tcW w:w="6415" w:type="dxa"/>
            <w:shd w:val="clear" w:color="auto" w:fill="FFFFFF"/>
          </w:tcPr>
          <w:p w14:paraId="764F2B46" w14:textId="38E454A9" w:rsidR="00251EBE" w:rsidRPr="00F44670" w:rsidRDefault="00251EBE" w:rsidP="00251EBE">
            <w:pPr>
              <w:pStyle w:val="Sangradetextonormal"/>
              <w:ind w:left="0"/>
              <w:jc w:val="both"/>
              <w:rPr>
                <w:sz w:val="22"/>
                <w:szCs w:val="22"/>
                <w:lang w:val="es-ES" w:eastAsia="es-ES"/>
              </w:rPr>
            </w:pPr>
            <w:r w:rsidRPr="00F44670">
              <w:rPr>
                <w:sz w:val="22"/>
                <w:szCs w:val="22"/>
                <w:lang w:val="es-ES" w:eastAsia="es-ES"/>
              </w:rPr>
              <w:t xml:space="preserve">El capital </w:t>
            </w:r>
            <w:r>
              <w:rPr>
                <w:sz w:val="22"/>
                <w:szCs w:val="22"/>
                <w:lang w:val="es-ES" w:eastAsia="es-ES"/>
              </w:rPr>
              <w:t>de las ON Serie II Clase A</w:t>
            </w:r>
            <w:r w:rsidRPr="00F44670">
              <w:rPr>
                <w:sz w:val="22"/>
                <w:szCs w:val="22"/>
                <w:lang w:val="es-ES" w:eastAsia="es-ES"/>
              </w:rPr>
              <w:t xml:space="preserve"> se pagará </w:t>
            </w:r>
            <w:r>
              <w:rPr>
                <w:sz w:val="22"/>
                <w:szCs w:val="22"/>
                <w:lang w:val="es-ES" w:eastAsia="es-ES"/>
              </w:rPr>
              <w:t xml:space="preserve">en forma íntegra </w:t>
            </w:r>
            <w:r w:rsidRPr="00F44670">
              <w:rPr>
                <w:sz w:val="22"/>
                <w:szCs w:val="22"/>
                <w:lang w:val="es-ES" w:eastAsia="es-ES"/>
              </w:rPr>
              <w:t xml:space="preserve">en </w:t>
            </w:r>
            <w:r>
              <w:rPr>
                <w:sz w:val="22"/>
                <w:szCs w:val="22"/>
                <w:lang w:val="es-ES" w:eastAsia="es-ES"/>
              </w:rPr>
              <w:t>la Fecha de Vencimiento</w:t>
            </w:r>
            <w:r w:rsidR="00F3346A">
              <w:rPr>
                <w:sz w:val="22"/>
                <w:szCs w:val="22"/>
                <w:lang w:val="es-ES" w:eastAsia="es-ES"/>
              </w:rPr>
              <w:t xml:space="preserve"> (l</w:t>
            </w:r>
            <w:r>
              <w:rPr>
                <w:sz w:val="22"/>
                <w:szCs w:val="22"/>
                <w:lang w:val="es-ES" w:eastAsia="es-ES"/>
              </w:rPr>
              <w:t xml:space="preserve">a </w:t>
            </w:r>
            <w:r w:rsidR="00F3346A">
              <w:rPr>
                <w:sz w:val="22"/>
                <w:szCs w:val="22"/>
                <w:lang w:val="es-ES" w:eastAsia="es-ES"/>
              </w:rPr>
              <w:t>“</w:t>
            </w:r>
            <w:r>
              <w:rPr>
                <w:sz w:val="22"/>
                <w:szCs w:val="22"/>
                <w:lang w:val="es-ES" w:eastAsia="es-ES"/>
              </w:rPr>
              <w:t>Fecha de Amortización</w:t>
            </w:r>
            <w:r w:rsidR="00F3346A">
              <w:rPr>
                <w:sz w:val="22"/>
                <w:szCs w:val="22"/>
                <w:lang w:val="es-ES" w:eastAsia="es-ES"/>
              </w:rPr>
              <w:t>”). La Fecha de Amortización</w:t>
            </w:r>
            <w:r>
              <w:rPr>
                <w:sz w:val="22"/>
                <w:szCs w:val="22"/>
                <w:lang w:val="es-ES" w:eastAsia="es-ES"/>
              </w:rPr>
              <w:t xml:space="preserve"> será informada mediante el Aviso de Resultado de la Colocación.</w:t>
            </w:r>
          </w:p>
          <w:p w14:paraId="563C1404" w14:textId="77777777" w:rsidR="00251EBE" w:rsidRPr="00F44670" w:rsidRDefault="00251EBE" w:rsidP="00251EBE">
            <w:pPr>
              <w:pStyle w:val="Sangradetextonormal"/>
              <w:ind w:left="0"/>
              <w:jc w:val="both"/>
              <w:rPr>
                <w:bCs/>
                <w:sz w:val="22"/>
                <w:szCs w:val="22"/>
                <w:lang w:val="es-ES" w:eastAsia="es-ES"/>
              </w:rPr>
            </w:pPr>
          </w:p>
        </w:tc>
      </w:tr>
    </w:tbl>
    <w:p w14:paraId="337B8CBC" w14:textId="04488657" w:rsidR="008D4DC8" w:rsidRDefault="008D4DC8" w:rsidP="003C03AE">
      <w:pPr>
        <w:jc w:val="center"/>
        <w:outlineLvl w:val="0"/>
        <w:rPr>
          <w:bCs/>
          <w:sz w:val="22"/>
          <w:szCs w:val="22"/>
          <w:u w:val="single"/>
          <w:lang w:eastAsia="x-none"/>
        </w:rPr>
      </w:pPr>
    </w:p>
    <w:p w14:paraId="6D566F80" w14:textId="202726F3" w:rsidR="008D4DC8" w:rsidRPr="00B758A4" w:rsidRDefault="008D4DC8" w:rsidP="003C189F">
      <w:pPr>
        <w:jc w:val="center"/>
        <w:rPr>
          <w:b/>
          <w:bCs/>
          <w:sz w:val="20"/>
          <w:szCs w:val="20"/>
          <w:lang w:val="es-AR"/>
        </w:rPr>
      </w:pPr>
      <w:r w:rsidRPr="00B758A4">
        <w:rPr>
          <w:b/>
          <w:bCs/>
          <w:sz w:val="20"/>
          <w:szCs w:val="20"/>
          <w:lang w:eastAsia="x-none"/>
        </w:rPr>
        <w:t xml:space="preserve">TÉRMINOS Y CONDICIONES PARTICULARES DE LAS OBLIGACIONES NEGOCIABLES </w:t>
      </w:r>
      <w:r w:rsidR="0036044C">
        <w:rPr>
          <w:b/>
          <w:bCs/>
          <w:sz w:val="20"/>
          <w:szCs w:val="20"/>
          <w:lang w:eastAsia="x-none"/>
        </w:rPr>
        <w:t xml:space="preserve">SERIE II </w:t>
      </w:r>
      <w:r w:rsidRPr="00B758A4">
        <w:rPr>
          <w:b/>
          <w:bCs/>
          <w:sz w:val="20"/>
          <w:szCs w:val="20"/>
        </w:rPr>
        <w:t xml:space="preserve">CLASE </w:t>
      </w:r>
      <w:r w:rsidRPr="00B758A4">
        <w:rPr>
          <w:b/>
          <w:bCs/>
          <w:sz w:val="20"/>
          <w:szCs w:val="20"/>
          <w:lang w:val="es-AR"/>
        </w:rPr>
        <w:t>B</w:t>
      </w:r>
    </w:p>
    <w:p w14:paraId="68AFFEF7" w14:textId="2C134DD5" w:rsidR="003E0BE8" w:rsidRDefault="003E0BE8" w:rsidP="003C03AE">
      <w:pPr>
        <w:jc w:val="center"/>
        <w:outlineLvl w:val="0"/>
        <w:rPr>
          <w:bCs/>
          <w:sz w:val="20"/>
          <w:szCs w:val="20"/>
          <w:u w:val="single"/>
          <w:lang w:val="es-A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6415"/>
      </w:tblGrid>
      <w:tr w:rsidR="00251EBE" w:rsidRPr="00F44670" w14:paraId="21762967" w14:textId="77777777" w:rsidTr="009F2917">
        <w:tc>
          <w:tcPr>
            <w:tcW w:w="2935" w:type="dxa"/>
            <w:shd w:val="clear" w:color="auto" w:fill="FFFFFF"/>
          </w:tcPr>
          <w:p w14:paraId="79ADED43" w14:textId="233649B5" w:rsidR="00251EBE" w:rsidRPr="00F44670" w:rsidRDefault="00251EBE" w:rsidP="00251EBE">
            <w:pPr>
              <w:pStyle w:val="Sangradetextonormal"/>
              <w:ind w:left="6"/>
              <w:rPr>
                <w:b/>
                <w:sz w:val="22"/>
                <w:szCs w:val="22"/>
                <w:lang w:val="es-ES" w:eastAsia="es-ES"/>
              </w:rPr>
            </w:pPr>
            <w:r>
              <w:rPr>
                <w:b/>
                <w:sz w:val="22"/>
                <w:szCs w:val="22"/>
                <w:lang w:val="es-ES" w:eastAsia="es-ES"/>
              </w:rPr>
              <w:t>Título</w:t>
            </w:r>
          </w:p>
        </w:tc>
        <w:tc>
          <w:tcPr>
            <w:tcW w:w="6415" w:type="dxa"/>
            <w:shd w:val="clear" w:color="auto" w:fill="FFFFFF"/>
          </w:tcPr>
          <w:p w14:paraId="20741C80" w14:textId="74B67500" w:rsidR="00251EBE" w:rsidRDefault="00251EBE" w:rsidP="00251EBE">
            <w:pPr>
              <w:pStyle w:val="Sangradetextonormal"/>
              <w:ind w:left="0"/>
              <w:jc w:val="both"/>
              <w:rPr>
                <w:sz w:val="22"/>
                <w:szCs w:val="22"/>
                <w:lang w:val="es-ES" w:eastAsia="es-ES"/>
              </w:rPr>
            </w:pPr>
            <w:r w:rsidRPr="00CA6FE6">
              <w:rPr>
                <w:sz w:val="22"/>
                <w:szCs w:val="22"/>
                <w:lang w:val="es-ES" w:eastAsia="es-ES"/>
              </w:rPr>
              <w:t xml:space="preserve">Obligaciones Negociables Serie II Clase </w:t>
            </w:r>
            <w:r>
              <w:rPr>
                <w:sz w:val="22"/>
                <w:szCs w:val="22"/>
                <w:lang w:val="es-ES" w:eastAsia="es-ES"/>
              </w:rPr>
              <w:t>B</w:t>
            </w:r>
            <w:r w:rsidRPr="00CA6FE6">
              <w:rPr>
                <w:sz w:val="22"/>
                <w:szCs w:val="22"/>
                <w:lang w:val="es-ES" w:eastAsia="es-ES"/>
              </w:rPr>
              <w:t>.</w:t>
            </w:r>
          </w:p>
        </w:tc>
      </w:tr>
      <w:tr w:rsidR="00251EBE" w:rsidRPr="00F44670" w14:paraId="266EB812" w14:textId="77777777" w:rsidTr="009F2917">
        <w:tc>
          <w:tcPr>
            <w:tcW w:w="2935" w:type="dxa"/>
            <w:shd w:val="clear" w:color="auto" w:fill="FFFFFF"/>
          </w:tcPr>
          <w:p w14:paraId="36FD4C56" w14:textId="16B36F72" w:rsidR="00251EBE" w:rsidRPr="00F44670" w:rsidRDefault="00251EBE" w:rsidP="00251EBE">
            <w:pPr>
              <w:pStyle w:val="Sangradetextonormal"/>
              <w:ind w:left="6"/>
              <w:rPr>
                <w:b/>
                <w:sz w:val="22"/>
                <w:szCs w:val="22"/>
                <w:lang w:val="es-ES" w:eastAsia="es-ES"/>
              </w:rPr>
            </w:pPr>
            <w:r>
              <w:rPr>
                <w:b/>
                <w:sz w:val="22"/>
                <w:szCs w:val="22"/>
                <w:lang w:val="es-ES" w:eastAsia="es-ES"/>
              </w:rPr>
              <w:lastRenderedPageBreak/>
              <w:t>Descripción</w:t>
            </w:r>
          </w:p>
        </w:tc>
        <w:tc>
          <w:tcPr>
            <w:tcW w:w="6415" w:type="dxa"/>
            <w:shd w:val="clear" w:color="auto" w:fill="FFFFFF"/>
          </w:tcPr>
          <w:p w14:paraId="2E665244" w14:textId="2553F681" w:rsidR="00251EBE" w:rsidRDefault="00251EBE">
            <w:pPr>
              <w:pStyle w:val="Sangradetextonormal"/>
              <w:ind w:left="0"/>
              <w:jc w:val="both"/>
              <w:rPr>
                <w:sz w:val="22"/>
                <w:szCs w:val="22"/>
                <w:lang w:val="es-ES" w:eastAsia="es-ES"/>
              </w:rPr>
            </w:pPr>
            <w:r w:rsidRPr="00CA6FE6">
              <w:rPr>
                <w:sz w:val="22"/>
                <w:szCs w:val="22"/>
                <w:lang w:val="es-ES" w:eastAsia="es-ES"/>
              </w:rPr>
              <w:t xml:space="preserve">Obligaciones Negociables Serie II Clase </w:t>
            </w:r>
            <w:r>
              <w:rPr>
                <w:sz w:val="22"/>
                <w:szCs w:val="22"/>
                <w:lang w:val="es-ES" w:eastAsia="es-ES"/>
              </w:rPr>
              <w:t>B</w:t>
            </w:r>
            <w:r w:rsidRPr="00CA6FE6">
              <w:rPr>
                <w:sz w:val="22"/>
                <w:szCs w:val="22"/>
                <w:lang w:val="es-ES" w:eastAsia="es-ES"/>
              </w:rPr>
              <w:t>, denominadas en Dólares  a  tasa fija, la cual será informada en el Aviso de Resultado de la Colocación.</w:t>
            </w:r>
          </w:p>
        </w:tc>
      </w:tr>
      <w:tr w:rsidR="00251EBE" w:rsidRPr="00F44670" w14:paraId="56AF2955" w14:textId="77777777" w:rsidTr="009F2917">
        <w:tc>
          <w:tcPr>
            <w:tcW w:w="2935" w:type="dxa"/>
            <w:shd w:val="clear" w:color="auto" w:fill="FFFFFF"/>
          </w:tcPr>
          <w:p w14:paraId="4F7EEC93" w14:textId="756E2C4C" w:rsidR="00251EBE" w:rsidRPr="00F44670" w:rsidRDefault="00251EBE" w:rsidP="00251EBE">
            <w:pPr>
              <w:pStyle w:val="Sangradetextonormal"/>
              <w:ind w:left="6"/>
              <w:rPr>
                <w:b/>
                <w:sz w:val="22"/>
                <w:szCs w:val="22"/>
                <w:lang w:val="es-ES" w:eastAsia="es-ES"/>
              </w:rPr>
            </w:pPr>
            <w:r w:rsidRPr="00F44670">
              <w:rPr>
                <w:b/>
                <w:sz w:val="22"/>
                <w:szCs w:val="22"/>
                <w:lang w:val="es-ES" w:eastAsia="es-ES"/>
              </w:rPr>
              <w:t xml:space="preserve">Moneda de </w:t>
            </w:r>
            <w:r>
              <w:rPr>
                <w:b/>
                <w:sz w:val="22"/>
                <w:szCs w:val="22"/>
                <w:lang w:val="es-ES" w:eastAsia="es-ES"/>
              </w:rPr>
              <w:t>Denominación</w:t>
            </w:r>
            <w:r w:rsidRPr="00F44670">
              <w:rPr>
                <w:b/>
                <w:sz w:val="22"/>
                <w:szCs w:val="22"/>
                <w:lang w:val="es-ES" w:eastAsia="es-ES"/>
              </w:rPr>
              <w:t xml:space="preserve"> y </w:t>
            </w:r>
            <w:r>
              <w:rPr>
                <w:b/>
                <w:sz w:val="22"/>
                <w:szCs w:val="22"/>
                <w:lang w:val="es-ES" w:eastAsia="es-ES"/>
              </w:rPr>
              <w:t>P</w:t>
            </w:r>
            <w:r w:rsidRPr="00F44670">
              <w:rPr>
                <w:b/>
                <w:sz w:val="22"/>
                <w:szCs w:val="22"/>
                <w:lang w:val="es-ES" w:eastAsia="es-ES"/>
              </w:rPr>
              <w:t xml:space="preserve">ago de los </w:t>
            </w:r>
            <w:r>
              <w:rPr>
                <w:b/>
                <w:sz w:val="22"/>
                <w:szCs w:val="22"/>
                <w:lang w:val="es-ES" w:eastAsia="es-ES"/>
              </w:rPr>
              <w:t>S</w:t>
            </w:r>
            <w:r w:rsidRPr="00F44670">
              <w:rPr>
                <w:b/>
                <w:sz w:val="22"/>
                <w:szCs w:val="22"/>
                <w:lang w:val="es-ES" w:eastAsia="es-ES"/>
              </w:rPr>
              <w:t>ervicios</w:t>
            </w:r>
          </w:p>
        </w:tc>
        <w:tc>
          <w:tcPr>
            <w:tcW w:w="6415" w:type="dxa"/>
            <w:shd w:val="clear" w:color="auto" w:fill="FFFFFF"/>
          </w:tcPr>
          <w:p w14:paraId="31158FCE" w14:textId="21246A16" w:rsidR="00251EBE" w:rsidRDefault="00251EBE" w:rsidP="00251EBE">
            <w:pPr>
              <w:pStyle w:val="Sangradetextonormal"/>
              <w:ind w:left="0"/>
              <w:jc w:val="both"/>
              <w:rPr>
                <w:sz w:val="22"/>
                <w:szCs w:val="22"/>
                <w:lang w:val="es-ES" w:eastAsia="es-ES"/>
              </w:rPr>
            </w:pPr>
            <w:r>
              <w:rPr>
                <w:sz w:val="22"/>
                <w:szCs w:val="22"/>
                <w:lang w:val="es-ES" w:eastAsia="es-ES"/>
              </w:rPr>
              <w:t>Dólares</w:t>
            </w:r>
            <w:r w:rsidR="00E61D59">
              <w:rPr>
                <w:sz w:val="22"/>
                <w:szCs w:val="22"/>
                <w:lang w:val="es-ES" w:eastAsia="es-ES"/>
              </w:rPr>
              <w:t>.</w:t>
            </w:r>
          </w:p>
          <w:p w14:paraId="67D0BE69" w14:textId="7F579B96" w:rsidR="0049735E" w:rsidRPr="00A30076" w:rsidRDefault="0049735E" w:rsidP="00B411FD">
            <w:pPr>
              <w:pStyle w:val="Default"/>
              <w:jc w:val="both"/>
              <w:rPr>
                <w:sz w:val="22"/>
                <w:szCs w:val="22"/>
              </w:rPr>
            </w:pPr>
            <w:r w:rsidRPr="00A30076">
              <w:rPr>
                <w:sz w:val="22"/>
                <w:szCs w:val="22"/>
              </w:rPr>
              <w:t>Si en cualquier fecha de pago con respecto a las Obligaciones Negociables</w:t>
            </w:r>
            <w:r>
              <w:rPr>
                <w:sz w:val="22"/>
                <w:szCs w:val="22"/>
              </w:rPr>
              <w:t xml:space="preserve"> Serie II</w:t>
            </w:r>
            <w:r w:rsidRPr="00A30076">
              <w:rPr>
                <w:sz w:val="22"/>
                <w:szCs w:val="22"/>
              </w:rPr>
              <w:t xml:space="preserve"> Clase </w:t>
            </w:r>
            <w:r>
              <w:rPr>
                <w:sz w:val="22"/>
                <w:szCs w:val="22"/>
              </w:rPr>
              <w:t>B</w:t>
            </w:r>
            <w:r w:rsidRPr="00A30076">
              <w:rPr>
                <w:sz w:val="22"/>
                <w:szCs w:val="22"/>
              </w:rPr>
              <w:t xml:space="preserve">, la Emisora no tuviera acceso al mercado de cambios para la compra de Dólares  como resultado de una restricción o prohibición cambiaria impuesta en la Argentina, la Emisora obtendrá (a su propio costo) dichos Dólares  mediante (i) la venta de cualquier título público denominado en Dólares  por un monto y valor nominal suficientes a fin de que, una vez vendidos, el producido de la venta dé como resultado, neto de impuestos, gastos y comisiones que puedan ser de aplicación en relación con la venta de dichos títulos, una suma de </w:t>
            </w:r>
            <w:r w:rsidR="00E61D59">
              <w:rPr>
                <w:sz w:val="22"/>
                <w:szCs w:val="22"/>
              </w:rPr>
              <w:t>D</w:t>
            </w:r>
            <w:r w:rsidRPr="00A30076">
              <w:rPr>
                <w:sz w:val="22"/>
                <w:szCs w:val="22"/>
              </w:rPr>
              <w:t xml:space="preserve">ólares  igual al monto en Dólares  adeudado bajo las Obligaciones Negociables </w:t>
            </w:r>
            <w:r>
              <w:rPr>
                <w:sz w:val="22"/>
                <w:szCs w:val="22"/>
              </w:rPr>
              <w:t xml:space="preserve">Serie II </w:t>
            </w:r>
            <w:r w:rsidRPr="00A30076">
              <w:rPr>
                <w:sz w:val="22"/>
                <w:szCs w:val="22"/>
              </w:rPr>
              <w:t xml:space="preserve">Clase </w:t>
            </w:r>
            <w:r>
              <w:rPr>
                <w:sz w:val="22"/>
                <w:szCs w:val="22"/>
              </w:rPr>
              <w:t>B</w:t>
            </w:r>
            <w:r w:rsidRPr="00A30076">
              <w:rPr>
                <w:sz w:val="22"/>
                <w:szCs w:val="22"/>
              </w:rPr>
              <w:t xml:space="preserve">, o (ii) cualquier otro mecanismo lícito para la adquisición de Dólares  en cualquier entidad o mercado de divisas o de valores autorizado por el BCRA o la CNV. </w:t>
            </w:r>
          </w:p>
          <w:p w14:paraId="53469AD8" w14:textId="28A3DB01" w:rsidR="00251EBE" w:rsidRPr="00F44670" w:rsidRDefault="00251EBE" w:rsidP="000F6214">
            <w:pPr>
              <w:suppressAutoHyphens/>
              <w:ind w:right="-70"/>
              <w:jc w:val="both"/>
              <w:rPr>
                <w:sz w:val="22"/>
                <w:szCs w:val="22"/>
              </w:rPr>
            </w:pPr>
          </w:p>
        </w:tc>
      </w:tr>
      <w:tr w:rsidR="00251EBE" w:rsidRPr="00F44670" w14:paraId="51407AB3" w14:textId="77777777" w:rsidTr="009F2917">
        <w:tc>
          <w:tcPr>
            <w:tcW w:w="2935" w:type="dxa"/>
            <w:shd w:val="clear" w:color="auto" w:fill="FFFFFF"/>
          </w:tcPr>
          <w:p w14:paraId="584BE417" w14:textId="6CDD6C4B" w:rsidR="00251EBE" w:rsidRPr="00F44670" w:rsidRDefault="00251EBE" w:rsidP="00251EBE">
            <w:pPr>
              <w:pStyle w:val="Sangradetextonormal"/>
              <w:ind w:left="6"/>
              <w:rPr>
                <w:b/>
                <w:sz w:val="22"/>
                <w:szCs w:val="22"/>
                <w:lang w:val="es-ES" w:eastAsia="es-ES"/>
              </w:rPr>
            </w:pPr>
            <w:r>
              <w:rPr>
                <w:b/>
                <w:sz w:val="22"/>
                <w:szCs w:val="22"/>
                <w:lang w:val="es-ES" w:eastAsia="es-ES"/>
              </w:rPr>
              <w:t>Forma y Moneda de Integración</w:t>
            </w:r>
          </w:p>
        </w:tc>
        <w:tc>
          <w:tcPr>
            <w:tcW w:w="6415" w:type="dxa"/>
            <w:shd w:val="clear" w:color="auto" w:fill="FFFFFF"/>
          </w:tcPr>
          <w:p w14:paraId="727A19E6" w14:textId="5D6042F2" w:rsidR="00251EBE" w:rsidRDefault="00251EBE" w:rsidP="001C4172">
            <w:pPr>
              <w:pStyle w:val="Sangradetextonormal"/>
              <w:ind w:left="0"/>
              <w:jc w:val="both"/>
              <w:rPr>
                <w:sz w:val="22"/>
                <w:szCs w:val="22"/>
                <w:lang w:val="es-ES" w:eastAsia="es-ES"/>
              </w:rPr>
            </w:pPr>
            <w:r w:rsidRPr="00CA6FE6">
              <w:rPr>
                <w:sz w:val="22"/>
                <w:szCs w:val="22"/>
                <w:lang w:val="es-ES" w:eastAsia="es-ES"/>
              </w:rPr>
              <w:t xml:space="preserve">La suscripción e integración será efectuada en </w:t>
            </w:r>
            <w:r>
              <w:rPr>
                <w:sz w:val="22"/>
                <w:szCs w:val="22"/>
                <w:lang w:val="es-ES" w:eastAsia="es-ES"/>
              </w:rPr>
              <w:t>Dólares.</w:t>
            </w:r>
          </w:p>
        </w:tc>
      </w:tr>
      <w:tr w:rsidR="00251EBE" w:rsidRPr="00F44670" w14:paraId="6B62876B" w14:textId="77777777" w:rsidTr="009F2917">
        <w:tc>
          <w:tcPr>
            <w:tcW w:w="2935" w:type="dxa"/>
            <w:shd w:val="clear" w:color="auto" w:fill="FFFFFF"/>
          </w:tcPr>
          <w:p w14:paraId="433FE1EA" w14:textId="77777777" w:rsidR="00251EBE" w:rsidRPr="00F44670" w:rsidRDefault="00251EBE" w:rsidP="00251EBE">
            <w:pPr>
              <w:pStyle w:val="Sangradetextonormal"/>
              <w:ind w:left="6"/>
              <w:rPr>
                <w:b/>
                <w:sz w:val="22"/>
                <w:szCs w:val="22"/>
                <w:lang w:val="es-ES"/>
              </w:rPr>
            </w:pPr>
            <w:r w:rsidRPr="00F44670">
              <w:rPr>
                <w:b/>
                <w:sz w:val="22"/>
                <w:szCs w:val="22"/>
                <w:lang w:val="es-ES" w:eastAsia="es-ES"/>
              </w:rPr>
              <w:t>Servicios de Interés</w:t>
            </w:r>
          </w:p>
        </w:tc>
        <w:tc>
          <w:tcPr>
            <w:tcW w:w="6415" w:type="dxa"/>
            <w:shd w:val="clear" w:color="auto" w:fill="FFFFFF"/>
          </w:tcPr>
          <w:p w14:paraId="04CAAA8C" w14:textId="5B364082" w:rsidR="00251EBE" w:rsidRPr="00F44670" w:rsidRDefault="00251EBE" w:rsidP="00251EBE">
            <w:pPr>
              <w:jc w:val="both"/>
              <w:rPr>
                <w:sz w:val="22"/>
                <w:szCs w:val="22"/>
                <w:lang w:val="es-ES_tradnl"/>
              </w:rPr>
            </w:pPr>
            <w:r w:rsidRPr="00F44670">
              <w:rPr>
                <w:sz w:val="22"/>
                <w:szCs w:val="22"/>
              </w:rPr>
              <w:t xml:space="preserve">Se pagarán intereses en forma </w:t>
            </w:r>
            <w:r>
              <w:rPr>
                <w:sz w:val="22"/>
                <w:szCs w:val="22"/>
              </w:rPr>
              <w:t>trimestral contados desde la Fecha de Emisión y Liquidación</w:t>
            </w:r>
            <w:r w:rsidR="00E61D59">
              <w:rPr>
                <w:sz w:val="22"/>
                <w:szCs w:val="22"/>
              </w:rPr>
              <w:t xml:space="preserve"> </w:t>
            </w:r>
            <w:r w:rsidR="00E61D59" w:rsidRPr="00FB28AB">
              <w:rPr>
                <w:sz w:val="22"/>
              </w:rPr>
              <w:t>(cada una, una “Fecha de Pago de Intereses”</w:t>
            </w:r>
            <w:r w:rsidR="00E61D59">
              <w:rPr>
                <w:sz w:val="22"/>
              </w:rPr>
              <w:t>)</w:t>
            </w:r>
            <w:r w:rsidRPr="00F44670">
              <w:rPr>
                <w:sz w:val="22"/>
                <w:szCs w:val="22"/>
              </w:rPr>
              <w:t>, a una tasa nominal anual fija (</w:t>
            </w:r>
            <w:r w:rsidRPr="00F44670">
              <w:rPr>
                <w:bCs/>
                <w:sz w:val="22"/>
                <w:szCs w:val="22"/>
                <w:lang w:val="es-AR"/>
              </w:rPr>
              <w:t>la Tasa Fija)</w:t>
            </w:r>
            <w:r w:rsidRPr="00F44670">
              <w:rPr>
                <w:sz w:val="22"/>
                <w:szCs w:val="22"/>
                <w:lang w:val="es-ES_tradnl"/>
              </w:rPr>
              <w:t>.</w:t>
            </w:r>
          </w:p>
          <w:p w14:paraId="30AB6F51" w14:textId="77777777" w:rsidR="00251EBE" w:rsidRPr="00F44670" w:rsidRDefault="00251EBE" w:rsidP="00251EBE">
            <w:pPr>
              <w:pStyle w:val="Sangradetextonormal"/>
              <w:ind w:left="34"/>
              <w:jc w:val="both"/>
              <w:rPr>
                <w:sz w:val="22"/>
                <w:szCs w:val="22"/>
                <w:lang w:val="es-ES" w:eastAsia="es-ES"/>
              </w:rPr>
            </w:pPr>
          </w:p>
          <w:p w14:paraId="3BDA5237" w14:textId="77777777" w:rsidR="00251EBE" w:rsidRPr="00F44670" w:rsidRDefault="00251EBE" w:rsidP="00251EBE">
            <w:pPr>
              <w:pStyle w:val="Textoindependiente3"/>
              <w:jc w:val="both"/>
              <w:rPr>
                <w:b w:val="0"/>
                <w:bCs w:val="0"/>
                <w:sz w:val="22"/>
                <w:szCs w:val="22"/>
                <w:lang w:val="es-ES" w:eastAsia="es-ES"/>
              </w:rPr>
            </w:pPr>
            <w:r w:rsidRPr="00F44670">
              <w:rPr>
                <w:b w:val="0"/>
                <w:sz w:val="22"/>
                <w:szCs w:val="22"/>
                <w:lang w:val="es-ES" w:eastAsia="es-ES"/>
              </w:rPr>
              <w:t>“</w:t>
            </w:r>
            <w:r w:rsidRPr="00F44670">
              <w:rPr>
                <w:b w:val="0"/>
                <w:i/>
                <w:sz w:val="22"/>
                <w:szCs w:val="22"/>
                <w:lang w:val="es-ES" w:eastAsia="es-ES"/>
              </w:rPr>
              <w:t>Tasa Fija</w:t>
            </w:r>
            <w:r w:rsidRPr="00F44670">
              <w:rPr>
                <w:b w:val="0"/>
                <w:sz w:val="22"/>
                <w:szCs w:val="22"/>
                <w:lang w:val="es-ES" w:eastAsia="es-ES"/>
              </w:rPr>
              <w:t>”: s</w:t>
            </w:r>
            <w:r w:rsidRPr="00F44670">
              <w:rPr>
                <w:b w:val="0"/>
                <w:bCs w:val="0"/>
                <w:sz w:val="22"/>
                <w:szCs w:val="22"/>
                <w:lang w:val="es-ES" w:eastAsia="es-ES"/>
              </w:rPr>
              <w:t xml:space="preserve">erá una tasa fija a ser determinada con anterioridad a la Fecha de Emisión </w:t>
            </w:r>
            <w:r>
              <w:rPr>
                <w:b w:val="0"/>
                <w:bCs w:val="0"/>
                <w:sz w:val="22"/>
                <w:szCs w:val="22"/>
                <w:lang w:val="es-ES" w:eastAsia="es-ES"/>
              </w:rPr>
              <w:t xml:space="preserve">y Liquidación </w:t>
            </w:r>
            <w:r w:rsidRPr="00F44670">
              <w:rPr>
                <w:b w:val="0"/>
                <w:bCs w:val="0"/>
                <w:sz w:val="22"/>
                <w:szCs w:val="22"/>
                <w:lang w:val="es-ES" w:eastAsia="es-ES"/>
              </w:rPr>
              <w:t>e informada mediante el Aviso de Resultado de Colocación. Dicha determinación resultará del procedimiento de adjudicación de las Obligaciones Negociables detallado en la Sección</w:t>
            </w:r>
            <w:r>
              <w:rPr>
                <w:b w:val="0"/>
                <w:bCs w:val="0"/>
                <w:sz w:val="22"/>
                <w:szCs w:val="22"/>
                <w:lang w:val="es-ES" w:eastAsia="es-ES"/>
              </w:rPr>
              <w:t xml:space="preserve"> IV</w:t>
            </w:r>
            <w:r w:rsidRPr="00F44670">
              <w:rPr>
                <w:b w:val="0"/>
                <w:bCs w:val="0"/>
                <w:sz w:val="22"/>
                <w:szCs w:val="22"/>
                <w:lang w:val="es-ES" w:eastAsia="es-ES"/>
              </w:rPr>
              <w:t xml:space="preserve"> “Plan de Distribución” del Suplemento de Prospecto.</w:t>
            </w:r>
          </w:p>
          <w:p w14:paraId="4190CF03" w14:textId="77777777" w:rsidR="00251EBE" w:rsidRPr="00F44670" w:rsidRDefault="00251EBE" w:rsidP="00251EBE">
            <w:pPr>
              <w:pStyle w:val="Sangradetextonormal"/>
              <w:ind w:left="0"/>
              <w:jc w:val="both"/>
              <w:rPr>
                <w:sz w:val="22"/>
                <w:szCs w:val="22"/>
                <w:lang w:val="es-ES" w:eastAsia="es-ES"/>
              </w:rPr>
            </w:pPr>
          </w:p>
        </w:tc>
      </w:tr>
      <w:tr w:rsidR="00251EBE" w:rsidRPr="00F44670" w14:paraId="591F4D58" w14:textId="77777777" w:rsidTr="009F2917">
        <w:tc>
          <w:tcPr>
            <w:tcW w:w="2935" w:type="dxa"/>
            <w:shd w:val="clear" w:color="auto" w:fill="FFFFFF"/>
          </w:tcPr>
          <w:p w14:paraId="4DCDEF64" w14:textId="77777777" w:rsidR="00251EBE" w:rsidRPr="00F44670" w:rsidRDefault="00251EBE" w:rsidP="00251EBE">
            <w:pPr>
              <w:pStyle w:val="Sangradetextonormal"/>
              <w:ind w:left="6"/>
              <w:rPr>
                <w:b/>
                <w:sz w:val="22"/>
                <w:szCs w:val="22"/>
                <w:lang w:val="es-ES" w:eastAsia="es-ES"/>
              </w:rPr>
            </w:pPr>
            <w:r w:rsidRPr="00F44670">
              <w:rPr>
                <w:b/>
                <w:sz w:val="22"/>
                <w:szCs w:val="22"/>
                <w:lang w:val="es-ES" w:eastAsia="es-ES"/>
              </w:rPr>
              <w:t>Vencimiento</w:t>
            </w:r>
          </w:p>
        </w:tc>
        <w:tc>
          <w:tcPr>
            <w:tcW w:w="6415" w:type="dxa"/>
            <w:shd w:val="clear" w:color="auto" w:fill="FFFFFF"/>
          </w:tcPr>
          <w:p w14:paraId="7065A4AB" w14:textId="3F80ED2F" w:rsidR="00251EBE" w:rsidRPr="00F44670" w:rsidRDefault="00251EBE" w:rsidP="00251EBE">
            <w:pPr>
              <w:pStyle w:val="Sangradetextonormal"/>
              <w:ind w:left="0"/>
              <w:rPr>
                <w:sz w:val="22"/>
                <w:szCs w:val="22"/>
                <w:lang w:val="es-ES" w:eastAsia="es-ES"/>
              </w:rPr>
            </w:pPr>
            <w:r w:rsidRPr="00F44670">
              <w:rPr>
                <w:sz w:val="22"/>
                <w:szCs w:val="22"/>
                <w:lang w:val="es-ES" w:eastAsia="es-ES"/>
              </w:rPr>
              <w:t>El vencimiento de la</w:t>
            </w:r>
            <w:r>
              <w:rPr>
                <w:sz w:val="22"/>
                <w:szCs w:val="22"/>
                <w:lang w:val="es-ES" w:eastAsia="es-ES"/>
              </w:rPr>
              <w:t xml:space="preserve">s </w:t>
            </w:r>
            <w:r w:rsidRPr="00F44670">
              <w:rPr>
                <w:sz w:val="22"/>
                <w:szCs w:val="22"/>
                <w:lang w:val="es-ES" w:eastAsia="es-ES"/>
              </w:rPr>
              <w:t>O</w:t>
            </w:r>
            <w:r>
              <w:rPr>
                <w:sz w:val="22"/>
                <w:szCs w:val="22"/>
                <w:lang w:val="es-ES" w:eastAsia="es-ES"/>
              </w:rPr>
              <w:t>N Serie II Clase B</w:t>
            </w:r>
            <w:r w:rsidRPr="00F44670">
              <w:rPr>
                <w:sz w:val="22"/>
                <w:szCs w:val="22"/>
                <w:lang w:val="es-ES" w:eastAsia="es-ES"/>
              </w:rPr>
              <w:t xml:space="preserve"> se producirá a los </w:t>
            </w:r>
            <w:r>
              <w:rPr>
                <w:sz w:val="22"/>
                <w:szCs w:val="22"/>
                <w:lang w:val="es-ES" w:eastAsia="es-ES"/>
              </w:rPr>
              <w:t>12</w:t>
            </w:r>
            <w:r w:rsidRPr="00F44670">
              <w:rPr>
                <w:sz w:val="22"/>
                <w:szCs w:val="22"/>
                <w:lang w:val="es-ES" w:eastAsia="es-ES"/>
              </w:rPr>
              <w:t xml:space="preserve"> meses desde la Fecha de Emisión</w:t>
            </w:r>
            <w:r>
              <w:rPr>
                <w:sz w:val="22"/>
                <w:szCs w:val="22"/>
                <w:lang w:val="es-ES" w:eastAsia="es-ES"/>
              </w:rPr>
              <w:t xml:space="preserve"> y Liquidación</w:t>
            </w:r>
            <w:r w:rsidRPr="00F44670">
              <w:rPr>
                <w:sz w:val="22"/>
                <w:szCs w:val="22"/>
                <w:lang w:val="es-ES" w:eastAsia="es-ES"/>
              </w:rPr>
              <w:t xml:space="preserve"> (la “Fecha de Vencimiento”).</w:t>
            </w:r>
          </w:p>
          <w:p w14:paraId="066B300E" w14:textId="77777777" w:rsidR="00251EBE" w:rsidRPr="00F44670" w:rsidRDefault="00251EBE" w:rsidP="00251EBE">
            <w:pPr>
              <w:pStyle w:val="Sangradetextonormal"/>
              <w:ind w:left="0"/>
              <w:rPr>
                <w:b/>
                <w:sz w:val="22"/>
                <w:szCs w:val="22"/>
                <w:u w:val="single"/>
                <w:lang w:val="es-ES" w:eastAsia="es-ES"/>
              </w:rPr>
            </w:pPr>
          </w:p>
        </w:tc>
      </w:tr>
      <w:tr w:rsidR="00251EBE" w:rsidRPr="00F44670" w14:paraId="1AEF22EB" w14:textId="77777777" w:rsidTr="009F2917">
        <w:trPr>
          <w:trHeight w:val="1191"/>
        </w:trPr>
        <w:tc>
          <w:tcPr>
            <w:tcW w:w="2935" w:type="dxa"/>
            <w:shd w:val="clear" w:color="auto" w:fill="FFFFFF"/>
          </w:tcPr>
          <w:p w14:paraId="20E71504" w14:textId="77777777" w:rsidR="00251EBE" w:rsidRPr="00F44670" w:rsidRDefault="00251EBE" w:rsidP="00251EBE">
            <w:pPr>
              <w:pStyle w:val="Sangradetextonormal"/>
              <w:ind w:left="6"/>
              <w:rPr>
                <w:b/>
                <w:bCs/>
                <w:sz w:val="22"/>
                <w:szCs w:val="22"/>
                <w:lang w:val="es-ES" w:eastAsia="es-ES"/>
              </w:rPr>
            </w:pPr>
            <w:r w:rsidRPr="00F44670">
              <w:rPr>
                <w:b/>
                <w:sz w:val="22"/>
                <w:szCs w:val="22"/>
                <w:lang w:val="es-ES" w:eastAsia="es-ES"/>
              </w:rPr>
              <w:t>Amortización</w:t>
            </w:r>
          </w:p>
        </w:tc>
        <w:tc>
          <w:tcPr>
            <w:tcW w:w="6415" w:type="dxa"/>
            <w:shd w:val="clear" w:color="auto" w:fill="FFFFFF"/>
          </w:tcPr>
          <w:p w14:paraId="5C1E1172" w14:textId="092DD936" w:rsidR="00251EBE" w:rsidRPr="00F44670" w:rsidRDefault="00251EBE" w:rsidP="00251EBE">
            <w:pPr>
              <w:pStyle w:val="Sangradetextonormal"/>
              <w:ind w:left="0"/>
              <w:jc w:val="both"/>
              <w:rPr>
                <w:sz w:val="22"/>
                <w:szCs w:val="22"/>
                <w:lang w:val="es-ES" w:eastAsia="es-ES"/>
              </w:rPr>
            </w:pPr>
            <w:r w:rsidRPr="00F44670">
              <w:rPr>
                <w:sz w:val="22"/>
                <w:szCs w:val="22"/>
                <w:lang w:val="es-ES" w:eastAsia="es-ES"/>
              </w:rPr>
              <w:t xml:space="preserve">El capital </w:t>
            </w:r>
            <w:r>
              <w:rPr>
                <w:sz w:val="22"/>
                <w:szCs w:val="22"/>
                <w:lang w:val="es-ES" w:eastAsia="es-ES"/>
              </w:rPr>
              <w:t>de las ON Serie II Clase B</w:t>
            </w:r>
            <w:r w:rsidRPr="00F44670">
              <w:rPr>
                <w:sz w:val="22"/>
                <w:szCs w:val="22"/>
                <w:lang w:val="es-ES" w:eastAsia="es-ES"/>
              </w:rPr>
              <w:t xml:space="preserve"> se pagará</w:t>
            </w:r>
            <w:r>
              <w:rPr>
                <w:sz w:val="22"/>
                <w:szCs w:val="22"/>
                <w:lang w:val="es-ES" w:eastAsia="es-ES"/>
              </w:rPr>
              <w:t xml:space="preserve"> en forma íntegra</w:t>
            </w:r>
            <w:r w:rsidRPr="00F44670">
              <w:rPr>
                <w:sz w:val="22"/>
                <w:szCs w:val="22"/>
                <w:lang w:val="es-ES" w:eastAsia="es-ES"/>
              </w:rPr>
              <w:t xml:space="preserve"> en</w:t>
            </w:r>
            <w:r>
              <w:rPr>
                <w:sz w:val="22"/>
                <w:szCs w:val="22"/>
                <w:lang w:val="es-ES" w:eastAsia="es-ES"/>
              </w:rPr>
              <w:t xml:space="preserve"> la Fecha de Vencimiento</w:t>
            </w:r>
            <w:r w:rsidR="00E61D59">
              <w:rPr>
                <w:sz w:val="22"/>
                <w:szCs w:val="22"/>
                <w:lang w:val="es-ES" w:eastAsia="es-ES"/>
              </w:rPr>
              <w:t xml:space="preserve"> (l</w:t>
            </w:r>
            <w:r>
              <w:rPr>
                <w:sz w:val="22"/>
                <w:szCs w:val="22"/>
                <w:lang w:val="es-ES" w:eastAsia="es-ES"/>
              </w:rPr>
              <w:t xml:space="preserve">a </w:t>
            </w:r>
            <w:r w:rsidR="00E61D59">
              <w:rPr>
                <w:sz w:val="22"/>
                <w:szCs w:val="22"/>
                <w:lang w:val="es-ES" w:eastAsia="es-ES"/>
              </w:rPr>
              <w:t>“</w:t>
            </w:r>
            <w:r>
              <w:rPr>
                <w:sz w:val="22"/>
                <w:szCs w:val="22"/>
                <w:lang w:val="es-ES" w:eastAsia="es-ES"/>
              </w:rPr>
              <w:t>Fecha de Amortización</w:t>
            </w:r>
            <w:r w:rsidR="00E61D59">
              <w:rPr>
                <w:sz w:val="22"/>
                <w:szCs w:val="22"/>
                <w:lang w:val="es-ES" w:eastAsia="es-ES"/>
              </w:rPr>
              <w:t>”). La Fecha de Amortización</w:t>
            </w:r>
            <w:r>
              <w:rPr>
                <w:sz w:val="22"/>
                <w:szCs w:val="22"/>
                <w:lang w:val="es-ES" w:eastAsia="es-ES"/>
              </w:rPr>
              <w:t xml:space="preserve"> será informada mediante el Aviso de Resultado de la Colocación.</w:t>
            </w:r>
          </w:p>
          <w:p w14:paraId="089017D6" w14:textId="77777777" w:rsidR="00251EBE" w:rsidRPr="00F44670" w:rsidRDefault="00251EBE" w:rsidP="00251EBE">
            <w:pPr>
              <w:pStyle w:val="Sangradetextonormal"/>
              <w:ind w:left="0"/>
              <w:jc w:val="both"/>
              <w:rPr>
                <w:bCs/>
                <w:sz w:val="22"/>
                <w:szCs w:val="22"/>
                <w:lang w:val="es-ES" w:eastAsia="es-ES"/>
              </w:rPr>
            </w:pPr>
          </w:p>
        </w:tc>
      </w:tr>
    </w:tbl>
    <w:p w14:paraId="7B9DB23A" w14:textId="7D969972" w:rsidR="003E0BE8" w:rsidRPr="00B758A4" w:rsidRDefault="003E0BE8" w:rsidP="003C03AE">
      <w:pPr>
        <w:jc w:val="center"/>
        <w:outlineLvl w:val="0"/>
        <w:rPr>
          <w:b/>
          <w:sz w:val="20"/>
          <w:szCs w:val="20"/>
          <w:u w:val="single"/>
        </w:rPr>
      </w:pPr>
    </w:p>
    <w:p w14:paraId="5C8D532D" w14:textId="77777777" w:rsidR="008D4DC8" w:rsidRPr="00F44670" w:rsidRDefault="008D4DC8" w:rsidP="003C03AE">
      <w:pPr>
        <w:jc w:val="center"/>
        <w:outlineLvl w:val="0"/>
        <w:rPr>
          <w:b/>
          <w:sz w:val="22"/>
          <w:szCs w:val="22"/>
          <w:u w:val="single"/>
        </w:rPr>
      </w:pPr>
    </w:p>
    <w:p w14:paraId="6AF6A202" w14:textId="77777777" w:rsidR="003C03AE" w:rsidRPr="00AC109B" w:rsidRDefault="003C03AE" w:rsidP="003C189F">
      <w:pPr>
        <w:pStyle w:val="Ttulo1"/>
        <w:jc w:val="center"/>
        <w:rPr>
          <w:sz w:val="22"/>
          <w:szCs w:val="22"/>
          <w:u w:val="single"/>
        </w:rPr>
      </w:pPr>
      <w:bookmarkStart w:id="4" w:name="_Toc32224779"/>
      <w:r w:rsidRPr="00AC109B">
        <w:rPr>
          <w:sz w:val="22"/>
          <w:szCs w:val="22"/>
          <w:u w:val="single"/>
          <w:lang w:val="es-AR"/>
        </w:rPr>
        <w:t>I</w:t>
      </w:r>
      <w:r w:rsidR="00AC109B">
        <w:rPr>
          <w:sz w:val="22"/>
          <w:szCs w:val="22"/>
          <w:u w:val="single"/>
          <w:lang w:val="es-AR"/>
        </w:rPr>
        <w:t>I</w:t>
      </w:r>
      <w:r w:rsidRPr="00AC109B">
        <w:rPr>
          <w:sz w:val="22"/>
          <w:szCs w:val="22"/>
          <w:u w:val="single"/>
          <w:lang w:val="es-AR"/>
        </w:rPr>
        <w:t xml:space="preserve">I.- </w:t>
      </w:r>
      <w:r w:rsidRPr="00AC109B">
        <w:rPr>
          <w:sz w:val="22"/>
          <w:szCs w:val="22"/>
          <w:u w:val="single"/>
        </w:rPr>
        <w:t>DETERIORO, SUSTRACCIÓN, PÉRDIDA Y DESTRUCCIÓN DE TÍTULOS VALORES O DE SUS REGISTROS</w:t>
      </w:r>
      <w:bookmarkEnd w:id="4"/>
    </w:p>
    <w:p w14:paraId="12B2042A" w14:textId="77777777" w:rsidR="003C03AE" w:rsidRPr="00F44670" w:rsidRDefault="003C03AE" w:rsidP="003C03AE">
      <w:pPr>
        <w:pStyle w:val="Default"/>
        <w:jc w:val="both"/>
        <w:rPr>
          <w:sz w:val="22"/>
          <w:szCs w:val="22"/>
          <w:highlight w:val="yellow"/>
        </w:rPr>
      </w:pPr>
    </w:p>
    <w:p w14:paraId="52568637" w14:textId="77777777" w:rsidR="003C03AE" w:rsidRPr="00F44670" w:rsidRDefault="003C03AE" w:rsidP="003C03AE">
      <w:pPr>
        <w:pStyle w:val="Default"/>
        <w:jc w:val="both"/>
        <w:rPr>
          <w:sz w:val="22"/>
          <w:szCs w:val="22"/>
        </w:rPr>
      </w:pPr>
      <w:r w:rsidRPr="00F44670">
        <w:rPr>
          <w:sz w:val="22"/>
          <w:szCs w:val="22"/>
        </w:rPr>
        <w:t xml:space="preserve">En caso de sustracción, pérdida o destrucción de títulos valores, el Código Civil y Comercial en sus artículos 1.852 y siguientes establece el ámbito de aplicación en caso de sustracción, pérdida o destrucción de títulos valores incorporados a documentos representativos, en tanto no existan normas especiales para tipos determinados de ellos. </w:t>
      </w:r>
    </w:p>
    <w:p w14:paraId="5C67C658" w14:textId="77777777" w:rsidR="003C03AE" w:rsidRPr="00F44670" w:rsidRDefault="003C03AE" w:rsidP="003C03AE">
      <w:pPr>
        <w:pStyle w:val="Default"/>
        <w:jc w:val="both"/>
        <w:rPr>
          <w:sz w:val="22"/>
          <w:szCs w:val="22"/>
        </w:rPr>
      </w:pPr>
    </w:p>
    <w:p w14:paraId="1430FA0F" w14:textId="77777777" w:rsidR="003C03AE" w:rsidRPr="00F44670" w:rsidRDefault="003C03AE" w:rsidP="003C03AE">
      <w:pPr>
        <w:pStyle w:val="Default"/>
        <w:jc w:val="both"/>
        <w:rPr>
          <w:i/>
          <w:sz w:val="22"/>
          <w:szCs w:val="22"/>
        </w:rPr>
      </w:pPr>
      <w:r w:rsidRPr="00F44670">
        <w:rPr>
          <w:i/>
          <w:iCs/>
          <w:sz w:val="22"/>
          <w:szCs w:val="22"/>
        </w:rPr>
        <w:t xml:space="preserve">Sustracción, pérdida o destrucción de los libros de registro </w:t>
      </w:r>
    </w:p>
    <w:p w14:paraId="35F5CDFE" w14:textId="77777777" w:rsidR="003C03AE" w:rsidRPr="00F44670" w:rsidRDefault="003C03AE" w:rsidP="003C03AE">
      <w:pPr>
        <w:pStyle w:val="Default"/>
        <w:jc w:val="both"/>
        <w:rPr>
          <w:sz w:val="22"/>
          <w:szCs w:val="22"/>
        </w:rPr>
      </w:pPr>
      <w:r w:rsidRPr="00F44670">
        <w:rPr>
          <w:sz w:val="22"/>
          <w:szCs w:val="22"/>
        </w:rPr>
        <w:t>Para el caso de sustracción, pérdida o destrucción de los registros los artículos 1876 y siguientes del Código Civil y Comercial, establecen el procedimiento a realizar a efectos de la reconstitución de los mismos.</w:t>
      </w:r>
    </w:p>
    <w:p w14:paraId="31EC5A1F" w14:textId="77777777" w:rsidR="003C03AE" w:rsidRPr="00F44670" w:rsidRDefault="003C03AE" w:rsidP="003C03AE">
      <w:pPr>
        <w:pStyle w:val="Default"/>
        <w:jc w:val="both"/>
        <w:rPr>
          <w:sz w:val="22"/>
          <w:szCs w:val="22"/>
        </w:rPr>
      </w:pPr>
    </w:p>
    <w:p w14:paraId="534A30BA" w14:textId="77777777" w:rsidR="003C03AE" w:rsidRPr="00F44670" w:rsidRDefault="003C03AE" w:rsidP="003C03AE">
      <w:pPr>
        <w:jc w:val="center"/>
        <w:outlineLvl w:val="0"/>
        <w:rPr>
          <w:b/>
          <w:sz w:val="22"/>
          <w:szCs w:val="22"/>
          <w:u w:val="single"/>
        </w:rPr>
      </w:pPr>
    </w:p>
    <w:p w14:paraId="603C24C3" w14:textId="59CC6262" w:rsidR="003C03AE" w:rsidRPr="00F44670" w:rsidRDefault="003C03AE" w:rsidP="003C03AE">
      <w:pPr>
        <w:jc w:val="center"/>
        <w:outlineLvl w:val="0"/>
        <w:rPr>
          <w:b/>
          <w:sz w:val="22"/>
          <w:szCs w:val="22"/>
          <w:u w:val="single"/>
        </w:rPr>
      </w:pPr>
      <w:bookmarkStart w:id="5" w:name="_Toc32224780"/>
      <w:r w:rsidRPr="00F44670">
        <w:rPr>
          <w:b/>
          <w:sz w:val="22"/>
          <w:szCs w:val="22"/>
          <w:u w:val="single"/>
        </w:rPr>
        <w:t>I</w:t>
      </w:r>
      <w:r w:rsidR="00AC109B">
        <w:rPr>
          <w:b/>
          <w:sz w:val="22"/>
          <w:szCs w:val="22"/>
          <w:u w:val="single"/>
        </w:rPr>
        <w:t>V</w:t>
      </w:r>
      <w:r w:rsidRPr="00F44670">
        <w:rPr>
          <w:b/>
          <w:sz w:val="22"/>
          <w:szCs w:val="22"/>
          <w:u w:val="single"/>
        </w:rPr>
        <w:t>.- PLAN DE DISTRIBUCION</w:t>
      </w:r>
      <w:bookmarkEnd w:id="5"/>
      <w:r w:rsidRPr="00F44670">
        <w:rPr>
          <w:b/>
          <w:sz w:val="22"/>
          <w:szCs w:val="22"/>
          <w:u w:val="single"/>
        </w:rPr>
        <w:t xml:space="preserve"> </w:t>
      </w:r>
    </w:p>
    <w:p w14:paraId="0C15B559" w14:textId="7D7722E3" w:rsidR="007E4BE4" w:rsidRDefault="007E4BE4" w:rsidP="003C03AE">
      <w:pPr>
        <w:jc w:val="both"/>
        <w:rPr>
          <w:sz w:val="22"/>
          <w:szCs w:val="22"/>
        </w:rPr>
      </w:pPr>
    </w:p>
    <w:p w14:paraId="70A25F80" w14:textId="10966F7C" w:rsidR="002954D1" w:rsidRPr="00553D76" w:rsidRDefault="002954D1" w:rsidP="002954D1">
      <w:pPr>
        <w:suppressAutoHyphens/>
        <w:jc w:val="both"/>
        <w:rPr>
          <w:color w:val="000000"/>
          <w:sz w:val="22"/>
          <w:szCs w:val="22"/>
        </w:rPr>
      </w:pPr>
      <w:r w:rsidRPr="00E952F9">
        <w:rPr>
          <w:sz w:val="22"/>
        </w:rPr>
        <w:lastRenderedPageBreak/>
        <w:t xml:space="preserve">Se </w:t>
      </w:r>
      <w:r w:rsidRPr="00553D76">
        <w:rPr>
          <w:sz w:val="22"/>
          <w:szCs w:val="22"/>
        </w:rPr>
        <w:t xml:space="preserve">han designado </w:t>
      </w:r>
      <w:r w:rsidRPr="00553D76">
        <w:rPr>
          <w:color w:val="000000"/>
          <w:sz w:val="22"/>
          <w:szCs w:val="22"/>
        </w:rPr>
        <w:t xml:space="preserve">colocadores a </w:t>
      </w:r>
      <w:r w:rsidR="009613CD" w:rsidRPr="00B758A4">
        <w:rPr>
          <w:sz w:val="22"/>
          <w:szCs w:val="22"/>
          <w:lang w:val="es-AR"/>
        </w:rPr>
        <w:t>AR Partners S.A.</w:t>
      </w:r>
      <w:r w:rsidR="009613CD">
        <w:rPr>
          <w:sz w:val="22"/>
          <w:szCs w:val="22"/>
          <w:lang w:val="es-AR"/>
        </w:rPr>
        <w:t>,</w:t>
      </w:r>
      <w:r w:rsidR="009613CD" w:rsidRPr="00B758A4">
        <w:rPr>
          <w:sz w:val="22"/>
          <w:szCs w:val="22"/>
          <w:lang w:val="es-AR"/>
        </w:rPr>
        <w:t xml:space="preserve"> Banco</w:t>
      </w:r>
      <w:r w:rsidR="009613CD">
        <w:rPr>
          <w:sz w:val="22"/>
          <w:szCs w:val="22"/>
          <w:lang w:val="es-AR"/>
        </w:rPr>
        <w:t xml:space="preserve"> Supervielle S.A., </w:t>
      </w:r>
      <w:r w:rsidR="00A93908">
        <w:rPr>
          <w:sz w:val="22"/>
          <w:szCs w:val="22"/>
          <w:lang w:val="es-AR"/>
        </w:rPr>
        <w:t>Banco de Galicia y Buenos Aires S.A</w:t>
      </w:r>
      <w:r w:rsidR="00461AE6">
        <w:rPr>
          <w:sz w:val="22"/>
          <w:szCs w:val="22"/>
          <w:lang w:val="es-AR"/>
        </w:rPr>
        <w:t>.U</w:t>
      </w:r>
      <w:r w:rsidR="00A93908">
        <w:rPr>
          <w:sz w:val="22"/>
          <w:szCs w:val="22"/>
          <w:lang w:val="es-AR"/>
        </w:rPr>
        <w:t>,</w:t>
      </w:r>
      <w:r w:rsidR="00A93908" w:rsidRPr="00B758A4">
        <w:rPr>
          <w:sz w:val="22"/>
          <w:szCs w:val="22"/>
          <w:lang w:val="es-AR"/>
        </w:rPr>
        <w:t xml:space="preserve"> </w:t>
      </w:r>
      <w:r w:rsidR="00A93908">
        <w:rPr>
          <w:sz w:val="22"/>
          <w:szCs w:val="22"/>
          <w:lang w:val="es-AR"/>
        </w:rPr>
        <w:t xml:space="preserve">Cohen S.A, Tarallo S.A. y Allaria Ledesma &amp;Cía S.A. </w:t>
      </w:r>
      <w:r>
        <w:rPr>
          <w:sz w:val="22"/>
        </w:rPr>
        <w:t xml:space="preserve"> </w:t>
      </w:r>
      <w:r w:rsidRPr="00E952F9">
        <w:rPr>
          <w:sz w:val="22"/>
        </w:rPr>
        <w:t>(los “Colocadores”)</w:t>
      </w:r>
      <w:r w:rsidRPr="00E952F9">
        <w:rPr>
          <w:color w:val="000000"/>
          <w:sz w:val="22"/>
        </w:rPr>
        <w:t xml:space="preserve">. Los Colocadores percibirán una comisión de hasta el </w:t>
      </w:r>
      <w:r w:rsidR="00D04488">
        <w:rPr>
          <w:color w:val="000000"/>
          <w:sz w:val="22"/>
        </w:rPr>
        <w:t>0,75</w:t>
      </w:r>
      <w:r>
        <w:rPr>
          <w:color w:val="000000"/>
          <w:sz w:val="22"/>
        </w:rPr>
        <w:t xml:space="preserve">% </w:t>
      </w:r>
      <w:r w:rsidRPr="00E952F9">
        <w:rPr>
          <w:sz w:val="22"/>
        </w:rPr>
        <w:t>sobre el monto efectivamente colocado</w:t>
      </w:r>
      <w:r w:rsidRPr="00E952F9">
        <w:rPr>
          <w:color w:val="000000"/>
          <w:sz w:val="22"/>
        </w:rPr>
        <w:t>.</w:t>
      </w:r>
    </w:p>
    <w:p w14:paraId="2036AC03" w14:textId="77777777" w:rsidR="002954D1" w:rsidRPr="00553D76" w:rsidRDefault="002954D1" w:rsidP="002954D1">
      <w:pPr>
        <w:suppressAutoHyphens/>
        <w:jc w:val="both"/>
        <w:rPr>
          <w:sz w:val="22"/>
          <w:szCs w:val="22"/>
        </w:rPr>
      </w:pPr>
    </w:p>
    <w:p w14:paraId="6C71A1F7" w14:textId="77777777" w:rsidR="002954D1" w:rsidRPr="00760E2E" w:rsidRDefault="002954D1" w:rsidP="002954D1">
      <w:pPr>
        <w:suppressAutoHyphens/>
        <w:jc w:val="both"/>
        <w:rPr>
          <w:color w:val="000000"/>
          <w:sz w:val="22"/>
          <w:szCs w:val="22"/>
        </w:rPr>
      </w:pPr>
      <w:r w:rsidRPr="00553D76">
        <w:rPr>
          <w:sz w:val="22"/>
          <w:szCs w:val="22"/>
        </w:rPr>
        <w:t>El Emisor no pagará comisión alguna y/o reembolsarán gasto alguno a los agentes autorizados distintos de los Colocadores, sin perjuicio</w:t>
      </w:r>
      <w:r w:rsidRPr="00760E2E">
        <w:rPr>
          <w:sz w:val="22"/>
          <w:szCs w:val="22"/>
        </w:rPr>
        <w:t xml:space="preserve"> de lo cual dichos agentes podrán cobrar comisiones y/o gastos directa y exclusivamente a los oferentes que hubieran cursado órdenes de compra a través suyo</w:t>
      </w:r>
    </w:p>
    <w:p w14:paraId="5E5F6761" w14:textId="77777777" w:rsidR="002954D1" w:rsidRPr="00760E2E" w:rsidRDefault="002954D1" w:rsidP="002954D1">
      <w:pPr>
        <w:widowControl w:val="0"/>
        <w:suppressAutoHyphens/>
        <w:jc w:val="both"/>
        <w:rPr>
          <w:sz w:val="22"/>
          <w:szCs w:val="22"/>
        </w:rPr>
      </w:pPr>
    </w:p>
    <w:p w14:paraId="3BA876E8" w14:textId="4108908F" w:rsidR="002954D1" w:rsidRPr="00E06F9F" w:rsidRDefault="009613CD" w:rsidP="002954D1">
      <w:pPr>
        <w:widowControl w:val="0"/>
        <w:jc w:val="both"/>
        <w:rPr>
          <w:sz w:val="22"/>
          <w:szCs w:val="22"/>
        </w:rPr>
      </w:pPr>
      <w:r>
        <w:rPr>
          <w:sz w:val="22"/>
          <w:szCs w:val="22"/>
        </w:rPr>
        <w:t xml:space="preserve">1.- </w:t>
      </w:r>
      <w:r w:rsidR="002954D1" w:rsidRPr="00E06F9F">
        <w:rPr>
          <w:sz w:val="22"/>
          <w:szCs w:val="22"/>
        </w:rPr>
        <w:t>La colocación se realizará conforme al procedimiento establecido en el</w:t>
      </w:r>
      <w:r w:rsidR="002954D1" w:rsidRPr="00E06F9F">
        <w:rPr>
          <w:iCs/>
          <w:sz w:val="22"/>
          <w:szCs w:val="22"/>
          <w:lang w:val="es-ES_tradnl"/>
        </w:rPr>
        <w:t xml:space="preserve"> Cap. IV del Tít. VI</w:t>
      </w:r>
      <w:r w:rsidR="002954D1" w:rsidRPr="00E06F9F">
        <w:rPr>
          <w:color w:val="000000"/>
          <w:sz w:val="22"/>
          <w:szCs w:val="22"/>
        </w:rPr>
        <w:t xml:space="preserve"> de las Normas de la CNV, </w:t>
      </w:r>
      <w:r w:rsidR="002954D1" w:rsidRPr="00E06F9F">
        <w:rPr>
          <w:sz w:val="22"/>
          <w:szCs w:val="22"/>
        </w:rPr>
        <w:t>a través del</w:t>
      </w:r>
      <w:r w:rsidR="002954D1" w:rsidRPr="00E06F9F">
        <w:rPr>
          <w:color w:val="000000"/>
          <w:sz w:val="22"/>
          <w:szCs w:val="22"/>
        </w:rPr>
        <w:t xml:space="preserve"> módulo de licitaciones </w:t>
      </w:r>
      <w:r>
        <w:rPr>
          <w:color w:val="000000"/>
          <w:sz w:val="22"/>
          <w:szCs w:val="22"/>
        </w:rPr>
        <w:t>del sistema informático del MAE (“</w:t>
      </w:r>
      <w:r w:rsidR="002954D1" w:rsidRPr="00E06F9F">
        <w:rPr>
          <w:color w:val="000000"/>
          <w:sz w:val="22"/>
          <w:szCs w:val="22"/>
        </w:rPr>
        <w:t>Sistema SIOPEL</w:t>
      </w:r>
      <w:r>
        <w:rPr>
          <w:color w:val="000000"/>
          <w:sz w:val="22"/>
          <w:szCs w:val="22"/>
        </w:rPr>
        <w:t>”)</w:t>
      </w:r>
      <w:r w:rsidR="002954D1">
        <w:rPr>
          <w:color w:val="000000"/>
          <w:sz w:val="22"/>
          <w:szCs w:val="22"/>
        </w:rPr>
        <w:t xml:space="preserve"> </w:t>
      </w:r>
      <w:r w:rsidR="002954D1" w:rsidRPr="00E06F9F">
        <w:rPr>
          <w:sz w:val="22"/>
          <w:szCs w:val="22"/>
        </w:rPr>
        <w:t>bajo la modalidad de licitación pública “</w:t>
      </w:r>
      <w:r w:rsidR="002954D1">
        <w:rPr>
          <w:sz w:val="22"/>
          <w:szCs w:val="22"/>
        </w:rPr>
        <w:t>abierta</w:t>
      </w:r>
      <w:r w:rsidR="002954D1" w:rsidRPr="00E06F9F">
        <w:rPr>
          <w:sz w:val="22"/>
          <w:szCs w:val="22"/>
        </w:rPr>
        <w:t>”.</w:t>
      </w:r>
    </w:p>
    <w:p w14:paraId="48E67A66" w14:textId="3F947051" w:rsidR="002954D1" w:rsidRDefault="002954D1" w:rsidP="002954D1">
      <w:pPr>
        <w:autoSpaceDE w:val="0"/>
        <w:autoSpaceDN w:val="0"/>
        <w:adjustRightInd w:val="0"/>
        <w:rPr>
          <w:rFonts w:eastAsia="Wingdings"/>
          <w:color w:val="000000"/>
          <w:sz w:val="22"/>
          <w:lang w:val="es-ES_tradnl"/>
        </w:rPr>
      </w:pPr>
    </w:p>
    <w:p w14:paraId="056066E2" w14:textId="318089A0" w:rsidR="009613CD" w:rsidRPr="00760E2E" w:rsidRDefault="009613CD" w:rsidP="009613CD">
      <w:pPr>
        <w:suppressAutoHyphens/>
        <w:jc w:val="both"/>
        <w:rPr>
          <w:sz w:val="22"/>
          <w:szCs w:val="22"/>
        </w:rPr>
      </w:pPr>
      <w:r w:rsidRPr="00760E2E">
        <w:rPr>
          <w:sz w:val="22"/>
          <w:szCs w:val="22"/>
        </w:rPr>
        <w:t xml:space="preserve">Los inversores interesados en suscribir las ON Serie II deberán presentar sus correspondientes órdenes de suscripción a los Colocadores o a agentes habilitados para operar a través del </w:t>
      </w:r>
      <w:r w:rsidRPr="00760E2E">
        <w:rPr>
          <w:color w:val="000000"/>
          <w:sz w:val="22"/>
          <w:szCs w:val="22"/>
        </w:rPr>
        <w:t xml:space="preserve">Sistema SIOPEL. Tales órdenes </w:t>
      </w:r>
      <w:r w:rsidRPr="00760E2E">
        <w:rPr>
          <w:sz w:val="22"/>
          <w:szCs w:val="22"/>
        </w:rPr>
        <w:t>deberán ser ingresadas como Ofertas por aquéllos al Sistema SIOPEL.</w:t>
      </w:r>
    </w:p>
    <w:p w14:paraId="3CA59AAF" w14:textId="77777777" w:rsidR="009613CD" w:rsidRPr="00E61D59" w:rsidRDefault="009613CD" w:rsidP="002954D1">
      <w:pPr>
        <w:autoSpaceDE w:val="0"/>
        <w:autoSpaceDN w:val="0"/>
        <w:adjustRightInd w:val="0"/>
        <w:rPr>
          <w:rFonts w:eastAsia="Wingdings"/>
          <w:color w:val="000000"/>
          <w:sz w:val="22"/>
        </w:rPr>
      </w:pPr>
    </w:p>
    <w:p w14:paraId="4CF265E8" w14:textId="77777777" w:rsidR="002954D1" w:rsidRPr="00C274DD" w:rsidRDefault="002954D1" w:rsidP="002954D1">
      <w:pPr>
        <w:widowControl w:val="0"/>
        <w:jc w:val="both"/>
        <w:rPr>
          <w:color w:val="000000"/>
          <w:sz w:val="22"/>
          <w:szCs w:val="22"/>
        </w:rPr>
      </w:pPr>
      <w:r w:rsidRPr="00C274DD">
        <w:rPr>
          <w:color w:val="000000"/>
          <w:sz w:val="22"/>
          <w:szCs w:val="22"/>
        </w:rPr>
        <w:t xml:space="preserve">Todos aquellos Agentes del MAE y/o adherentes del mismo que cuenten con línea de crédito otorgadas por los Colocadores serán dados de alta en la rueda a pedido de los Agentes del MAE y/o adherentes del mismo y/o demás agentes habilitados, según corresponda (los “Agentes Habilitados”). El correspondiente pedido deberá ser realizado exclusivamente dentro de las 24 horas posteriores al inicio del Período de Difusión. </w:t>
      </w:r>
    </w:p>
    <w:p w14:paraId="0A3C60BB" w14:textId="77777777" w:rsidR="002954D1" w:rsidRPr="00C274DD" w:rsidRDefault="002954D1" w:rsidP="002954D1">
      <w:pPr>
        <w:widowControl w:val="0"/>
        <w:jc w:val="both"/>
        <w:rPr>
          <w:color w:val="000000"/>
          <w:sz w:val="22"/>
          <w:szCs w:val="22"/>
        </w:rPr>
      </w:pPr>
    </w:p>
    <w:p w14:paraId="4957AB8B" w14:textId="77777777" w:rsidR="002954D1" w:rsidRPr="00760E2E" w:rsidRDefault="002954D1" w:rsidP="002954D1">
      <w:pPr>
        <w:widowControl w:val="0"/>
        <w:jc w:val="both"/>
        <w:rPr>
          <w:color w:val="000000"/>
          <w:sz w:val="22"/>
          <w:szCs w:val="22"/>
        </w:rPr>
      </w:pPr>
      <w:r w:rsidRPr="00C274DD">
        <w:rPr>
          <w:color w:val="000000"/>
          <w:sz w:val="22"/>
          <w:szCs w:val="22"/>
        </w:rPr>
        <w:t>Aquellos Agentes del MAE y/o adherentes del mismo que no cuenten con línea de crédito deberán solicitar a los Colocadores la habilitación a la rueda con antelación suficiente pero nunca más allá de las 24 horas posteriores al inicio del Período de Difusión, para lo cual tales Agentes del MAE y/o adherentes del mismo deberán dar cumplimiento con las obligaciones que les corresponden a cada uno ellos en virtud de las normas en materia de prevención de lavado de activos y financiación del terrorismo y presentar una declaración jurada a los Colocadores respecto del cumplimiento de dichas</w:t>
      </w:r>
      <w:r w:rsidRPr="00A93908">
        <w:rPr>
          <w:color w:val="000000"/>
          <w:sz w:val="22"/>
          <w:szCs w:val="22"/>
        </w:rPr>
        <w:t xml:space="preserve"> obligaciones.</w:t>
      </w:r>
      <w:r w:rsidRPr="00760E2E">
        <w:rPr>
          <w:color w:val="000000"/>
          <w:sz w:val="22"/>
          <w:szCs w:val="22"/>
        </w:rPr>
        <w:t xml:space="preserve"> </w:t>
      </w:r>
    </w:p>
    <w:p w14:paraId="435CC385" w14:textId="77777777" w:rsidR="002954D1" w:rsidRDefault="002954D1" w:rsidP="002954D1">
      <w:pPr>
        <w:widowControl w:val="0"/>
        <w:suppressAutoHyphens/>
        <w:jc w:val="both"/>
        <w:rPr>
          <w:sz w:val="22"/>
          <w:szCs w:val="22"/>
        </w:rPr>
      </w:pPr>
    </w:p>
    <w:p w14:paraId="3D3D63B8" w14:textId="7CD5C251" w:rsidR="002954D1" w:rsidRPr="00760E2E" w:rsidRDefault="002954D1" w:rsidP="002954D1">
      <w:pPr>
        <w:widowControl w:val="0"/>
        <w:suppressAutoHyphens/>
        <w:jc w:val="both"/>
        <w:rPr>
          <w:sz w:val="22"/>
          <w:szCs w:val="22"/>
        </w:rPr>
      </w:pPr>
      <w:r w:rsidRPr="00760E2E">
        <w:rPr>
          <w:sz w:val="22"/>
          <w:szCs w:val="22"/>
        </w:rPr>
        <w:t xml:space="preserve">2.- En la oportunidad que determinen el Emisor y </w:t>
      </w:r>
      <w:r w:rsidRPr="00760E2E">
        <w:rPr>
          <w:color w:val="000000"/>
          <w:sz w:val="22"/>
          <w:szCs w:val="22"/>
        </w:rPr>
        <w:t xml:space="preserve">los Colocadores </w:t>
      </w:r>
      <w:r w:rsidRPr="00760E2E">
        <w:rPr>
          <w:sz w:val="22"/>
          <w:szCs w:val="22"/>
        </w:rPr>
        <w:t xml:space="preserve">según las condiciones del mercado, se publicará un aviso de colocación en el Boletín de la Bolsa de </w:t>
      </w:r>
      <w:r w:rsidR="00623BFB">
        <w:rPr>
          <w:sz w:val="22"/>
          <w:szCs w:val="22"/>
        </w:rPr>
        <w:t xml:space="preserve">Comercio de </w:t>
      </w:r>
      <w:r w:rsidRPr="00760E2E">
        <w:rPr>
          <w:sz w:val="22"/>
          <w:szCs w:val="22"/>
        </w:rPr>
        <w:t>Buenos Aires (“BCBA”) –por cuenta y orden de ByMA.-</w:t>
      </w:r>
      <w:r w:rsidRPr="00760E2E">
        <w:rPr>
          <w:sz w:val="22"/>
          <w:szCs w:val="22"/>
          <w:lang w:eastAsia="zh-CN"/>
        </w:rPr>
        <w:t xml:space="preserve"> </w:t>
      </w:r>
      <w:r w:rsidR="0087548A">
        <w:rPr>
          <w:sz w:val="22"/>
          <w:szCs w:val="22"/>
          <w:lang w:eastAsia="zh-CN"/>
        </w:rPr>
        <w:t>en el Boletín de la Bolsa de Comercio de Rosario</w:t>
      </w:r>
      <w:r w:rsidR="00D05414">
        <w:rPr>
          <w:sz w:val="22"/>
          <w:szCs w:val="22"/>
          <w:lang w:eastAsia="zh-CN"/>
        </w:rPr>
        <w:t xml:space="preserve"> (“BCR”)</w:t>
      </w:r>
      <w:r w:rsidR="0087548A">
        <w:rPr>
          <w:sz w:val="22"/>
          <w:szCs w:val="22"/>
          <w:lang w:eastAsia="zh-CN"/>
        </w:rPr>
        <w:t xml:space="preserve"> –por cuenta y orden del M</w:t>
      </w:r>
      <w:r w:rsidR="00D05414">
        <w:rPr>
          <w:sz w:val="22"/>
          <w:szCs w:val="22"/>
          <w:lang w:eastAsia="zh-CN"/>
        </w:rPr>
        <w:t>AV</w:t>
      </w:r>
      <w:r w:rsidR="0087548A">
        <w:rPr>
          <w:sz w:val="22"/>
          <w:szCs w:val="22"/>
          <w:lang w:eastAsia="zh-CN"/>
        </w:rPr>
        <w:t xml:space="preserve">, </w:t>
      </w:r>
      <w:r w:rsidRPr="00760E2E">
        <w:rPr>
          <w:sz w:val="22"/>
          <w:szCs w:val="22"/>
          <w:lang w:eastAsia="zh-CN"/>
        </w:rPr>
        <w:t>en el Micrositio web del MAE</w:t>
      </w:r>
      <w:r w:rsidRPr="00760E2E">
        <w:rPr>
          <w:sz w:val="22"/>
          <w:szCs w:val="22"/>
        </w:rPr>
        <w:t xml:space="preserve"> y en la AIF en el que se indicará entre otras cosas, la fecha de inicio y de finalización del período de colocación, la Fecha de </w:t>
      </w:r>
      <w:r w:rsidR="0087548A">
        <w:rPr>
          <w:sz w:val="22"/>
          <w:szCs w:val="22"/>
        </w:rPr>
        <w:t xml:space="preserve">Emisión </w:t>
      </w:r>
      <w:r w:rsidR="00B21166">
        <w:rPr>
          <w:sz w:val="22"/>
          <w:szCs w:val="22"/>
        </w:rPr>
        <w:t>y Liquidación</w:t>
      </w:r>
      <w:r w:rsidRPr="00760E2E">
        <w:rPr>
          <w:sz w:val="22"/>
          <w:szCs w:val="22"/>
        </w:rPr>
        <w:t>, y el domicilio de los Colocadores a efectos de la recepción de las solicitudes de suscripción.</w:t>
      </w:r>
    </w:p>
    <w:p w14:paraId="77275691" w14:textId="77777777" w:rsidR="002954D1" w:rsidRPr="00E06F9F" w:rsidRDefault="002954D1" w:rsidP="002954D1">
      <w:pPr>
        <w:widowControl w:val="0"/>
        <w:suppressAutoHyphens/>
        <w:jc w:val="both"/>
        <w:rPr>
          <w:sz w:val="22"/>
          <w:szCs w:val="22"/>
        </w:rPr>
      </w:pPr>
    </w:p>
    <w:p w14:paraId="5958A545" w14:textId="77777777" w:rsidR="00E61D59" w:rsidRDefault="002954D1" w:rsidP="002954D1">
      <w:pPr>
        <w:widowControl w:val="0"/>
        <w:suppressAutoHyphens/>
        <w:jc w:val="both"/>
        <w:rPr>
          <w:sz w:val="22"/>
          <w:szCs w:val="22"/>
        </w:rPr>
      </w:pPr>
      <w:r w:rsidRPr="00E06F9F">
        <w:rPr>
          <w:sz w:val="22"/>
          <w:szCs w:val="22"/>
        </w:rPr>
        <w:t>3.-</w:t>
      </w:r>
      <w:r>
        <w:rPr>
          <w:sz w:val="22"/>
          <w:szCs w:val="22"/>
        </w:rPr>
        <w:t xml:space="preserve"> </w:t>
      </w:r>
      <w:r w:rsidRPr="00E06F9F">
        <w:rPr>
          <w:sz w:val="22"/>
          <w:szCs w:val="22"/>
        </w:rPr>
        <w:t xml:space="preserve">El período de colocación incluirá un plazo mínimo de tres (3) días hábiles bursátiles para la difusión y un plazo mínimo de un (1) día hábil bursátil para la subasta o licitación pública </w:t>
      </w:r>
      <w:r w:rsidRPr="00E06F9F">
        <w:rPr>
          <w:color w:val="000000"/>
          <w:sz w:val="22"/>
          <w:szCs w:val="22"/>
        </w:rPr>
        <w:t>(el “Período de Difusión” y el “Período de Licitación”, respectivamente, y en su conjunto el “Período de Colocación”)</w:t>
      </w:r>
      <w:r w:rsidRPr="00E06F9F">
        <w:rPr>
          <w:sz w:val="22"/>
          <w:szCs w:val="22"/>
        </w:rPr>
        <w:t xml:space="preserve">. </w:t>
      </w:r>
      <w:r w:rsidRPr="00760E2E">
        <w:rPr>
          <w:sz w:val="22"/>
          <w:szCs w:val="22"/>
        </w:rPr>
        <w:t xml:space="preserve">El Período de Colocación podrá ser prorrogado, modificado y/o suspendido por el Emisor y los Colocadores de común acuerdo, </w:t>
      </w:r>
      <w:r w:rsidRPr="00760E2E">
        <w:rPr>
          <w:color w:val="000000"/>
          <w:sz w:val="22"/>
          <w:szCs w:val="22"/>
        </w:rPr>
        <w:t xml:space="preserve">circunstancia que se informará mediante la publicación de un nuevo aviso de colocación en el boletín diario de la BCBA </w:t>
      </w:r>
      <w:r w:rsidRPr="00760E2E">
        <w:rPr>
          <w:sz w:val="22"/>
          <w:szCs w:val="22"/>
        </w:rPr>
        <w:t>–por cuenta y orden de ByMA-</w:t>
      </w:r>
      <w:r w:rsidR="00D05414">
        <w:rPr>
          <w:sz w:val="22"/>
          <w:szCs w:val="22"/>
        </w:rPr>
        <w:t xml:space="preserve">, en el boletín diario de la BCR –por cuenta y orden del MAV, </w:t>
      </w:r>
      <w:r w:rsidRPr="00760E2E">
        <w:rPr>
          <w:sz w:val="22"/>
          <w:szCs w:val="22"/>
          <w:lang w:eastAsia="zh-CN"/>
        </w:rPr>
        <w:t>en el Micrositio web del MAE</w:t>
      </w:r>
      <w:r w:rsidRPr="00760E2E">
        <w:rPr>
          <w:color w:val="000000"/>
          <w:sz w:val="22"/>
          <w:szCs w:val="22"/>
        </w:rPr>
        <w:t xml:space="preserve"> y en la AIF dejando expresa constancia que los inversores iniciales podrán, en su caso, retirar sus ofertas sin penalización alguna hasta el Día Hábil anterior al cierre del Período de Colocación</w:t>
      </w:r>
      <w:r w:rsidRPr="00760E2E">
        <w:rPr>
          <w:sz w:val="22"/>
          <w:szCs w:val="22"/>
        </w:rPr>
        <w:t xml:space="preserve">. </w:t>
      </w:r>
    </w:p>
    <w:p w14:paraId="60C8A17C" w14:textId="0105DF6A" w:rsidR="002954D1" w:rsidRPr="00760E2E" w:rsidRDefault="00251EBE" w:rsidP="002954D1">
      <w:pPr>
        <w:widowControl w:val="0"/>
        <w:suppressAutoHyphens/>
        <w:jc w:val="both"/>
        <w:rPr>
          <w:sz w:val="22"/>
          <w:szCs w:val="22"/>
        </w:rPr>
      </w:pPr>
      <w:r>
        <w:rPr>
          <w:sz w:val="22"/>
          <w:szCs w:val="22"/>
        </w:rPr>
        <w:t xml:space="preserve">La prórroga, modificación y/o suspensión del Período de Colocación no generará responsabilidad alguna al Emisor y/o a los Colocadores ni otorgará a los inversores interesados que hayan presentado órdenes de suscripción, ni a los Agentes del MAE y/o adherentes al mismo que hayan presentado órdenes de suscripción, derecho a compensación y/o indemnización alguna. </w:t>
      </w:r>
    </w:p>
    <w:p w14:paraId="75F31079" w14:textId="77777777" w:rsidR="00E61D59" w:rsidRDefault="00E61D59" w:rsidP="002954D1">
      <w:pPr>
        <w:widowControl w:val="0"/>
        <w:suppressAutoHyphens/>
        <w:jc w:val="both"/>
        <w:rPr>
          <w:sz w:val="22"/>
          <w:szCs w:val="22"/>
        </w:rPr>
      </w:pPr>
    </w:p>
    <w:p w14:paraId="0BE7F268" w14:textId="726DB62F" w:rsidR="002954D1" w:rsidRPr="00760E2E" w:rsidRDefault="002954D1" w:rsidP="002954D1">
      <w:pPr>
        <w:widowControl w:val="0"/>
        <w:suppressAutoHyphens/>
        <w:jc w:val="both"/>
        <w:rPr>
          <w:sz w:val="22"/>
          <w:szCs w:val="22"/>
        </w:rPr>
      </w:pPr>
      <w:r w:rsidRPr="006C6BF4">
        <w:rPr>
          <w:sz w:val="22"/>
          <w:szCs w:val="22"/>
        </w:rPr>
        <w:t>4.- Las Obligaciones Negociables Serie II serán colocadas conforme a</w:t>
      </w:r>
      <w:r w:rsidR="00DC0BE5" w:rsidRPr="006C6BF4">
        <w:rPr>
          <w:sz w:val="22"/>
          <w:szCs w:val="22"/>
        </w:rPr>
        <w:t xml:space="preserve"> </w:t>
      </w:r>
      <w:r w:rsidRPr="006C6BF4">
        <w:rPr>
          <w:sz w:val="22"/>
          <w:szCs w:val="22"/>
        </w:rPr>
        <w:t>l</w:t>
      </w:r>
      <w:r w:rsidR="00DC0BE5" w:rsidRPr="006C6BF4">
        <w:rPr>
          <w:sz w:val="22"/>
          <w:szCs w:val="22"/>
        </w:rPr>
        <w:t>as tasas fijas para cada clase</w:t>
      </w:r>
      <w:r w:rsidRPr="006C6BF4">
        <w:rPr>
          <w:sz w:val="22"/>
          <w:szCs w:val="22"/>
        </w:rPr>
        <w:t>, ofrecidas en las solicitudes de suscripción recibidas durante el Período de Licitación.</w:t>
      </w:r>
      <w:r w:rsidRPr="00760E2E">
        <w:rPr>
          <w:sz w:val="22"/>
          <w:szCs w:val="22"/>
        </w:rPr>
        <w:t xml:space="preserve"> </w:t>
      </w:r>
    </w:p>
    <w:p w14:paraId="5C4B49E2" w14:textId="77777777" w:rsidR="002954D1" w:rsidRPr="00347266" w:rsidRDefault="002954D1" w:rsidP="002954D1">
      <w:pPr>
        <w:widowControl w:val="0"/>
        <w:suppressAutoHyphens/>
        <w:jc w:val="both"/>
        <w:rPr>
          <w:sz w:val="22"/>
          <w:szCs w:val="22"/>
          <w:lang w:val="es-ES_tradnl"/>
        </w:rPr>
      </w:pPr>
    </w:p>
    <w:p w14:paraId="4F5E5597" w14:textId="449AD803" w:rsidR="002954D1" w:rsidRPr="00760E2E" w:rsidRDefault="002954D1" w:rsidP="00E61D59">
      <w:pPr>
        <w:pStyle w:val="Default"/>
        <w:rPr>
          <w:sz w:val="22"/>
          <w:szCs w:val="22"/>
        </w:rPr>
      </w:pPr>
      <w:r w:rsidRPr="00F6528C">
        <w:rPr>
          <w:sz w:val="22"/>
          <w:szCs w:val="22"/>
        </w:rPr>
        <w:t xml:space="preserve">5.- Tramo </w:t>
      </w:r>
      <w:r w:rsidRPr="003C0CC9">
        <w:rPr>
          <w:color w:val="auto"/>
          <w:sz w:val="22"/>
          <w:szCs w:val="22"/>
          <w:lang w:val="es-ES" w:eastAsia="es-ES"/>
        </w:rPr>
        <w:t>Competitivo. Se considerarán Ofertas del Tramo Competitivo aquellas que indi</w:t>
      </w:r>
      <w:r w:rsidR="003C0CC9" w:rsidRPr="003C0CC9">
        <w:rPr>
          <w:color w:val="auto"/>
          <w:sz w:val="22"/>
          <w:szCs w:val="22"/>
          <w:lang w:val="es-ES" w:eastAsia="es-ES"/>
        </w:rPr>
        <w:t>quen</w:t>
      </w:r>
      <w:r w:rsidR="005B0B2A" w:rsidRPr="003C0CC9">
        <w:rPr>
          <w:color w:val="auto"/>
          <w:sz w:val="22"/>
          <w:szCs w:val="22"/>
          <w:lang w:val="es-ES" w:eastAsia="es-ES"/>
        </w:rPr>
        <w:t xml:space="preserve"> </w:t>
      </w:r>
      <w:r w:rsidRPr="003C0CC9">
        <w:rPr>
          <w:color w:val="auto"/>
          <w:sz w:val="22"/>
          <w:szCs w:val="22"/>
          <w:lang w:val="es-ES" w:eastAsia="es-ES"/>
        </w:rPr>
        <w:t xml:space="preserve">la tasa de </w:t>
      </w:r>
      <w:r w:rsidR="003C0CC9" w:rsidRPr="003C0CC9">
        <w:rPr>
          <w:color w:val="auto"/>
          <w:sz w:val="22"/>
          <w:szCs w:val="22"/>
          <w:lang w:val="es-ES" w:eastAsia="es-ES"/>
        </w:rPr>
        <w:t>interés fija solicitada</w:t>
      </w:r>
      <w:r w:rsidRPr="003C0CC9">
        <w:rPr>
          <w:color w:val="auto"/>
          <w:sz w:val="22"/>
          <w:szCs w:val="22"/>
          <w:lang w:val="es-ES" w:eastAsia="es-ES"/>
        </w:rPr>
        <w:t xml:space="preserve"> </w:t>
      </w:r>
      <w:r w:rsidR="003C0CC9" w:rsidRPr="00E61D59">
        <w:rPr>
          <w:color w:val="auto"/>
          <w:sz w:val="22"/>
          <w:szCs w:val="22"/>
          <w:lang w:val="es-ES" w:eastAsia="es-ES"/>
        </w:rPr>
        <w:t xml:space="preserve">expresada como un porcentaje nominal anual, truncado a dos decimales (ejemplos: 3,00%, 5,54%, 7,80%) </w:t>
      </w:r>
      <w:r w:rsidRPr="00760E2E">
        <w:rPr>
          <w:sz w:val="22"/>
          <w:szCs w:val="22"/>
        </w:rPr>
        <w:t xml:space="preserve">para las ON Serie II Clase </w:t>
      </w:r>
      <w:r w:rsidR="005B0B2A">
        <w:rPr>
          <w:sz w:val="22"/>
          <w:szCs w:val="22"/>
        </w:rPr>
        <w:t>A y para las ON Serie II Clase B</w:t>
      </w:r>
      <w:r w:rsidRPr="00760E2E">
        <w:rPr>
          <w:sz w:val="22"/>
          <w:szCs w:val="22"/>
        </w:rPr>
        <w:t>.</w:t>
      </w:r>
    </w:p>
    <w:p w14:paraId="710670AC" w14:textId="77777777" w:rsidR="002954D1" w:rsidRPr="00E61D59" w:rsidRDefault="002954D1" w:rsidP="002954D1">
      <w:pPr>
        <w:widowControl w:val="0"/>
        <w:suppressAutoHyphens/>
        <w:jc w:val="both"/>
        <w:rPr>
          <w:sz w:val="22"/>
          <w:szCs w:val="22"/>
          <w:lang w:val="es-AR"/>
        </w:rPr>
      </w:pPr>
    </w:p>
    <w:p w14:paraId="1F1D6921" w14:textId="741249BE" w:rsidR="002954D1" w:rsidRPr="00760E2E" w:rsidRDefault="002954D1" w:rsidP="002954D1">
      <w:pPr>
        <w:widowControl w:val="0"/>
        <w:suppressAutoHyphens/>
        <w:jc w:val="both"/>
        <w:rPr>
          <w:sz w:val="22"/>
          <w:szCs w:val="22"/>
        </w:rPr>
      </w:pPr>
      <w:r w:rsidRPr="00F6528C">
        <w:rPr>
          <w:sz w:val="22"/>
          <w:szCs w:val="22"/>
        </w:rPr>
        <w:t>Tramo no Competitivo</w:t>
      </w:r>
      <w:r w:rsidR="003C0CC9">
        <w:rPr>
          <w:sz w:val="22"/>
          <w:szCs w:val="22"/>
        </w:rPr>
        <w:t xml:space="preserve">. Se considerarán Ofertas del Tramo no Competitivo </w:t>
      </w:r>
      <w:r w:rsidRPr="00F6528C">
        <w:rPr>
          <w:sz w:val="22"/>
          <w:szCs w:val="22"/>
        </w:rPr>
        <w:t xml:space="preserve">aquellas </w:t>
      </w:r>
      <w:r w:rsidR="003C0CC9">
        <w:rPr>
          <w:sz w:val="22"/>
          <w:szCs w:val="22"/>
        </w:rPr>
        <w:t xml:space="preserve">que </w:t>
      </w:r>
      <w:r w:rsidRPr="00760E2E">
        <w:rPr>
          <w:sz w:val="22"/>
          <w:szCs w:val="22"/>
        </w:rPr>
        <w:t>no indi</w:t>
      </w:r>
      <w:r w:rsidR="003C0CC9">
        <w:rPr>
          <w:sz w:val="22"/>
          <w:szCs w:val="22"/>
        </w:rPr>
        <w:t xml:space="preserve">quen una </w:t>
      </w:r>
      <w:r w:rsidR="003C0CC9">
        <w:rPr>
          <w:sz w:val="22"/>
          <w:szCs w:val="22"/>
        </w:rPr>
        <w:lastRenderedPageBreak/>
        <w:t>tasa de interés fija</w:t>
      </w:r>
      <w:r w:rsidRPr="00760E2E">
        <w:rPr>
          <w:sz w:val="22"/>
          <w:szCs w:val="22"/>
        </w:rPr>
        <w:t xml:space="preserve"> para las ON Serie II Clase </w:t>
      </w:r>
      <w:r w:rsidR="009464CF">
        <w:rPr>
          <w:sz w:val="22"/>
          <w:szCs w:val="22"/>
        </w:rPr>
        <w:t>A y para las ON Serie II Clase B</w:t>
      </w:r>
      <w:r w:rsidRPr="00760E2E">
        <w:rPr>
          <w:sz w:val="22"/>
          <w:szCs w:val="22"/>
        </w:rPr>
        <w:t>.</w:t>
      </w:r>
    </w:p>
    <w:p w14:paraId="4656C72B" w14:textId="77777777" w:rsidR="002954D1" w:rsidRPr="00760E2E" w:rsidRDefault="002954D1" w:rsidP="002954D1">
      <w:pPr>
        <w:widowControl w:val="0"/>
        <w:suppressAutoHyphens/>
        <w:jc w:val="both"/>
        <w:rPr>
          <w:sz w:val="22"/>
          <w:szCs w:val="22"/>
        </w:rPr>
      </w:pPr>
    </w:p>
    <w:p w14:paraId="0A238E99" w14:textId="787C958B" w:rsidR="002954D1" w:rsidRPr="00760E2E" w:rsidRDefault="002954D1" w:rsidP="002954D1">
      <w:pPr>
        <w:widowControl w:val="0"/>
        <w:suppressAutoHyphens/>
        <w:jc w:val="both"/>
        <w:rPr>
          <w:sz w:val="22"/>
          <w:szCs w:val="22"/>
        </w:rPr>
      </w:pPr>
      <w:r w:rsidRPr="00760E2E">
        <w:rPr>
          <w:sz w:val="22"/>
          <w:szCs w:val="22"/>
        </w:rPr>
        <w:t xml:space="preserve">Para determinar la Tasa Fija de Corte </w:t>
      </w:r>
      <w:r w:rsidR="009464CF">
        <w:rPr>
          <w:sz w:val="22"/>
          <w:szCs w:val="22"/>
        </w:rPr>
        <w:t xml:space="preserve">para cada clase </w:t>
      </w:r>
      <w:r w:rsidRPr="00760E2E">
        <w:rPr>
          <w:sz w:val="22"/>
          <w:szCs w:val="22"/>
        </w:rPr>
        <w:t xml:space="preserve">(conforme esté término se define más adelante) en el Tramo Competitivo, las ofertas ingresadas al SIOPEL serán ordenadas </w:t>
      </w:r>
      <w:r w:rsidR="009464CF">
        <w:rPr>
          <w:sz w:val="22"/>
          <w:szCs w:val="22"/>
        </w:rPr>
        <w:t xml:space="preserve">por cada clase </w:t>
      </w:r>
      <w:r w:rsidRPr="00760E2E">
        <w:rPr>
          <w:sz w:val="22"/>
          <w:szCs w:val="22"/>
        </w:rPr>
        <w:t xml:space="preserve">comenzando con las Ofertas del Tramo no Competitivo de cada clase que alcancen hasta el 50% de las ON Serie II y luego con las del Tramo Competitivo </w:t>
      </w:r>
      <w:r w:rsidR="009464CF">
        <w:rPr>
          <w:sz w:val="22"/>
          <w:szCs w:val="22"/>
        </w:rPr>
        <w:t xml:space="preserve">de cada clase </w:t>
      </w:r>
      <w:r w:rsidRPr="00760E2E">
        <w:rPr>
          <w:sz w:val="22"/>
          <w:szCs w:val="22"/>
        </w:rPr>
        <w:t xml:space="preserve">que soliciten la menor tasa de rendimiento y continuando hasta agotar las ON Serie II de cada clase ofrecidas que el Emisor decida colocar. </w:t>
      </w:r>
      <w:r w:rsidR="009464CF">
        <w:rPr>
          <w:sz w:val="22"/>
          <w:szCs w:val="22"/>
        </w:rPr>
        <w:t>L</w:t>
      </w:r>
      <w:r w:rsidRPr="00760E2E">
        <w:rPr>
          <w:sz w:val="22"/>
          <w:szCs w:val="22"/>
        </w:rPr>
        <w:t xml:space="preserve">a tasa fija de corte para las ON Serie II Clase </w:t>
      </w:r>
      <w:r w:rsidR="009464CF">
        <w:rPr>
          <w:sz w:val="22"/>
          <w:szCs w:val="22"/>
        </w:rPr>
        <w:t>A y para las ON Serie II Clase B</w:t>
      </w:r>
      <w:r w:rsidRPr="00760E2E">
        <w:rPr>
          <w:sz w:val="22"/>
          <w:szCs w:val="22"/>
        </w:rPr>
        <w:t xml:space="preserve"> será únic</w:t>
      </w:r>
      <w:r w:rsidR="003C0CC9">
        <w:rPr>
          <w:sz w:val="22"/>
          <w:szCs w:val="22"/>
        </w:rPr>
        <w:t>a</w:t>
      </w:r>
      <w:r w:rsidRPr="00760E2E">
        <w:rPr>
          <w:sz w:val="22"/>
          <w:szCs w:val="22"/>
        </w:rPr>
        <w:t xml:space="preserve"> para todas las ofertas aceptadas</w:t>
      </w:r>
      <w:r w:rsidR="009464CF">
        <w:rPr>
          <w:sz w:val="22"/>
          <w:szCs w:val="22"/>
        </w:rPr>
        <w:t xml:space="preserve"> de dicha clase</w:t>
      </w:r>
      <w:r w:rsidRPr="00760E2E">
        <w:rPr>
          <w:sz w:val="22"/>
          <w:szCs w:val="22"/>
        </w:rPr>
        <w:t>, y se corresponderá con la mayor tasa que agote la cantidad de ON Serie II de cada clase que el Emisor decida colocar (“Tasa Fija de Corte”, respectivamente).</w:t>
      </w:r>
    </w:p>
    <w:p w14:paraId="11222C1F" w14:textId="77777777" w:rsidR="002954D1" w:rsidRPr="00E61D59" w:rsidRDefault="002954D1" w:rsidP="002954D1">
      <w:pPr>
        <w:pStyle w:val="Textoindependiente"/>
        <w:rPr>
          <w:b/>
          <w:color w:val="0D0D0D"/>
          <w:sz w:val="22"/>
          <w:lang w:val="es-ES"/>
        </w:rPr>
      </w:pPr>
    </w:p>
    <w:p w14:paraId="67035F00" w14:textId="764581AF" w:rsidR="002954D1" w:rsidRPr="00760E2E" w:rsidRDefault="002954D1" w:rsidP="002954D1">
      <w:pPr>
        <w:widowControl w:val="0"/>
        <w:suppressAutoHyphens/>
        <w:jc w:val="both"/>
        <w:rPr>
          <w:sz w:val="22"/>
          <w:szCs w:val="22"/>
        </w:rPr>
      </w:pPr>
      <w:r w:rsidRPr="00F6528C">
        <w:rPr>
          <w:sz w:val="22"/>
          <w:szCs w:val="22"/>
        </w:rPr>
        <w:t xml:space="preserve">La Emisora podrá reducir la cantidad de las ON Serie </w:t>
      </w:r>
      <w:r>
        <w:rPr>
          <w:sz w:val="22"/>
          <w:szCs w:val="22"/>
        </w:rPr>
        <w:t>I</w:t>
      </w:r>
      <w:r w:rsidRPr="00F6528C">
        <w:rPr>
          <w:sz w:val="22"/>
          <w:szCs w:val="22"/>
        </w:rPr>
        <w:t xml:space="preserve">I a emitir a efectos de obtener </w:t>
      </w:r>
      <w:r w:rsidRPr="00760E2E">
        <w:rPr>
          <w:sz w:val="22"/>
          <w:szCs w:val="22"/>
        </w:rPr>
        <w:t xml:space="preserve">una Tasa </w:t>
      </w:r>
      <w:r w:rsidR="00BC7ECB">
        <w:rPr>
          <w:sz w:val="22"/>
          <w:szCs w:val="22"/>
        </w:rPr>
        <w:t xml:space="preserve">Fija </w:t>
      </w:r>
      <w:r w:rsidRPr="00760E2E">
        <w:rPr>
          <w:sz w:val="22"/>
          <w:szCs w:val="22"/>
        </w:rPr>
        <w:t>de Corte inferior.</w:t>
      </w:r>
    </w:p>
    <w:p w14:paraId="0760769E" w14:textId="77777777" w:rsidR="002954D1" w:rsidRPr="00E61D59" w:rsidRDefault="002954D1" w:rsidP="002954D1">
      <w:pPr>
        <w:pStyle w:val="Textoindependiente"/>
        <w:rPr>
          <w:b/>
          <w:color w:val="0D0D0D"/>
          <w:sz w:val="22"/>
          <w:szCs w:val="22"/>
          <w:lang w:val="es-ES"/>
        </w:rPr>
      </w:pPr>
    </w:p>
    <w:p w14:paraId="1AB3494B" w14:textId="7A0E1B15" w:rsidR="002954D1" w:rsidRPr="00760E2E" w:rsidRDefault="002954D1" w:rsidP="002954D1">
      <w:pPr>
        <w:tabs>
          <w:tab w:val="left" w:pos="2431"/>
        </w:tabs>
        <w:autoSpaceDE w:val="0"/>
        <w:autoSpaceDN w:val="0"/>
        <w:adjustRightInd w:val="0"/>
        <w:jc w:val="both"/>
        <w:rPr>
          <w:color w:val="0D0D0D"/>
          <w:sz w:val="22"/>
          <w:szCs w:val="22"/>
        </w:rPr>
      </w:pPr>
      <w:r w:rsidRPr="00760E2E">
        <w:rPr>
          <w:sz w:val="22"/>
          <w:szCs w:val="22"/>
        </w:rPr>
        <w:t xml:space="preserve">6.- </w:t>
      </w:r>
      <w:r w:rsidRPr="00760E2E">
        <w:rPr>
          <w:color w:val="0D0D0D"/>
          <w:sz w:val="22"/>
          <w:szCs w:val="22"/>
        </w:rPr>
        <w:t>Determinad</w:t>
      </w:r>
      <w:r w:rsidR="004B3DB9">
        <w:rPr>
          <w:color w:val="0D0D0D"/>
          <w:sz w:val="22"/>
          <w:szCs w:val="22"/>
        </w:rPr>
        <w:t xml:space="preserve">a </w:t>
      </w:r>
      <w:r w:rsidRPr="00760E2E">
        <w:rPr>
          <w:color w:val="0D0D0D"/>
          <w:sz w:val="22"/>
          <w:szCs w:val="22"/>
        </w:rPr>
        <w:t>la Tasa Fija de Corte</w:t>
      </w:r>
      <w:r w:rsidR="004B3DB9">
        <w:rPr>
          <w:color w:val="0D0D0D"/>
          <w:sz w:val="22"/>
          <w:szCs w:val="22"/>
        </w:rPr>
        <w:t xml:space="preserve"> de cada clase</w:t>
      </w:r>
      <w:r w:rsidR="00BC7ECB">
        <w:rPr>
          <w:color w:val="0D0D0D"/>
          <w:sz w:val="22"/>
          <w:szCs w:val="22"/>
        </w:rPr>
        <w:t xml:space="preserve"> (la “Tasa Fija”)</w:t>
      </w:r>
      <w:r w:rsidRPr="00760E2E">
        <w:rPr>
          <w:color w:val="0D0D0D"/>
          <w:sz w:val="22"/>
          <w:szCs w:val="22"/>
        </w:rPr>
        <w:t>, las ON Serie II serán adjudicadas comenzando con las Ofertas del Tramo no Competitivo de cada clase de la siguiente forma: (i) Si las Ofertas en el Tramo no Competitivo superan el 50% del valor nominal, la totalidad de las ofertas en este último tramo serán prorrateadas reduciéndose por lo tanto en forma proporcional los montos adjudicados hasta alcanzar el 50% del valor nominal y luego continuarán la adjudicación en el Tramo Competitivo comenzando con aquellas ofertas que hubieran solicitado la menor tasa fija para las ON Serie II</w:t>
      </w:r>
      <w:r w:rsidR="004B3DB9">
        <w:rPr>
          <w:color w:val="0D0D0D"/>
          <w:sz w:val="22"/>
          <w:szCs w:val="22"/>
        </w:rPr>
        <w:t xml:space="preserve"> de cada clase</w:t>
      </w:r>
      <w:r w:rsidRPr="00760E2E">
        <w:rPr>
          <w:color w:val="0D0D0D"/>
          <w:sz w:val="22"/>
          <w:szCs w:val="22"/>
        </w:rPr>
        <w:t>, hasta agotar el monto de emisión decidido</w:t>
      </w:r>
      <w:r w:rsidR="00BC7ECB">
        <w:rPr>
          <w:color w:val="0D0D0D"/>
          <w:sz w:val="22"/>
          <w:szCs w:val="22"/>
        </w:rPr>
        <w:t xml:space="preserve"> de cada clase</w:t>
      </w:r>
      <w:r w:rsidRPr="00760E2E">
        <w:rPr>
          <w:color w:val="0D0D0D"/>
          <w:sz w:val="22"/>
          <w:szCs w:val="22"/>
        </w:rPr>
        <w:t>. (ii) Si las ofertas en el Tramo no Competitivo no superan el 50% del valor nominal la totalidad de las ofertas en este último tramo serán adjudicadas conforme las cantidades solicitadas sin prorrateo alguno, y luego continuará la adjudicación en el Tramo Competitivo en la forma indicada en el apartado (i).</w:t>
      </w:r>
    </w:p>
    <w:p w14:paraId="6B0F7711" w14:textId="77777777" w:rsidR="002954D1" w:rsidRPr="00E952F9" w:rsidRDefault="002954D1" w:rsidP="002954D1">
      <w:pPr>
        <w:pStyle w:val="Textoindependiente"/>
        <w:rPr>
          <w:b/>
          <w:color w:val="0D0D0D"/>
          <w:sz w:val="22"/>
        </w:rPr>
      </w:pPr>
    </w:p>
    <w:p w14:paraId="4B57C98D" w14:textId="6833FD8A" w:rsidR="002954D1" w:rsidRPr="00760E2E" w:rsidRDefault="002954D1" w:rsidP="002954D1">
      <w:pPr>
        <w:pStyle w:val="Textoindependiente"/>
        <w:rPr>
          <w:color w:val="0D0D0D"/>
          <w:sz w:val="22"/>
          <w:szCs w:val="22"/>
          <w:lang w:val="es-AR"/>
        </w:rPr>
      </w:pPr>
      <w:r w:rsidRPr="00E952F9">
        <w:rPr>
          <w:color w:val="0D0D0D"/>
          <w:sz w:val="22"/>
          <w:lang w:val="es-AR"/>
        </w:rPr>
        <w:t>En caso que la</w:t>
      </w:r>
      <w:r w:rsidRPr="00760E2E">
        <w:rPr>
          <w:color w:val="0D0D0D"/>
          <w:sz w:val="22"/>
          <w:szCs w:val="22"/>
          <w:lang w:val="es-AR"/>
        </w:rPr>
        <w:t>/s Oferta/s de Suscripción que hubiera/n solicitado una tasa igual a la Tasa Fija de Corte, supere/n el valor nominal pendiente de adjudicar, será/n adjudicada/s parcialmente y a prorrata entre sí, respetando la igualdad de trato entre los inversores.</w:t>
      </w:r>
    </w:p>
    <w:p w14:paraId="01DC022A" w14:textId="77777777" w:rsidR="002954D1" w:rsidRPr="00E61D59" w:rsidRDefault="002954D1" w:rsidP="002954D1">
      <w:pPr>
        <w:jc w:val="both"/>
        <w:rPr>
          <w:sz w:val="22"/>
          <w:szCs w:val="22"/>
          <w:lang w:val="es-AR"/>
        </w:rPr>
      </w:pPr>
    </w:p>
    <w:p w14:paraId="704BB3DC" w14:textId="50F52204" w:rsidR="002954D1" w:rsidRPr="00E952F9" w:rsidRDefault="002954D1" w:rsidP="002954D1">
      <w:pPr>
        <w:pStyle w:val="Default"/>
        <w:jc w:val="both"/>
        <w:rPr>
          <w:rFonts w:eastAsia="Wingdings"/>
          <w:sz w:val="22"/>
        </w:rPr>
      </w:pPr>
      <w:r w:rsidRPr="00760E2E">
        <w:rPr>
          <w:sz w:val="22"/>
          <w:szCs w:val="22"/>
        </w:rPr>
        <w:t xml:space="preserve">Si como resultado del prorrateo bajo el procedimiento antes descripto el valor nominal a adjudicar a un oferente  contuviera decimales por debajo de los V/N U$S 0,50, los mismos serán suprimidos a efectos de redondear el valor nominal de la ON Serie II a adjudicar. Contrariamente, si contuviera decimales iguales o por encima de </w:t>
      </w:r>
      <w:r w:rsidR="00B21166">
        <w:rPr>
          <w:sz w:val="22"/>
          <w:szCs w:val="22"/>
        </w:rPr>
        <w:t>V/N</w:t>
      </w:r>
      <w:r w:rsidRPr="00760E2E">
        <w:rPr>
          <w:sz w:val="22"/>
          <w:szCs w:val="22"/>
        </w:rPr>
        <w:t xml:space="preserve"> U$S 0,50, los mismos serán redondeados hacia arriba, otorgando a dichos decimales el valor nominal de V/N U$S 1 según el caso, de las ON Serie II de cada Clase a adjudicar. </w:t>
      </w:r>
    </w:p>
    <w:p w14:paraId="233FFE61" w14:textId="77777777" w:rsidR="002954D1" w:rsidRDefault="002954D1" w:rsidP="002954D1">
      <w:pPr>
        <w:pStyle w:val="Default"/>
        <w:jc w:val="both"/>
        <w:rPr>
          <w:sz w:val="22"/>
          <w:szCs w:val="20"/>
        </w:rPr>
      </w:pPr>
    </w:p>
    <w:p w14:paraId="690E9897" w14:textId="73E73694" w:rsidR="002954D1" w:rsidRPr="00760E2E" w:rsidRDefault="002954D1" w:rsidP="002954D1">
      <w:pPr>
        <w:pStyle w:val="Default"/>
        <w:jc w:val="both"/>
        <w:rPr>
          <w:sz w:val="22"/>
          <w:szCs w:val="22"/>
        </w:rPr>
      </w:pPr>
      <w:r w:rsidRPr="00AD24E2">
        <w:rPr>
          <w:sz w:val="22"/>
          <w:szCs w:val="20"/>
        </w:rPr>
        <w:t xml:space="preserve">Si como resultado de los prorrateos el monto a asignar a una </w:t>
      </w:r>
      <w:r w:rsidRPr="00760E2E">
        <w:rPr>
          <w:sz w:val="22"/>
          <w:szCs w:val="22"/>
        </w:rPr>
        <w:t>oferta fuera un monto inferior al monto mínimo de suscripción, a esa oferta no se le asignarán ON Serie II y el monto no asignado a tal oferta será distribuido a prorrata entre las demás ofertas con mayor monto solicitado y de existir remanente a la siguiente con mayor monto solicitado.</w:t>
      </w:r>
    </w:p>
    <w:p w14:paraId="7000D263" w14:textId="77777777" w:rsidR="002954D1" w:rsidRPr="00E61D59" w:rsidRDefault="002954D1" w:rsidP="002954D1">
      <w:pPr>
        <w:widowControl w:val="0"/>
        <w:suppressAutoHyphens/>
        <w:jc w:val="both"/>
        <w:rPr>
          <w:sz w:val="22"/>
          <w:szCs w:val="22"/>
          <w:lang w:val="es-AR"/>
        </w:rPr>
      </w:pPr>
    </w:p>
    <w:p w14:paraId="6A9411A1" w14:textId="3454ED91" w:rsidR="002954D1" w:rsidRPr="00760E2E" w:rsidRDefault="002954D1" w:rsidP="002954D1">
      <w:pPr>
        <w:widowControl w:val="0"/>
        <w:suppressAutoHyphens/>
        <w:jc w:val="both"/>
        <w:rPr>
          <w:sz w:val="22"/>
          <w:szCs w:val="22"/>
        </w:rPr>
      </w:pPr>
      <w:r>
        <w:rPr>
          <w:sz w:val="22"/>
          <w:szCs w:val="22"/>
        </w:rPr>
        <w:t>7</w:t>
      </w:r>
      <w:r w:rsidRPr="00E06F9F">
        <w:rPr>
          <w:sz w:val="22"/>
          <w:szCs w:val="22"/>
        </w:rPr>
        <w:t xml:space="preserve">.- </w:t>
      </w:r>
      <w:r>
        <w:rPr>
          <w:sz w:val="22"/>
          <w:szCs w:val="22"/>
        </w:rPr>
        <w:t xml:space="preserve">Los </w:t>
      </w:r>
      <w:r w:rsidRPr="00E06F9F">
        <w:rPr>
          <w:sz w:val="22"/>
          <w:szCs w:val="22"/>
        </w:rPr>
        <w:t>Colocador</w:t>
      </w:r>
      <w:r>
        <w:rPr>
          <w:sz w:val="22"/>
          <w:szCs w:val="22"/>
        </w:rPr>
        <w:t>es</w:t>
      </w:r>
      <w:r w:rsidRPr="00E06F9F">
        <w:rPr>
          <w:sz w:val="22"/>
          <w:szCs w:val="22"/>
        </w:rPr>
        <w:t xml:space="preserve">, siguiendo instrucciones </w:t>
      </w:r>
      <w:r w:rsidRPr="00760E2E">
        <w:rPr>
          <w:sz w:val="22"/>
          <w:szCs w:val="22"/>
        </w:rPr>
        <w:t xml:space="preserve">del Emisor, podrán considerar desierta la licitación en caso de (i) ausencia de ofertas respecto de la totalidad de las ON Serie II ofrecidas de cualquier clase, o (ii) no aceptar el Emisor Tasa Fija alguna. En dicho caso, las respectivas solicitudes de suscripción quedarán automáticamente sin efecto y serán restituidas a los oferentes sin que tal circunstancia otorgue a éstos últimos derecho a compensación ni indemnización alguna. </w:t>
      </w:r>
    </w:p>
    <w:p w14:paraId="4D753C75" w14:textId="77777777" w:rsidR="002954D1" w:rsidRPr="00760E2E" w:rsidRDefault="002954D1" w:rsidP="002954D1">
      <w:pPr>
        <w:widowControl w:val="0"/>
        <w:suppressAutoHyphens/>
        <w:jc w:val="both"/>
        <w:rPr>
          <w:sz w:val="22"/>
          <w:szCs w:val="22"/>
        </w:rPr>
      </w:pPr>
    </w:p>
    <w:p w14:paraId="259D2EB8" w14:textId="18B17CD9" w:rsidR="002954D1" w:rsidRPr="00760E2E" w:rsidRDefault="002954D1" w:rsidP="002954D1">
      <w:pPr>
        <w:widowControl w:val="0"/>
        <w:suppressAutoHyphens/>
        <w:jc w:val="both"/>
        <w:rPr>
          <w:sz w:val="22"/>
          <w:szCs w:val="22"/>
        </w:rPr>
      </w:pPr>
      <w:r w:rsidRPr="00760E2E">
        <w:rPr>
          <w:sz w:val="22"/>
          <w:szCs w:val="22"/>
        </w:rPr>
        <w:t>8.- Se podrá adjudicar a los oferentes una cantidad inferior a la totalidad de las ON Serie II ofrecidas en caso de: (i) ausencia de ofertas respecto de la totalidad de las ON Serie II ofrecidas, o (ii) que se acepte un</w:t>
      </w:r>
      <w:r w:rsidR="00B21166">
        <w:rPr>
          <w:sz w:val="22"/>
          <w:szCs w:val="22"/>
        </w:rPr>
        <w:t>a</w:t>
      </w:r>
      <w:r w:rsidRPr="00760E2E">
        <w:rPr>
          <w:sz w:val="22"/>
          <w:szCs w:val="22"/>
        </w:rPr>
        <w:t xml:space="preserve"> Tasa Fija de Corte </w:t>
      </w:r>
      <w:r w:rsidR="00B21166">
        <w:rPr>
          <w:sz w:val="22"/>
          <w:szCs w:val="22"/>
        </w:rPr>
        <w:t xml:space="preserve">para cada clase </w:t>
      </w:r>
      <w:r w:rsidRPr="00760E2E">
        <w:rPr>
          <w:sz w:val="22"/>
          <w:szCs w:val="22"/>
        </w:rPr>
        <w:t>que tan solo permita colocar parte de las ON Serie II ofrecidas.</w:t>
      </w:r>
    </w:p>
    <w:p w14:paraId="1A1616FF" w14:textId="77777777" w:rsidR="002954D1" w:rsidRPr="00760E2E" w:rsidRDefault="002954D1" w:rsidP="002954D1">
      <w:pPr>
        <w:widowControl w:val="0"/>
        <w:suppressAutoHyphens/>
        <w:jc w:val="both"/>
        <w:rPr>
          <w:sz w:val="22"/>
          <w:szCs w:val="22"/>
        </w:rPr>
      </w:pPr>
    </w:p>
    <w:p w14:paraId="5C7CF96B" w14:textId="4CEAF891" w:rsidR="002954D1" w:rsidRPr="00760E2E" w:rsidRDefault="002954D1" w:rsidP="002954D1">
      <w:pPr>
        <w:widowControl w:val="0"/>
        <w:suppressAutoHyphens/>
        <w:jc w:val="both"/>
        <w:rPr>
          <w:sz w:val="22"/>
          <w:szCs w:val="22"/>
        </w:rPr>
      </w:pPr>
      <w:r w:rsidRPr="00760E2E">
        <w:rPr>
          <w:sz w:val="22"/>
          <w:szCs w:val="22"/>
        </w:rPr>
        <w:t>9.- En cualquier caso las ofertas de suscripción que no alcancen la Tasa Fija de Corte quedarán automáticamente sin efecto y serán restituidas a los oferentes sin que tal circunstancia otorgue a estos últimos derechos a compensación ni indemnización algunos.</w:t>
      </w:r>
    </w:p>
    <w:p w14:paraId="41797455" w14:textId="77777777" w:rsidR="002954D1" w:rsidRPr="00760E2E" w:rsidRDefault="002954D1" w:rsidP="002954D1">
      <w:pPr>
        <w:widowControl w:val="0"/>
        <w:suppressAutoHyphens/>
        <w:jc w:val="both"/>
        <w:rPr>
          <w:sz w:val="22"/>
          <w:szCs w:val="22"/>
        </w:rPr>
      </w:pPr>
    </w:p>
    <w:p w14:paraId="6B70C162" w14:textId="2E53989C" w:rsidR="002954D1" w:rsidRPr="00760E2E" w:rsidRDefault="002954D1" w:rsidP="002954D1">
      <w:pPr>
        <w:widowControl w:val="0"/>
        <w:suppressAutoHyphens/>
        <w:jc w:val="both"/>
        <w:rPr>
          <w:sz w:val="22"/>
          <w:szCs w:val="22"/>
        </w:rPr>
      </w:pPr>
      <w:r w:rsidRPr="00760E2E">
        <w:rPr>
          <w:sz w:val="22"/>
          <w:szCs w:val="22"/>
        </w:rPr>
        <w:t xml:space="preserve">10.-Al finalizar el Período de Colocación se comunicará a los interesados la Tasa Fija </w:t>
      </w:r>
      <w:r w:rsidR="00B21166">
        <w:rPr>
          <w:sz w:val="22"/>
          <w:szCs w:val="22"/>
        </w:rPr>
        <w:t xml:space="preserve">de cada clase </w:t>
      </w:r>
      <w:r w:rsidRPr="00760E2E">
        <w:rPr>
          <w:sz w:val="22"/>
          <w:szCs w:val="22"/>
        </w:rPr>
        <w:t xml:space="preserve">y las cantidades asignadas debiendo pagarse el precio consiguiente en la Fecha de </w:t>
      </w:r>
      <w:r w:rsidR="00B21166">
        <w:rPr>
          <w:sz w:val="22"/>
          <w:szCs w:val="22"/>
        </w:rPr>
        <w:t>Emisión y Liquidación</w:t>
      </w:r>
      <w:r w:rsidRPr="00760E2E">
        <w:rPr>
          <w:sz w:val="22"/>
          <w:szCs w:val="22"/>
        </w:rPr>
        <w:t xml:space="preserve">. </w:t>
      </w:r>
    </w:p>
    <w:p w14:paraId="5FB7CB01" w14:textId="77777777" w:rsidR="002954D1" w:rsidRPr="00E06F9F" w:rsidRDefault="002954D1" w:rsidP="002954D1">
      <w:pPr>
        <w:widowControl w:val="0"/>
        <w:suppressAutoHyphens/>
        <w:jc w:val="both"/>
        <w:rPr>
          <w:sz w:val="22"/>
          <w:szCs w:val="22"/>
        </w:rPr>
      </w:pPr>
    </w:p>
    <w:p w14:paraId="28F3CFB0" w14:textId="1F87C328" w:rsidR="002954D1" w:rsidRPr="00E06F9F" w:rsidRDefault="002954D1" w:rsidP="002954D1">
      <w:pPr>
        <w:widowControl w:val="0"/>
        <w:suppressAutoHyphens/>
        <w:jc w:val="both"/>
        <w:rPr>
          <w:sz w:val="22"/>
          <w:szCs w:val="22"/>
        </w:rPr>
      </w:pPr>
      <w:r w:rsidRPr="00E06F9F">
        <w:rPr>
          <w:sz w:val="22"/>
          <w:szCs w:val="22"/>
        </w:rPr>
        <w:lastRenderedPageBreak/>
        <w:t>1</w:t>
      </w:r>
      <w:r>
        <w:rPr>
          <w:sz w:val="22"/>
          <w:szCs w:val="22"/>
        </w:rPr>
        <w:t>1</w:t>
      </w:r>
      <w:r w:rsidRPr="00E06F9F">
        <w:rPr>
          <w:sz w:val="22"/>
          <w:szCs w:val="22"/>
        </w:rPr>
        <w:t xml:space="preserve">.- A los efectos de suscribir las Obligaciones Negociables Serie </w:t>
      </w:r>
      <w:r>
        <w:rPr>
          <w:sz w:val="22"/>
          <w:szCs w:val="22"/>
        </w:rPr>
        <w:t>II</w:t>
      </w:r>
      <w:r w:rsidRPr="00E06F9F">
        <w:rPr>
          <w:sz w:val="22"/>
          <w:szCs w:val="22"/>
        </w:rPr>
        <w:t>, los interesados deberán suministrar aquella información o documentación que deban o resuelva libremente solicitarle l</w:t>
      </w:r>
      <w:r>
        <w:rPr>
          <w:sz w:val="22"/>
          <w:szCs w:val="22"/>
        </w:rPr>
        <w:t>os</w:t>
      </w:r>
      <w:r w:rsidRPr="00E06F9F">
        <w:rPr>
          <w:sz w:val="22"/>
          <w:szCs w:val="22"/>
        </w:rPr>
        <w:t xml:space="preserve"> Colocador</w:t>
      </w:r>
      <w:r>
        <w:rPr>
          <w:sz w:val="22"/>
          <w:szCs w:val="22"/>
        </w:rPr>
        <w:t>es</w:t>
      </w:r>
      <w:r w:rsidRPr="00E06F9F">
        <w:rPr>
          <w:sz w:val="22"/>
          <w:szCs w:val="22"/>
        </w:rPr>
        <w:t xml:space="preserve"> para el cumplimiento de su función y de, entre otras, las normas sobre lavado de activos de origen delictivo y sobre prevención del lavado para el mercado de capitales emanadas de la Unidad de Información Financiera creada por la </w:t>
      </w:r>
      <w:r>
        <w:rPr>
          <w:sz w:val="22"/>
          <w:szCs w:val="22"/>
        </w:rPr>
        <w:t>l</w:t>
      </w:r>
      <w:r w:rsidRPr="00E06F9F">
        <w:rPr>
          <w:sz w:val="22"/>
          <w:szCs w:val="22"/>
        </w:rPr>
        <w:t>ey 25.246.</w:t>
      </w:r>
    </w:p>
    <w:p w14:paraId="2C73631D" w14:textId="77777777" w:rsidR="002954D1" w:rsidRPr="00E06F9F" w:rsidRDefault="002954D1" w:rsidP="002954D1">
      <w:pPr>
        <w:widowControl w:val="0"/>
        <w:suppressAutoHyphens/>
        <w:jc w:val="both"/>
        <w:rPr>
          <w:sz w:val="22"/>
          <w:szCs w:val="22"/>
        </w:rPr>
      </w:pPr>
    </w:p>
    <w:p w14:paraId="61AE10A5" w14:textId="7D72F9C1" w:rsidR="002954D1" w:rsidRPr="00E06F9F" w:rsidRDefault="002954D1" w:rsidP="002954D1">
      <w:pPr>
        <w:widowControl w:val="0"/>
        <w:suppressAutoHyphens/>
        <w:jc w:val="both"/>
        <w:rPr>
          <w:sz w:val="22"/>
          <w:szCs w:val="22"/>
        </w:rPr>
      </w:pPr>
      <w:r w:rsidRPr="00E06F9F">
        <w:rPr>
          <w:sz w:val="22"/>
          <w:szCs w:val="22"/>
        </w:rPr>
        <w:t>1</w:t>
      </w:r>
      <w:r>
        <w:rPr>
          <w:sz w:val="22"/>
          <w:szCs w:val="22"/>
        </w:rPr>
        <w:t>2</w:t>
      </w:r>
      <w:r w:rsidRPr="00E06F9F">
        <w:rPr>
          <w:sz w:val="22"/>
          <w:szCs w:val="22"/>
        </w:rPr>
        <w:t xml:space="preserve">.- </w:t>
      </w:r>
      <w:r>
        <w:rPr>
          <w:sz w:val="22"/>
          <w:szCs w:val="22"/>
        </w:rPr>
        <w:t>Los Colocadores</w:t>
      </w:r>
      <w:r w:rsidRPr="00E06F9F">
        <w:rPr>
          <w:sz w:val="22"/>
          <w:szCs w:val="22"/>
        </w:rPr>
        <w:t xml:space="preserve"> se compromete</w:t>
      </w:r>
      <w:r>
        <w:rPr>
          <w:sz w:val="22"/>
          <w:szCs w:val="22"/>
        </w:rPr>
        <w:t>n</w:t>
      </w:r>
      <w:r w:rsidRPr="00E06F9F">
        <w:rPr>
          <w:sz w:val="22"/>
          <w:szCs w:val="22"/>
        </w:rPr>
        <w:t xml:space="preserve"> a conservar la totalidad de la documentación que acredite los esfuerzos realizados para la colocación de las ON Serie I</w:t>
      </w:r>
      <w:r>
        <w:rPr>
          <w:sz w:val="22"/>
          <w:szCs w:val="22"/>
        </w:rPr>
        <w:t>I</w:t>
      </w:r>
      <w:r w:rsidRPr="00E06F9F">
        <w:rPr>
          <w:sz w:val="22"/>
          <w:szCs w:val="22"/>
        </w:rPr>
        <w:t xml:space="preserve"> mediante oferta pública y a llevar un registro de asistentes a la totalidad de los </w:t>
      </w:r>
      <w:r w:rsidRPr="00E06F9F">
        <w:rPr>
          <w:i/>
          <w:sz w:val="22"/>
          <w:szCs w:val="22"/>
        </w:rPr>
        <w:t xml:space="preserve">road shows </w:t>
      </w:r>
      <w:r w:rsidRPr="00E06F9F">
        <w:rPr>
          <w:sz w:val="22"/>
          <w:szCs w:val="22"/>
        </w:rPr>
        <w:t>y/o reuniones informativas, en caso de celebrarse, acerca de las características de la emisión y</w:t>
      </w:r>
      <w:r>
        <w:rPr>
          <w:sz w:val="22"/>
          <w:szCs w:val="22"/>
        </w:rPr>
        <w:t xml:space="preserve"> </w:t>
      </w:r>
      <w:r w:rsidRPr="00E06F9F">
        <w:rPr>
          <w:sz w:val="22"/>
          <w:szCs w:val="22"/>
        </w:rPr>
        <w:t>que se realicen con el mismo fin.</w:t>
      </w:r>
    </w:p>
    <w:p w14:paraId="6DC18439" w14:textId="77777777" w:rsidR="002954D1" w:rsidRPr="00E06F9F" w:rsidRDefault="002954D1" w:rsidP="002954D1">
      <w:pPr>
        <w:widowControl w:val="0"/>
        <w:suppressAutoHyphens/>
        <w:jc w:val="both"/>
        <w:rPr>
          <w:sz w:val="22"/>
          <w:szCs w:val="22"/>
        </w:rPr>
      </w:pPr>
    </w:p>
    <w:p w14:paraId="33FA6955" w14:textId="77777777" w:rsidR="002954D1" w:rsidRPr="004D1783" w:rsidRDefault="002954D1" w:rsidP="002954D1">
      <w:pPr>
        <w:autoSpaceDE w:val="0"/>
        <w:autoSpaceDN w:val="0"/>
        <w:adjustRightInd w:val="0"/>
        <w:jc w:val="both"/>
        <w:rPr>
          <w:rFonts w:eastAsia="Wingdings"/>
          <w:iCs/>
          <w:color w:val="000000"/>
          <w:sz w:val="22"/>
          <w:szCs w:val="22"/>
          <w:lang w:eastAsia="es-AR"/>
        </w:rPr>
      </w:pPr>
      <w:r w:rsidRPr="004D1783">
        <w:rPr>
          <w:rFonts w:eastAsia="Wingdings"/>
          <w:iCs/>
          <w:color w:val="000000"/>
          <w:sz w:val="22"/>
          <w:szCs w:val="22"/>
          <w:lang w:eastAsia="es-AR"/>
        </w:rPr>
        <w:t>1</w:t>
      </w:r>
      <w:r>
        <w:rPr>
          <w:rFonts w:eastAsia="Wingdings"/>
          <w:iCs/>
          <w:color w:val="000000"/>
          <w:sz w:val="22"/>
          <w:szCs w:val="22"/>
          <w:lang w:eastAsia="es-AR"/>
        </w:rPr>
        <w:t>3</w:t>
      </w:r>
      <w:r w:rsidRPr="004D1783">
        <w:rPr>
          <w:rFonts w:eastAsia="Wingdings"/>
          <w:iCs/>
          <w:color w:val="000000"/>
          <w:sz w:val="22"/>
          <w:szCs w:val="22"/>
          <w:lang w:eastAsia="es-AR"/>
        </w:rPr>
        <w:t xml:space="preserve">.-Suscripción e Integración </w:t>
      </w:r>
    </w:p>
    <w:p w14:paraId="28A7A7A4" w14:textId="77777777" w:rsidR="002954D1" w:rsidRPr="004D1783" w:rsidRDefault="002954D1" w:rsidP="002954D1">
      <w:pPr>
        <w:autoSpaceDE w:val="0"/>
        <w:autoSpaceDN w:val="0"/>
        <w:adjustRightInd w:val="0"/>
        <w:jc w:val="both"/>
        <w:rPr>
          <w:rFonts w:eastAsia="Wingdings"/>
          <w:color w:val="000000"/>
          <w:sz w:val="22"/>
          <w:szCs w:val="22"/>
          <w:lang w:eastAsia="es-AR"/>
        </w:rPr>
      </w:pPr>
    </w:p>
    <w:p w14:paraId="42D6F62D" w14:textId="2287D66E" w:rsidR="002954D1" w:rsidRDefault="002954D1" w:rsidP="002954D1">
      <w:pPr>
        <w:autoSpaceDE w:val="0"/>
        <w:autoSpaceDN w:val="0"/>
        <w:adjustRightInd w:val="0"/>
        <w:jc w:val="both"/>
        <w:rPr>
          <w:rFonts w:eastAsia="Wingdings"/>
          <w:color w:val="000000"/>
          <w:sz w:val="22"/>
          <w:szCs w:val="22"/>
          <w:lang w:eastAsia="es-AR"/>
        </w:rPr>
      </w:pPr>
      <w:r w:rsidRPr="004D1783">
        <w:rPr>
          <w:rFonts w:eastAsia="Wingdings"/>
          <w:color w:val="000000"/>
          <w:sz w:val="22"/>
          <w:szCs w:val="22"/>
          <w:lang w:eastAsia="es-AR"/>
        </w:rPr>
        <w:t xml:space="preserve">La liquidación e integración de </w:t>
      </w:r>
      <w:r>
        <w:rPr>
          <w:rFonts w:eastAsia="Wingdings"/>
          <w:color w:val="000000"/>
          <w:sz w:val="22"/>
          <w:szCs w:val="22"/>
          <w:lang w:eastAsia="es-AR"/>
        </w:rPr>
        <w:t xml:space="preserve">las </w:t>
      </w:r>
      <w:r w:rsidRPr="004D1783">
        <w:rPr>
          <w:rFonts w:eastAsia="Wingdings"/>
          <w:color w:val="000000"/>
          <w:sz w:val="22"/>
          <w:szCs w:val="22"/>
          <w:lang w:eastAsia="es-AR"/>
        </w:rPr>
        <w:t>O</w:t>
      </w:r>
      <w:r>
        <w:rPr>
          <w:rFonts w:eastAsia="Wingdings"/>
          <w:color w:val="000000"/>
          <w:sz w:val="22"/>
          <w:szCs w:val="22"/>
          <w:lang w:eastAsia="es-AR"/>
        </w:rPr>
        <w:t>N Serie II</w:t>
      </w:r>
      <w:r w:rsidRPr="004D1783">
        <w:rPr>
          <w:rFonts w:eastAsia="Wingdings"/>
          <w:color w:val="000000"/>
          <w:sz w:val="22"/>
          <w:szCs w:val="22"/>
          <w:lang w:eastAsia="es-AR"/>
        </w:rPr>
        <w:t xml:space="preserve"> se efectuará a través del sistema de compensación MAE Clear</w:t>
      </w:r>
      <w:r w:rsidRPr="00760E2E">
        <w:rPr>
          <w:rFonts w:eastAsia="Wingdings"/>
          <w:color w:val="000000"/>
          <w:sz w:val="22"/>
          <w:szCs w:val="22"/>
          <w:lang w:eastAsia="es-AR"/>
        </w:rPr>
        <w:t xml:space="preserve"> o a través de los Colocadores. </w:t>
      </w:r>
    </w:p>
    <w:p w14:paraId="4BAEEDA5" w14:textId="77777777" w:rsidR="002954D1" w:rsidRPr="004D1783" w:rsidRDefault="002954D1" w:rsidP="002954D1">
      <w:pPr>
        <w:autoSpaceDE w:val="0"/>
        <w:autoSpaceDN w:val="0"/>
        <w:adjustRightInd w:val="0"/>
        <w:jc w:val="both"/>
        <w:rPr>
          <w:rFonts w:eastAsia="Wingdings"/>
          <w:color w:val="000000"/>
          <w:sz w:val="22"/>
          <w:szCs w:val="22"/>
          <w:lang w:eastAsia="es-AR"/>
        </w:rPr>
      </w:pPr>
    </w:p>
    <w:p w14:paraId="10DFAFDB" w14:textId="151D78EE" w:rsidR="002954D1" w:rsidRDefault="002954D1" w:rsidP="002954D1">
      <w:pPr>
        <w:autoSpaceDE w:val="0"/>
        <w:autoSpaceDN w:val="0"/>
        <w:adjustRightInd w:val="0"/>
        <w:jc w:val="both"/>
        <w:rPr>
          <w:rFonts w:eastAsia="Wingdings"/>
          <w:color w:val="000000"/>
          <w:sz w:val="22"/>
          <w:szCs w:val="22"/>
          <w:lang w:eastAsia="es-AR"/>
        </w:rPr>
      </w:pPr>
      <w:r w:rsidRPr="004D1783">
        <w:rPr>
          <w:rFonts w:eastAsia="Wingdings"/>
          <w:color w:val="000000"/>
          <w:sz w:val="22"/>
          <w:szCs w:val="22"/>
          <w:lang w:eastAsia="es-AR"/>
        </w:rPr>
        <w:t xml:space="preserve">Cada </w:t>
      </w:r>
      <w:r>
        <w:rPr>
          <w:rFonts w:eastAsia="Wingdings"/>
          <w:color w:val="000000"/>
          <w:sz w:val="22"/>
          <w:szCs w:val="22"/>
          <w:lang w:eastAsia="es-AR"/>
        </w:rPr>
        <w:t>i</w:t>
      </w:r>
      <w:r w:rsidRPr="004D1783">
        <w:rPr>
          <w:rFonts w:eastAsia="Wingdings"/>
          <w:color w:val="000000"/>
          <w:sz w:val="22"/>
          <w:szCs w:val="22"/>
          <w:lang w:eastAsia="es-AR"/>
        </w:rPr>
        <w:t xml:space="preserve">nversor (en el caso de </w:t>
      </w:r>
      <w:r>
        <w:rPr>
          <w:rFonts w:eastAsia="Wingdings"/>
          <w:color w:val="000000"/>
          <w:sz w:val="22"/>
          <w:szCs w:val="22"/>
          <w:lang w:eastAsia="es-AR"/>
        </w:rPr>
        <w:t>Ofertas</w:t>
      </w:r>
      <w:r w:rsidRPr="004D1783">
        <w:rPr>
          <w:rFonts w:eastAsia="Wingdings"/>
          <w:color w:val="000000"/>
          <w:sz w:val="22"/>
          <w:szCs w:val="22"/>
          <w:lang w:eastAsia="es-AR"/>
        </w:rPr>
        <w:t xml:space="preserve"> presentadas a través de algún Colocador) y cada Agente </w:t>
      </w:r>
      <w:r>
        <w:rPr>
          <w:rFonts w:eastAsia="Wingdings"/>
          <w:color w:val="000000"/>
          <w:sz w:val="22"/>
          <w:szCs w:val="22"/>
          <w:lang w:eastAsia="es-AR"/>
        </w:rPr>
        <w:t>Habilitado</w:t>
      </w:r>
      <w:r w:rsidRPr="004D1783">
        <w:rPr>
          <w:rFonts w:eastAsia="Wingdings"/>
          <w:color w:val="000000"/>
          <w:sz w:val="22"/>
          <w:szCs w:val="22"/>
          <w:lang w:eastAsia="es-AR"/>
        </w:rPr>
        <w:t xml:space="preserve"> (en el caso de Ofertas ingresadas por éstos a través del Sistema SIOPEL</w:t>
      </w:r>
      <w:r w:rsidRPr="00760E2E">
        <w:rPr>
          <w:rFonts w:eastAsia="Wingdings"/>
          <w:color w:val="000000"/>
          <w:sz w:val="22"/>
          <w:szCs w:val="22"/>
          <w:lang w:eastAsia="es-AR"/>
        </w:rPr>
        <w:t xml:space="preserve"> del MAE) se compromete a tomar todos los recaudos necesarios a tal efecto en relación al pago del precio de suscripción de las ON Serie II que le fueren adjudicadas. </w:t>
      </w:r>
    </w:p>
    <w:p w14:paraId="706A2106" w14:textId="77777777" w:rsidR="002954D1" w:rsidRPr="00760E2E" w:rsidRDefault="002954D1" w:rsidP="002954D1">
      <w:pPr>
        <w:autoSpaceDE w:val="0"/>
        <w:autoSpaceDN w:val="0"/>
        <w:adjustRightInd w:val="0"/>
        <w:jc w:val="both"/>
        <w:rPr>
          <w:rFonts w:eastAsia="Wingdings"/>
          <w:color w:val="000000"/>
          <w:sz w:val="22"/>
          <w:szCs w:val="22"/>
          <w:lang w:eastAsia="es-AR"/>
        </w:rPr>
      </w:pPr>
    </w:p>
    <w:p w14:paraId="3281D36C" w14:textId="3B76B23A" w:rsidR="002954D1" w:rsidRPr="00760E2E" w:rsidRDefault="002954D1" w:rsidP="002954D1">
      <w:pPr>
        <w:jc w:val="both"/>
        <w:rPr>
          <w:rFonts w:eastAsia="Wingdings"/>
          <w:sz w:val="22"/>
          <w:szCs w:val="22"/>
          <w:lang w:eastAsia="es-AR"/>
        </w:rPr>
      </w:pPr>
      <w:r w:rsidRPr="00760E2E">
        <w:rPr>
          <w:rFonts w:eastAsia="Wingdings"/>
          <w:color w:val="000000"/>
          <w:sz w:val="22"/>
          <w:szCs w:val="22"/>
          <w:lang w:eastAsia="es-AR"/>
        </w:rPr>
        <w:t xml:space="preserve">Cada uno de los inversores que hubieren presentado sus Ofertas a través de los Colocadores y cada Agente Habilitado, </w:t>
      </w:r>
      <w:r w:rsidRPr="00760E2E">
        <w:rPr>
          <w:rFonts w:eastAsia="Wingdings"/>
          <w:sz w:val="22"/>
          <w:szCs w:val="22"/>
          <w:lang w:eastAsia="es-AR"/>
        </w:rPr>
        <w:t xml:space="preserve">deberán indicar, en sus correspondientes Ofertas si optan por la suscripción e integración de las ON Serie II que pudieren serle adjudicadas a través del sistema de compensación MAE Clear o </w:t>
      </w:r>
      <w:r w:rsidRPr="00347266">
        <w:rPr>
          <w:rFonts w:eastAsia="Wingdings"/>
          <w:color w:val="000000"/>
          <w:sz w:val="22"/>
          <w:szCs w:val="22"/>
          <w:lang w:eastAsia="es-AR"/>
        </w:rPr>
        <w:t xml:space="preserve">a través de los Colocadores, conforme los procedimientos que se detallan a continuación. </w:t>
      </w:r>
    </w:p>
    <w:p w14:paraId="3998B3F8" w14:textId="77777777" w:rsidR="002954D1" w:rsidRPr="00760E2E" w:rsidRDefault="002954D1" w:rsidP="002954D1">
      <w:pPr>
        <w:autoSpaceDE w:val="0"/>
        <w:autoSpaceDN w:val="0"/>
        <w:adjustRightInd w:val="0"/>
        <w:jc w:val="both"/>
        <w:rPr>
          <w:rFonts w:eastAsia="Wingdings"/>
          <w:sz w:val="22"/>
          <w:szCs w:val="22"/>
          <w:lang w:eastAsia="es-AR"/>
        </w:rPr>
      </w:pPr>
    </w:p>
    <w:p w14:paraId="323D13DA" w14:textId="77777777" w:rsidR="002954D1" w:rsidRPr="000F2543" w:rsidRDefault="002954D1" w:rsidP="002954D1">
      <w:pPr>
        <w:autoSpaceDE w:val="0"/>
        <w:autoSpaceDN w:val="0"/>
        <w:adjustRightInd w:val="0"/>
        <w:jc w:val="both"/>
        <w:rPr>
          <w:rFonts w:eastAsia="Wingdings"/>
          <w:sz w:val="22"/>
          <w:szCs w:val="22"/>
          <w:lang w:eastAsia="es-AR"/>
        </w:rPr>
      </w:pPr>
      <w:r w:rsidRPr="00760E2E">
        <w:rPr>
          <w:rFonts w:eastAsia="Wingdings"/>
          <w:sz w:val="22"/>
          <w:szCs w:val="22"/>
          <w:lang w:eastAsia="es-AR"/>
        </w:rPr>
        <w:t>Ni el Emisor ni los Colocadores serán responsables por problemas, fallas, pérdidas de enlace, errores en la aplicación y/o caídas del software al utilizar el sistema “SIOPEL”. Para mayor información respecto de la utilización del Sistema “SIOPEL”,</w:t>
      </w:r>
      <w:r w:rsidRPr="000F2543">
        <w:rPr>
          <w:rFonts w:eastAsia="Wingdings"/>
          <w:sz w:val="22"/>
          <w:szCs w:val="22"/>
          <w:lang w:eastAsia="es-AR"/>
        </w:rPr>
        <w:t xml:space="preserve"> se recomienda a los interesados leer detalladamente el “</w:t>
      </w:r>
      <w:r w:rsidRPr="000F2543">
        <w:rPr>
          <w:rFonts w:eastAsia="Wingdings"/>
          <w:i/>
          <w:sz w:val="22"/>
          <w:szCs w:val="22"/>
          <w:lang w:eastAsia="es-AR"/>
        </w:rPr>
        <w:t>Manual del Usuario – Colocadores</w:t>
      </w:r>
      <w:r w:rsidRPr="000F2543">
        <w:rPr>
          <w:rFonts w:eastAsia="Wingdings"/>
          <w:sz w:val="22"/>
          <w:szCs w:val="22"/>
          <w:lang w:eastAsia="es-AR"/>
        </w:rPr>
        <w:t>” y documentación relacionada publicada en la Página Web del MAE.</w:t>
      </w:r>
    </w:p>
    <w:p w14:paraId="6C2F551B" w14:textId="77777777" w:rsidR="002954D1" w:rsidRPr="004D1783" w:rsidRDefault="002954D1" w:rsidP="002954D1">
      <w:pPr>
        <w:autoSpaceDE w:val="0"/>
        <w:autoSpaceDN w:val="0"/>
        <w:adjustRightInd w:val="0"/>
        <w:jc w:val="both"/>
        <w:rPr>
          <w:rFonts w:eastAsia="Wingdings"/>
          <w:sz w:val="22"/>
          <w:szCs w:val="22"/>
          <w:lang w:eastAsia="es-AR"/>
        </w:rPr>
      </w:pPr>
    </w:p>
    <w:p w14:paraId="6EE0CE83" w14:textId="77777777" w:rsidR="002954D1" w:rsidRPr="003F7D06" w:rsidRDefault="002954D1" w:rsidP="002954D1">
      <w:pPr>
        <w:autoSpaceDE w:val="0"/>
        <w:autoSpaceDN w:val="0"/>
        <w:adjustRightInd w:val="0"/>
        <w:jc w:val="both"/>
        <w:rPr>
          <w:rFonts w:eastAsia="Wingdings"/>
          <w:iCs/>
          <w:sz w:val="22"/>
          <w:szCs w:val="22"/>
          <w:lang w:eastAsia="es-AR"/>
        </w:rPr>
      </w:pPr>
      <w:r w:rsidRPr="003F7D06">
        <w:rPr>
          <w:rFonts w:eastAsia="Wingdings"/>
          <w:iCs/>
          <w:sz w:val="22"/>
          <w:szCs w:val="22"/>
          <w:lang w:eastAsia="es-AR"/>
        </w:rPr>
        <w:t xml:space="preserve">MAE Clear </w:t>
      </w:r>
    </w:p>
    <w:p w14:paraId="415F7266" w14:textId="77777777" w:rsidR="002954D1" w:rsidRPr="004D1783" w:rsidRDefault="002954D1" w:rsidP="002954D1">
      <w:pPr>
        <w:autoSpaceDE w:val="0"/>
        <w:autoSpaceDN w:val="0"/>
        <w:adjustRightInd w:val="0"/>
        <w:jc w:val="both"/>
        <w:rPr>
          <w:rFonts w:eastAsia="Wingdings"/>
          <w:sz w:val="22"/>
          <w:szCs w:val="22"/>
          <w:u w:val="single"/>
          <w:lang w:eastAsia="es-AR"/>
        </w:rPr>
      </w:pPr>
    </w:p>
    <w:p w14:paraId="05B481CF" w14:textId="1A0E7D9F" w:rsidR="002954D1" w:rsidRDefault="002954D1" w:rsidP="002954D1">
      <w:pPr>
        <w:autoSpaceDE w:val="0"/>
        <w:autoSpaceDN w:val="0"/>
        <w:adjustRightInd w:val="0"/>
        <w:jc w:val="both"/>
        <w:rPr>
          <w:rFonts w:eastAsia="Wingdings"/>
          <w:sz w:val="22"/>
          <w:szCs w:val="22"/>
          <w:lang w:eastAsia="es-AR"/>
        </w:rPr>
      </w:pPr>
      <w:r w:rsidRPr="004D1783">
        <w:rPr>
          <w:rFonts w:eastAsia="Wingdings"/>
          <w:sz w:val="22"/>
          <w:szCs w:val="22"/>
          <w:lang w:eastAsia="es-AR"/>
        </w:rPr>
        <w:t xml:space="preserve">Si se optare por el sistema de compensación MAE Clear, cada </w:t>
      </w:r>
      <w:r>
        <w:rPr>
          <w:rFonts w:eastAsia="Wingdings"/>
          <w:sz w:val="22"/>
          <w:szCs w:val="22"/>
          <w:lang w:eastAsia="es-AR"/>
        </w:rPr>
        <w:t>Oferta</w:t>
      </w:r>
      <w:r w:rsidRPr="004D1783">
        <w:rPr>
          <w:rFonts w:eastAsia="Wingdings"/>
          <w:sz w:val="22"/>
          <w:szCs w:val="22"/>
          <w:lang w:eastAsia="es-AR"/>
        </w:rPr>
        <w:t xml:space="preserve"> presentada por cualquier </w:t>
      </w:r>
      <w:r>
        <w:rPr>
          <w:rFonts w:eastAsia="Wingdings"/>
          <w:sz w:val="22"/>
          <w:szCs w:val="22"/>
          <w:lang w:eastAsia="es-AR"/>
        </w:rPr>
        <w:t>i</w:t>
      </w:r>
      <w:r w:rsidRPr="004D1783">
        <w:rPr>
          <w:rFonts w:eastAsia="Wingdings"/>
          <w:sz w:val="22"/>
          <w:szCs w:val="22"/>
          <w:lang w:eastAsia="es-AR"/>
        </w:rPr>
        <w:t>nversor a través de</w:t>
      </w:r>
      <w:r>
        <w:rPr>
          <w:rFonts w:eastAsia="Wingdings"/>
          <w:sz w:val="22"/>
          <w:szCs w:val="22"/>
          <w:lang w:eastAsia="es-AR"/>
        </w:rPr>
        <w:t xml:space="preserve"> </w:t>
      </w:r>
      <w:r w:rsidRPr="004D1783">
        <w:rPr>
          <w:rFonts w:eastAsia="Wingdings"/>
          <w:sz w:val="22"/>
          <w:szCs w:val="22"/>
          <w:lang w:eastAsia="es-AR"/>
        </w:rPr>
        <w:t>l</w:t>
      </w:r>
      <w:r>
        <w:rPr>
          <w:rFonts w:eastAsia="Wingdings"/>
          <w:sz w:val="22"/>
          <w:szCs w:val="22"/>
          <w:lang w:eastAsia="es-AR"/>
        </w:rPr>
        <w:t>os</w:t>
      </w:r>
      <w:r w:rsidRPr="004D1783">
        <w:rPr>
          <w:rFonts w:eastAsia="Wingdings"/>
          <w:sz w:val="22"/>
          <w:szCs w:val="22"/>
          <w:lang w:eastAsia="es-AR"/>
        </w:rPr>
        <w:t xml:space="preserve"> Colocador</w:t>
      </w:r>
      <w:r>
        <w:rPr>
          <w:rFonts w:eastAsia="Wingdings"/>
          <w:sz w:val="22"/>
          <w:szCs w:val="22"/>
          <w:lang w:eastAsia="es-AR"/>
        </w:rPr>
        <w:t>es</w:t>
      </w:r>
      <w:r w:rsidRPr="004D1783">
        <w:rPr>
          <w:rFonts w:eastAsia="Wingdings"/>
          <w:sz w:val="22"/>
          <w:szCs w:val="22"/>
          <w:lang w:eastAsia="es-AR"/>
        </w:rPr>
        <w:t xml:space="preserve"> deberá indicar las cuentas de los custodios participantes en el sistema de compensación administrado por MAE Clear a ser utilizadas para la liquidación e integración de las ON</w:t>
      </w:r>
      <w:r>
        <w:rPr>
          <w:rFonts w:eastAsia="Wingdings"/>
          <w:sz w:val="22"/>
          <w:szCs w:val="22"/>
          <w:lang w:eastAsia="es-AR"/>
        </w:rPr>
        <w:t xml:space="preserve"> Serie II</w:t>
      </w:r>
      <w:r w:rsidRPr="004D1783">
        <w:rPr>
          <w:rFonts w:eastAsia="Wingdings"/>
          <w:sz w:val="22"/>
          <w:szCs w:val="22"/>
          <w:lang w:eastAsia="es-AR"/>
        </w:rPr>
        <w:t xml:space="preserve"> adjudicadas; estableciéndose que cada Agente Habilitado sólo podrá indicar una única e idéntica cuenta custodio de su titularidad en el sistema de compensación administrado por MAE Clear para la liquidación e integración de </w:t>
      </w:r>
      <w:r>
        <w:rPr>
          <w:rFonts w:eastAsia="Wingdings"/>
          <w:sz w:val="22"/>
          <w:szCs w:val="22"/>
          <w:lang w:eastAsia="es-AR"/>
        </w:rPr>
        <w:t xml:space="preserve">las </w:t>
      </w:r>
      <w:r w:rsidRPr="004D1783">
        <w:rPr>
          <w:rFonts w:eastAsia="Wingdings"/>
          <w:sz w:val="22"/>
          <w:szCs w:val="22"/>
          <w:lang w:eastAsia="es-AR"/>
        </w:rPr>
        <w:t>ON</w:t>
      </w:r>
      <w:r>
        <w:rPr>
          <w:rFonts w:eastAsia="Wingdings"/>
          <w:sz w:val="22"/>
          <w:szCs w:val="22"/>
          <w:lang w:eastAsia="es-AR"/>
        </w:rPr>
        <w:t xml:space="preserve"> Serie II</w:t>
      </w:r>
      <w:r w:rsidRPr="004D1783">
        <w:rPr>
          <w:rFonts w:eastAsia="Wingdings"/>
          <w:sz w:val="22"/>
          <w:szCs w:val="22"/>
          <w:lang w:eastAsia="es-AR"/>
        </w:rPr>
        <w:t xml:space="preserve"> a través del sistema de compensación MAE Clear. </w:t>
      </w:r>
    </w:p>
    <w:p w14:paraId="78E49200" w14:textId="77777777" w:rsidR="002954D1" w:rsidRDefault="002954D1" w:rsidP="002954D1">
      <w:pPr>
        <w:autoSpaceDE w:val="0"/>
        <w:autoSpaceDN w:val="0"/>
        <w:adjustRightInd w:val="0"/>
        <w:jc w:val="both"/>
        <w:rPr>
          <w:rFonts w:eastAsia="Wingdings"/>
          <w:sz w:val="22"/>
          <w:szCs w:val="22"/>
          <w:lang w:eastAsia="es-AR"/>
        </w:rPr>
      </w:pPr>
    </w:p>
    <w:p w14:paraId="73C205DB" w14:textId="6C64F5F6" w:rsidR="002954D1" w:rsidRDefault="002954D1" w:rsidP="002954D1">
      <w:pPr>
        <w:autoSpaceDE w:val="0"/>
        <w:autoSpaceDN w:val="0"/>
        <w:adjustRightInd w:val="0"/>
        <w:jc w:val="both"/>
        <w:rPr>
          <w:rFonts w:eastAsia="Wingdings"/>
          <w:sz w:val="22"/>
          <w:szCs w:val="22"/>
          <w:lang w:eastAsia="es-AR"/>
        </w:rPr>
      </w:pPr>
      <w:r w:rsidRPr="00760E2E">
        <w:rPr>
          <w:rFonts w:eastAsia="Wingdings"/>
          <w:sz w:val="22"/>
          <w:szCs w:val="22"/>
          <w:lang w:eastAsia="es-AR"/>
        </w:rPr>
        <w:t xml:space="preserve">En tal sentido, cada uno de los inversores y Agentes Habilitados deberá causar que una cantidad de pesos o Dólares, según corresponda, suficiente para cubrir el valor nominal que le fuera adjudicado de la ON Serie II </w:t>
      </w:r>
      <w:r w:rsidR="00A65DC7">
        <w:rPr>
          <w:rFonts w:eastAsia="Wingdings"/>
          <w:sz w:val="22"/>
          <w:szCs w:val="22"/>
          <w:lang w:eastAsia="es-AR"/>
        </w:rPr>
        <w:t>según corresp</w:t>
      </w:r>
      <w:r w:rsidRPr="00760E2E">
        <w:rPr>
          <w:rFonts w:eastAsia="Wingdings"/>
          <w:sz w:val="22"/>
          <w:szCs w:val="22"/>
          <w:lang w:eastAsia="es-AR"/>
        </w:rPr>
        <w:t>onda, (el “Monto a Integrar”) se encuentre disponible en las cuentas de los custodios participantes en el sistema de compensación administrado por MAE Clear indicadas por el Inversor adjudicado y el Agente Habilitado adjudicado, a más tardar a las 14 horas de la Fecha de Emisión</w:t>
      </w:r>
      <w:r w:rsidR="006C6BF4">
        <w:rPr>
          <w:rFonts w:eastAsia="Wingdings"/>
          <w:sz w:val="22"/>
          <w:szCs w:val="22"/>
          <w:lang w:eastAsia="es-AR"/>
        </w:rPr>
        <w:t xml:space="preserve"> y Liquidación</w:t>
      </w:r>
      <w:r w:rsidRPr="00760E2E">
        <w:rPr>
          <w:rFonts w:eastAsia="Wingdings"/>
          <w:sz w:val="22"/>
          <w:szCs w:val="22"/>
          <w:lang w:eastAsia="es-AR"/>
        </w:rPr>
        <w:t xml:space="preserve">. </w:t>
      </w:r>
    </w:p>
    <w:p w14:paraId="75678623" w14:textId="77777777" w:rsidR="002954D1" w:rsidRPr="00760E2E" w:rsidRDefault="002954D1" w:rsidP="002954D1">
      <w:pPr>
        <w:autoSpaceDE w:val="0"/>
        <w:autoSpaceDN w:val="0"/>
        <w:adjustRightInd w:val="0"/>
        <w:jc w:val="both"/>
        <w:rPr>
          <w:rFonts w:eastAsia="Wingdings"/>
          <w:sz w:val="22"/>
          <w:szCs w:val="22"/>
          <w:lang w:eastAsia="es-AR"/>
        </w:rPr>
      </w:pPr>
    </w:p>
    <w:p w14:paraId="1F91D5FE" w14:textId="5802989D" w:rsidR="002954D1" w:rsidRPr="00760E2E" w:rsidRDefault="002954D1" w:rsidP="002954D1">
      <w:pPr>
        <w:autoSpaceDE w:val="0"/>
        <w:autoSpaceDN w:val="0"/>
        <w:adjustRightInd w:val="0"/>
        <w:jc w:val="both"/>
        <w:rPr>
          <w:rFonts w:eastAsia="Wingdings"/>
          <w:sz w:val="22"/>
          <w:szCs w:val="22"/>
          <w:lang w:eastAsia="es-AR"/>
        </w:rPr>
      </w:pPr>
      <w:r w:rsidRPr="00760E2E">
        <w:rPr>
          <w:rFonts w:eastAsia="Wingdings"/>
          <w:sz w:val="22"/>
          <w:szCs w:val="22"/>
          <w:lang w:eastAsia="es-AR"/>
        </w:rPr>
        <w:t>En la Fecha de Emisión</w:t>
      </w:r>
      <w:r w:rsidR="006C6BF4">
        <w:rPr>
          <w:rFonts w:eastAsia="Wingdings"/>
          <w:sz w:val="22"/>
          <w:szCs w:val="22"/>
          <w:lang w:eastAsia="es-AR"/>
        </w:rPr>
        <w:t xml:space="preserve"> y Liquidación</w:t>
      </w:r>
      <w:r w:rsidRPr="00760E2E">
        <w:rPr>
          <w:rFonts w:eastAsia="Wingdings"/>
          <w:sz w:val="22"/>
          <w:szCs w:val="22"/>
          <w:lang w:eastAsia="es-AR"/>
        </w:rPr>
        <w:t xml:space="preserve">, una vez efectuada la integración de las ON Serie II las mismas serán acreditadas en las cuentas de los custodios participantes en el sistema de compensación administrado por MAE Clear que hubiese indicado el inversor y/o el Agente Habilitado. Asimismo, cada Agente Habilitado deberá de forma inmediata transferir dichas ON Serie II a la cuenta indicada por cada inversor adjudicado en las respectivas órdenes presentadas a través suyo. </w:t>
      </w:r>
    </w:p>
    <w:p w14:paraId="38CB2CB1" w14:textId="77777777" w:rsidR="002954D1" w:rsidRPr="00760E2E" w:rsidRDefault="002954D1" w:rsidP="002954D1">
      <w:pPr>
        <w:autoSpaceDE w:val="0"/>
        <w:autoSpaceDN w:val="0"/>
        <w:adjustRightInd w:val="0"/>
        <w:jc w:val="both"/>
        <w:rPr>
          <w:rFonts w:eastAsia="Wingdings"/>
          <w:i/>
          <w:iCs/>
          <w:sz w:val="22"/>
          <w:szCs w:val="22"/>
          <w:lang w:eastAsia="es-AR"/>
        </w:rPr>
      </w:pPr>
    </w:p>
    <w:p w14:paraId="657E5DB6" w14:textId="77777777" w:rsidR="002954D1" w:rsidRPr="003F7D06" w:rsidRDefault="002954D1" w:rsidP="002954D1">
      <w:pPr>
        <w:autoSpaceDE w:val="0"/>
        <w:autoSpaceDN w:val="0"/>
        <w:adjustRightInd w:val="0"/>
        <w:jc w:val="both"/>
        <w:rPr>
          <w:rFonts w:eastAsia="Wingdings"/>
          <w:iCs/>
          <w:sz w:val="22"/>
          <w:szCs w:val="22"/>
          <w:lang w:eastAsia="es-AR"/>
        </w:rPr>
      </w:pPr>
      <w:r w:rsidRPr="003F7D06">
        <w:rPr>
          <w:rFonts w:eastAsia="Wingdings"/>
          <w:iCs/>
          <w:sz w:val="22"/>
          <w:szCs w:val="22"/>
          <w:lang w:eastAsia="es-AR"/>
        </w:rPr>
        <w:t xml:space="preserve">Colocadores </w:t>
      </w:r>
    </w:p>
    <w:p w14:paraId="3BDE0009" w14:textId="77777777" w:rsidR="002954D1" w:rsidRPr="00760E2E" w:rsidRDefault="002954D1" w:rsidP="002954D1">
      <w:pPr>
        <w:autoSpaceDE w:val="0"/>
        <w:autoSpaceDN w:val="0"/>
        <w:adjustRightInd w:val="0"/>
        <w:jc w:val="both"/>
        <w:rPr>
          <w:rFonts w:eastAsia="Wingdings"/>
          <w:sz w:val="22"/>
          <w:szCs w:val="22"/>
          <w:u w:val="single"/>
          <w:lang w:eastAsia="es-AR"/>
        </w:rPr>
      </w:pPr>
    </w:p>
    <w:p w14:paraId="4EB428D8" w14:textId="77777777" w:rsidR="002954D1" w:rsidRPr="00347266" w:rsidRDefault="002954D1" w:rsidP="002954D1">
      <w:pPr>
        <w:autoSpaceDE w:val="0"/>
        <w:autoSpaceDN w:val="0"/>
        <w:adjustRightInd w:val="0"/>
        <w:jc w:val="both"/>
        <w:rPr>
          <w:rFonts w:eastAsia="Wingdings"/>
          <w:sz w:val="22"/>
          <w:szCs w:val="22"/>
          <w:lang w:val="es-MX" w:eastAsia="es-AR"/>
        </w:rPr>
      </w:pPr>
    </w:p>
    <w:p w14:paraId="708FBC8F" w14:textId="22C8D245" w:rsidR="002954D1" w:rsidRPr="006C5E0F" w:rsidRDefault="002954D1" w:rsidP="002954D1">
      <w:pPr>
        <w:jc w:val="both"/>
        <w:rPr>
          <w:rFonts w:eastAsia="Wingdings"/>
          <w:sz w:val="22"/>
          <w:szCs w:val="22"/>
          <w:lang w:eastAsia="es-AR"/>
        </w:rPr>
      </w:pPr>
      <w:r w:rsidRPr="006C5E0F">
        <w:rPr>
          <w:rFonts w:eastAsia="Wingdings"/>
          <w:sz w:val="22"/>
          <w:szCs w:val="22"/>
          <w:lang w:eastAsia="es-AR"/>
        </w:rPr>
        <w:lastRenderedPageBreak/>
        <w:t>Cada inversor (en el caso de ofertas presentadas a través de los Colocadores) y cada Agente Habilitado (en el caso de ofertas ingresadas por éstos a través del Sistema SIOPEL) que hubiere optado por la suscripción e integración de alguna clase de las ON Serie II a través de los Colocadores y a quien se le hubiere adjudicado cualquier valor nominal de tales títulos, deberá, en la Fecha de Emisión</w:t>
      </w:r>
      <w:r w:rsidR="006C6BF4">
        <w:rPr>
          <w:rFonts w:eastAsia="Wingdings"/>
          <w:sz w:val="22"/>
          <w:szCs w:val="22"/>
          <w:lang w:eastAsia="es-AR"/>
        </w:rPr>
        <w:t xml:space="preserve"> y Liquidación</w:t>
      </w:r>
      <w:r w:rsidRPr="006C5E0F">
        <w:rPr>
          <w:rFonts w:eastAsia="Wingdings"/>
          <w:sz w:val="22"/>
          <w:szCs w:val="22"/>
          <w:lang w:eastAsia="es-AR"/>
        </w:rPr>
        <w:t>, integrar los pesos o Dólares suficientes , según corresponda, para cubrir el correspondiente Monto a Integrar, de la siguiente forma: (i) cada uno de tales inversores deberá pagar el Monto a Integrar respectivo mediante</w:t>
      </w:r>
      <w:r>
        <w:rPr>
          <w:rFonts w:eastAsia="Wingdings"/>
          <w:sz w:val="22"/>
          <w:szCs w:val="22"/>
          <w:lang w:eastAsia="es-AR"/>
        </w:rPr>
        <w:t>:</w:t>
      </w:r>
      <w:r w:rsidRPr="006C5E0F">
        <w:rPr>
          <w:rFonts w:eastAsia="Wingdings"/>
          <w:sz w:val="22"/>
          <w:szCs w:val="22"/>
          <w:lang w:eastAsia="es-AR"/>
        </w:rPr>
        <w:t xml:space="preserve"> (a) transferencia electrónica a una cuenta abierta a nombre del Colocador correspondiente, la cual será informada en la orden, o (b) autorización al Colocador en cuestión para que debite de una o más cuentas de titularidad del inversor las sumas correspondientes; todo ello de acuerdo a las instrucciones consignadas en la orden respectiva; </w:t>
      </w:r>
      <w:r w:rsidRPr="009A0505">
        <w:rPr>
          <w:sz w:val="22"/>
          <w:szCs w:val="22"/>
          <w:lang w:val="es-MX"/>
        </w:rPr>
        <w:t xml:space="preserve"> </w:t>
      </w:r>
      <w:r w:rsidRPr="006C5E0F">
        <w:rPr>
          <w:rFonts w:eastAsia="Wingdings"/>
          <w:sz w:val="22"/>
          <w:szCs w:val="22"/>
          <w:lang w:eastAsia="es-AR"/>
        </w:rPr>
        <w:t>y</w:t>
      </w:r>
      <w:r>
        <w:rPr>
          <w:rFonts w:eastAsia="Wingdings"/>
          <w:sz w:val="22"/>
          <w:szCs w:val="22"/>
          <w:lang w:eastAsia="es-AR"/>
        </w:rPr>
        <w:t>;</w:t>
      </w:r>
      <w:r w:rsidRPr="006C5E0F">
        <w:rPr>
          <w:rFonts w:eastAsia="Wingdings"/>
          <w:sz w:val="22"/>
          <w:szCs w:val="22"/>
          <w:lang w:eastAsia="es-AR"/>
        </w:rPr>
        <w:t xml:space="preserve"> (ii) cada uno de tales Agentes Habilitados deberá pagar el correspondiente Monto a Integrar respectivo mediante transferencia electrónica a la cuenta que el Agente de Liquidación indique hasta las 14 horas de la Fecha de Emisión</w:t>
      </w:r>
      <w:r w:rsidR="006C6BF4">
        <w:rPr>
          <w:rFonts w:eastAsia="Wingdings"/>
          <w:sz w:val="22"/>
          <w:szCs w:val="22"/>
          <w:lang w:eastAsia="es-AR"/>
        </w:rPr>
        <w:t xml:space="preserve"> y Liquidación</w:t>
      </w:r>
      <w:r w:rsidRPr="006C5E0F">
        <w:rPr>
          <w:rFonts w:eastAsia="Wingdings"/>
          <w:sz w:val="22"/>
          <w:szCs w:val="22"/>
          <w:lang w:eastAsia="es-AR"/>
        </w:rPr>
        <w:t xml:space="preserve">. El incumplimiento por parte de cualquier inversor de su obligación de pagar el Monto a Integrar aplicable a los Agentes Habilitados que correspondieran no liberará a dichos Agentes Habilitados de su obligación de integrar el valor nominal de las ON Serie II solicitado en las correspondientes ofertas que le hubiere sido adjudicado. </w:t>
      </w:r>
    </w:p>
    <w:p w14:paraId="5541AED6" w14:textId="77777777" w:rsidR="002954D1" w:rsidRPr="009A0505" w:rsidRDefault="002954D1" w:rsidP="002954D1">
      <w:pPr>
        <w:jc w:val="both"/>
        <w:rPr>
          <w:rFonts w:eastAsia="Wingdings"/>
          <w:sz w:val="22"/>
          <w:szCs w:val="22"/>
          <w:highlight w:val="yellow"/>
          <w:lang w:eastAsia="es-AR"/>
        </w:rPr>
      </w:pPr>
    </w:p>
    <w:p w14:paraId="53DD2F5E" w14:textId="186C2739" w:rsidR="002954D1" w:rsidRDefault="002954D1" w:rsidP="002954D1">
      <w:pPr>
        <w:autoSpaceDE w:val="0"/>
        <w:autoSpaceDN w:val="0"/>
        <w:adjustRightInd w:val="0"/>
        <w:jc w:val="both"/>
        <w:rPr>
          <w:rFonts w:eastAsia="Wingdings"/>
          <w:sz w:val="22"/>
          <w:szCs w:val="22"/>
          <w:lang w:eastAsia="es-AR"/>
        </w:rPr>
      </w:pPr>
      <w:r w:rsidRPr="00462704">
        <w:rPr>
          <w:rFonts w:eastAsia="Wingdings"/>
          <w:sz w:val="22"/>
          <w:szCs w:val="22"/>
          <w:lang w:eastAsia="es-AR"/>
        </w:rPr>
        <w:t>En la Fecha de Emisión</w:t>
      </w:r>
      <w:r w:rsidR="006C6BF4">
        <w:rPr>
          <w:rFonts w:eastAsia="Wingdings"/>
          <w:sz w:val="22"/>
          <w:szCs w:val="22"/>
          <w:lang w:eastAsia="es-AR"/>
        </w:rPr>
        <w:t xml:space="preserve"> y Liquidación</w:t>
      </w:r>
      <w:r w:rsidRPr="00462704">
        <w:rPr>
          <w:rFonts w:eastAsia="Wingdings"/>
          <w:sz w:val="22"/>
          <w:szCs w:val="22"/>
          <w:lang w:eastAsia="es-AR"/>
        </w:rPr>
        <w:t>, una vez efectuada la integración de las ON Serie II, las mismas serán acreditadas en la cuentas depositante y comitente en Caja de Valores indicadas en las correspondientes órdenes presentadas por inversores que las hubieren cursado a través de los Colocadores o por Agentes Habilitados que hubieren ingresado sus ofertas a través del Sistema SIOPEL. Los Agentes Habilitados que hayan recibido ON Serie II en virtud de ofertas presentadas como consecuencia de la recepción de órdenes de parte de inversores deberán transferir los títulos aplicables en forma inmediata a los mismos.</w:t>
      </w:r>
      <w:r w:rsidRPr="006C5E0F">
        <w:rPr>
          <w:rFonts w:eastAsia="Wingdings"/>
          <w:sz w:val="22"/>
          <w:szCs w:val="22"/>
          <w:lang w:eastAsia="es-AR"/>
        </w:rPr>
        <w:t xml:space="preserve"> </w:t>
      </w:r>
    </w:p>
    <w:p w14:paraId="676F0B01" w14:textId="77777777" w:rsidR="002954D1" w:rsidRPr="006C5E0F" w:rsidRDefault="002954D1" w:rsidP="002954D1">
      <w:pPr>
        <w:autoSpaceDE w:val="0"/>
        <w:autoSpaceDN w:val="0"/>
        <w:adjustRightInd w:val="0"/>
        <w:jc w:val="both"/>
        <w:rPr>
          <w:rFonts w:eastAsia="Wingdings"/>
          <w:sz w:val="22"/>
          <w:szCs w:val="22"/>
          <w:lang w:eastAsia="es-AR"/>
        </w:rPr>
      </w:pPr>
    </w:p>
    <w:p w14:paraId="2A0607BF" w14:textId="77777777" w:rsidR="002954D1" w:rsidRDefault="002954D1" w:rsidP="002954D1">
      <w:pPr>
        <w:autoSpaceDE w:val="0"/>
        <w:autoSpaceDN w:val="0"/>
        <w:adjustRightInd w:val="0"/>
        <w:jc w:val="both"/>
        <w:rPr>
          <w:rFonts w:eastAsia="Wingdings"/>
          <w:sz w:val="22"/>
          <w:szCs w:val="22"/>
          <w:lang w:eastAsia="es-AR"/>
        </w:rPr>
      </w:pPr>
      <w:r w:rsidRPr="00760E2E">
        <w:rPr>
          <w:rFonts w:eastAsia="Wingdings"/>
          <w:sz w:val="22"/>
          <w:szCs w:val="22"/>
          <w:lang w:eastAsia="es-AR"/>
        </w:rPr>
        <w:t xml:space="preserve">Los Colocadores se reservan el derecho de rechazar y tener por no integradas todas las ofertas adjudicadas que los inversores hubiesen cursado a través de un Agente Habilitado si no hubiesen sido integradas conforme con el procedimiento descripto. En dicho caso, los rechazos no darán derecho a reclamo alguno contra el Emisor ni contra los Colocadores. </w:t>
      </w:r>
    </w:p>
    <w:p w14:paraId="4463F0D2" w14:textId="77777777" w:rsidR="002954D1" w:rsidRPr="004D1783" w:rsidRDefault="002954D1" w:rsidP="002954D1">
      <w:pPr>
        <w:autoSpaceDE w:val="0"/>
        <w:autoSpaceDN w:val="0"/>
        <w:adjustRightInd w:val="0"/>
        <w:jc w:val="both"/>
        <w:rPr>
          <w:rFonts w:eastAsia="Wingdings"/>
          <w:sz w:val="22"/>
          <w:szCs w:val="22"/>
          <w:lang w:eastAsia="es-AR"/>
        </w:rPr>
      </w:pPr>
    </w:p>
    <w:p w14:paraId="491A783D" w14:textId="36C618BA" w:rsidR="002954D1" w:rsidRPr="004D1783" w:rsidRDefault="002954D1" w:rsidP="002954D1">
      <w:pPr>
        <w:autoSpaceDE w:val="0"/>
        <w:autoSpaceDN w:val="0"/>
        <w:adjustRightInd w:val="0"/>
        <w:jc w:val="both"/>
        <w:rPr>
          <w:rFonts w:eastAsia="Wingdings"/>
          <w:sz w:val="22"/>
          <w:szCs w:val="22"/>
          <w:lang w:eastAsia="es-AR"/>
        </w:rPr>
      </w:pPr>
      <w:r w:rsidRPr="004D1783">
        <w:rPr>
          <w:rFonts w:eastAsia="Wingdings"/>
          <w:sz w:val="22"/>
          <w:szCs w:val="22"/>
          <w:lang w:eastAsia="es-AR"/>
        </w:rPr>
        <w:t>Efectuada la integración, por el 100% del Monto a Integrar conforme fuera detallado, en la Fecha de Emisión</w:t>
      </w:r>
      <w:r w:rsidR="006C6BF4">
        <w:rPr>
          <w:rFonts w:eastAsia="Wingdings"/>
          <w:sz w:val="22"/>
          <w:szCs w:val="22"/>
          <w:lang w:eastAsia="es-AR"/>
        </w:rPr>
        <w:t xml:space="preserve"> y Liquidación</w:t>
      </w:r>
      <w:r w:rsidRPr="004D1783">
        <w:rPr>
          <w:rFonts w:eastAsia="Wingdings"/>
          <w:sz w:val="22"/>
          <w:szCs w:val="22"/>
          <w:lang w:eastAsia="es-AR"/>
        </w:rPr>
        <w:t>, el Agente de Liquidación (i) transferirá las ON</w:t>
      </w:r>
      <w:r>
        <w:rPr>
          <w:rFonts w:eastAsia="Wingdings"/>
          <w:sz w:val="22"/>
          <w:szCs w:val="22"/>
          <w:lang w:eastAsia="es-AR"/>
        </w:rPr>
        <w:t xml:space="preserve"> Serie II</w:t>
      </w:r>
      <w:r w:rsidRPr="004D1783">
        <w:rPr>
          <w:rFonts w:eastAsia="Wingdings"/>
          <w:sz w:val="22"/>
          <w:szCs w:val="22"/>
          <w:lang w:eastAsia="es-AR"/>
        </w:rPr>
        <w:t xml:space="preserve"> objeto de las </w:t>
      </w:r>
      <w:r>
        <w:rPr>
          <w:rFonts w:eastAsia="Wingdings"/>
          <w:sz w:val="22"/>
          <w:szCs w:val="22"/>
          <w:lang w:eastAsia="es-AR"/>
        </w:rPr>
        <w:t>o</w:t>
      </w:r>
      <w:r w:rsidRPr="004D1783">
        <w:rPr>
          <w:rFonts w:eastAsia="Wingdings"/>
          <w:sz w:val="22"/>
          <w:szCs w:val="22"/>
          <w:lang w:eastAsia="es-AR"/>
        </w:rPr>
        <w:t xml:space="preserve">fertas adjudicadas que los </w:t>
      </w:r>
      <w:r>
        <w:rPr>
          <w:rFonts w:eastAsia="Wingdings"/>
          <w:sz w:val="22"/>
          <w:szCs w:val="22"/>
          <w:lang w:eastAsia="es-AR"/>
        </w:rPr>
        <w:t>i</w:t>
      </w:r>
      <w:r w:rsidRPr="004D1783">
        <w:rPr>
          <w:rFonts w:eastAsia="Wingdings"/>
          <w:sz w:val="22"/>
          <w:szCs w:val="22"/>
          <w:lang w:eastAsia="es-AR"/>
        </w:rPr>
        <w:t xml:space="preserve">nversores hubiesen cursado a través de él, a las cuentas en Caja de Valores de dichos </w:t>
      </w:r>
      <w:r>
        <w:rPr>
          <w:rFonts w:eastAsia="Wingdings"/>
          <w:sz w:val="22"/>
          <w:szCs w:val="22"/>
          <w:lang w:eastAsia="es-AR"/>
        </w:rPr>
        <w:t>i</w:t>
      </w:r>
      <w:r w:rsidRPr="004D1783">
        <w:rPr>
          <w:rFonts w:eastAsia="Wingdings"/>
          <w:sz w:val="22"/>
          <w:szCs w:val="22"/>
          <w:lang w:eastAsia="es-AR"/>
        </w:rPr>
        <w:t>nversores; y (ii) transferirá a las cuentas en Caja de Valores de</w:t>
      </w:r>
      <w:r>
        <w:rPr>
          <w:rFonts w:eastAsia="Wingdings"/>
          <w:sz w:val="22"/>
          <w:szCs w:val="22"/>
          <w:lang w:eastAsia="es-AR"/>
        </w:rPr>
        <w:t xml:space="preserve"> los</w:t>
      </w:r>
      <w:r w:rsidRPr="004D1783">
        <w:rPr>
          <w:rFonts w:eastAsia="Wingdings"/>
          <w:sz w:val="22"/>
          <w:szCs w:val="22"/>
          <w:lang w:eastAsia="es-AR"/>
        </w:rPr>
        <w:t xml:space="preserve"> Colocador</w:t>
      </w:r>
      <w:r>
        <w:rPr>
          <w:rFonts w:eastAsia="Wingdings"/>
          <w:sz w:val="22"/>
          <w:szCs w:val="22"/>
          <w:lang w:eastAsia="es-AR"/>
        </w:rPr>
        <w:t>es</w:t>
      </w:r>
      <w:r w:rsidRPr="004D1783">
        <w:rPr>
          <w:rFonts w:eastAsia="Wingdings"/>
          <w:sz w:val="22"/>
          <w:szCs w:val="22"/>
          <w:lang w:eastAsia="es-AR"/>
        </w:rPr>
        <w:t xml:space="preserve"> y de cada Agente Habilitado, las ON</w:t>
      </w:r>
      <w:r>
        <w:rPr>
          <w:rFonts w:eastAsia="Wingdings"/>
          <w:sz w:val="22"/>
          <w:szCs w:val="22"/>
          <w:lang w:eastAsia="es-AR"/>
        </w:rPr>
        <w:t xml:space="preserve"> Serie II</w:t>
      </w:r>
      <w:r w:rsidRPr="004D1783">
        <w:rPr>
          <w:rFonts w:eastAsia="Wingdings"/>
          <w:sz w:val="22"/>
          <w:szCs w:val="22"/>
          <w:lang w:eastAsia="es-AR"/>
        </w:rPr>
        <w:t xml:space="preserve"> objeto de las </w:t>
      </w:r>
      <w:r>
        <w:rPr>
          <w:rFonts w:eastAsia="Wingdings"/>
          <w:sz w:val="22"/>
          <w:szCs w:val="22"/>
          <w:lang w:eastAsia="es-AR"/>
        </w:rPr>
        <w:t>o</w:t>
      </w:r>
      <w:r w:rsidRPr="004D1783">
        <w:rPr>
          <w:rFonts w:eastAsia="Wingdings"/>
          <w:sz w:val="22"/>
          <w:szCs w:val="22"/>
          <w:lang w:eastAsia="es-AR"/>
        </w:rPr>
        <w:t xml:space="preserve">fertas adjudicadas que los </w:t>
      </w:r>
      <w:r>
        <w:rPr>
          <w:rFonts w:eastAsia="Wingdings"/>
          <w:sz w:val="22"/>
          <w:szCs w:val="22"/>
          <w:lang w:eastAsia="es-AR"/>
        </w:rPr>
        <w:t>i</w:t>
      </w:r>
      <w:r w:rsidRPr="004D1783">
        <w:rPr>
          <w:rFonts w:eastAsia="Wingdings"/>
          <w:sz w:val="22"/>
          <w:szCs w:val="22"/>
          <w:lang w:eastAsia="es-AR"/>
        </w:rPr>
        <w:t>nversores hubiesen cursado a través del Colocador y de los Agentes Habilitados, según sea el caso. Una vez recibidas por l</w:t>
      </w:r>
      <w:r>
        <w:rPr>
          <w:rFonts w:eastAsia="Wingdings"/>
          <w:sz w:val="22"/>
          <w:szCs w:val="22"/>
          <w:lang w:eastAsia="es-AR"/>
        </w:rPr>
        <w:t>os</w:t>
      </w:r>
      <w:r w:rsidRPr="004D1783">
        <w:rPr>
          <w:rFonts w:eastAsia="Wingdings"/>
          <w:sz w:val="22"/>
          <w:szCs w:val="22"/>
          <w:lang w:eastAsia="es-AR"/>
        </w:rPr>
        <w:t xml:space="preserve"> Colocador</w:t>
      </w:r>
      <w:r>
        <w:rPr>
          <w:rFonts w:eastAsia="Wingdings"/>
          <w:sz w:val="22"/>
          <w:szCs w:val="22"/>
          <w:lang w:eastAsia="es-AR"/>
        </w:rPr>
        <w:t>es</w:t>
      </w:r>
      <w:r w:rsidRPr="004D1783">
        <w:rPr>
          <w:rFonts w:eastAsia="Wingdings"/>
          <w:sz w:val="22"/>
          <w:szCs w:val="22"/>
          <w:lang w:eastAsia="es-AR"/>
        </w:rPr>
        <w:t xml:space="preserve"> y los Agentes Habilitados, según sea el caso, las correspondientes ON</w:t>
      </w:r>
      <w:r>
        <w:rPr>
          <w:rFonts w:eastAsia="Wingdings"/>
          <w:sz w:val="22"/>
          <w:szCs w:val="22"/>
          <w:lang w:eastAsia="es-AR"/>
        </w:rPr>
        <w:t xml:space="preserve"> Serie II</w:t>
      </w:r>
      <w:r w:rsidRPr="004D1783">
        <w:rPr>
          <w:rFonts w:eastAsia="Wingdings"/>
          <w:sz w:val="22"/>
          <w:szCs w:val="22"/>
          <w:lang w:eastAsia="es-AR"/>
        </w:rPr>
        <w:t>, en la Fecha de Emisión</w:t>
      </w:r>
      <w:r w:rsidR="006C6BF4">
        <w:rPr>
          <w:rFonts w:eastAsia="Wingdings"/>
          <w:sz w:val="22"/>
          <w:szCs w:val="22"/>
          <w:lang w:eastAsia="es-AR"/>
        </w:rPr>
        <w:t xml:space="preserve"> y _Liquidación </w:t>
      </w:r>
      <w:r w:rsidRPr="004D1783">
        <w:rPr>
          <w:rFonts w:eastAsia="Wingdings"/>
          <w:sz w:val="22"/>
          <w:szCs w:val="22"/>
          <w:lang w:eastAsia="es-AR"/>
        </w:rPr>
        <w:t>l</w:t>
      </w:r>
      <w:r>
        <w:rPr>
          <w:rFonts w:eastAsia="Wingdings"/>
          <w:sz w:val="22"/>
          <w:szCs w:val="22"/>
          <w:lang w:eastAsia="es-AR"/>
        </w:rPr>
        <w:t>os</w:t>
      </w:r>
      <w:r w:rsidRPr="004D1783">
        <w:rPr>
          <w:rFonts w:eastAsia="Wingdings"/>
          <w:sz w:val="22"/>
          <w:szCs w:val="22"/>
          <w:lang w:eastAsia="es-AR"/>
        </w:rPr>
        <w:t xml:space="preserve"> Colocador</w:t>
      </w:r>
      <w:r>
        <w:rPr>
          <w:rFonts w:eastAsia="Wingdings"/>
          <w:sz w:val="22"/>
          <w:szCs w:val="22"/>
          <w:lang w:eastAsia="es-AR"/>
        </w:rPr>
        <w:t>es</w:t>
      </w:r>
      <w:r w:rsidRPr="004D1783">
        <w:rPr>
          <w:rFonts w:eastAsia="Wingdings"/>
          <w:sz w:val="22"/>
          <w:szCs w:val="22"/>
          <w:lang w:eastAsia="es-AR"/>
        </w:rPr>
        <w:t xml:space="preserve"> y los Agentes Habilitados, según sea el caso y bajo su exclusiva responsabilidad, deberán transferir dichas ON</w:t>
      </w:r>
      <w:r>
        <w:rPr>
          <w:rFonts w:eastAsia="Wingdings"/>
          <w:sz w:val="22"/>
          <w:szCs w:val="22"/>
          <w:lang w:eastAsia="es-AR"/>
        </w:rPr>
        <w:t xml:space="preserve"> Seri</w:t>
      </w:r>
      <w:r w:rsidRPr="004D1783">
        <w:rPr>
          <w:rFonts w:eastAsia="Wingdings"/>
          <w:sz w:val="22"/>
          <w:szCs w:val="22"/>
          <w:lang w:eastAsia="es-AR"/>
        </w:rPr>
        <w:t>e</w:t>
      </w:r>
      <w:r>
        <w:rPr>
          <w:rFonts w:eastAsia="Wingdings"/>
          <w:sz w:val="22"/>
          <w:szCs w:val="22"/>
          <w:lang w:eastAsia="es-AR"/>
        </w:rPr>
        <w:t xml:space="preserve"> II</w:t>
      </w:r>
      <w:r w:rsidRPr="004D1783">
        <w:rPr>
          <w:rFonts w:eastAsia="Wingdings"/>
          <w:sz w:val="22"/>
          <w:szCs w:val="22"/>
          <w:lang w:eastAsia="es-AR"/>
        </w:rPr>
        <w:t xml:space="preserve"> a las cuentas en Caja de Valores de tales </w:t>
      </w:r>
      <w:r w:rsidRPr="00760E2E">
        <w:rPr>
          <w:rFonts w:eastAsia="Wingdings"/>
          <w:sz w:val="22"/>
          <w:szCs w:val="22"/>
          <w:lang w:eastAsia="es-AR"/>
        </w:rPr>
        <w:t>Inversores.</w:t>
      </w:r>
    </w:p>
    <w:p w14:paraId="17838EBC" w14:textId="77777777" w:rsidR="002954D1" w:rsidRPr="004D1783" w:rsidRDefault="002954D1" w:rsidP="002954D1">
      <w:pPr>
        <w:autoSpaceDE w:val="0"/>
        <w:autoSpaceDN w:val="0"/>
        <w:adjustRightInd w:val="0"/>
        <w:jc w:val="both"/>
        <w:rPr>
          <w:rFonts w:eastAsia="Wingdings"/>
          <w:iCs/>
          <w:sz w:val="22"/>
          <w:szCs w:val="22"/>
          <w:lang w:eastAsia="es-AR"/>
        </w:rPr>
      </w:pPr>
    </w:p>
    <w:p w14:paraId="2D077C38" w14:textId="77777777" w:rsidR="002954D1" w:rsidRPr="003F7D06" w:rsidRDefault="002954D1" w:rsidP="002954D1">
      <w:pPr>
        <w:autoSpaceDE w:val="0"/>
        <w:autoSpaceDN w:val="0"/>
        <w:adjustRightInd w:val="0"/>
        <w:jc w:val="both"/>
        <w:rPr>
          <w:rFonts w:eastAsia="Wingdings"/>
          <w:iCs/>
          <w:sz w:val="22"/>
          <w:szCs w:val="22"/>
          <w:lang w:eastAsia="es-AR"/>
        </w:rPr>
      </w:pPr>
      <w:r w:rsidRPr="003F7D06">
        <w:rPr>
          <w:rFonts w:eastAsia="Wingdings"/>
          <w:iCs/>
          <w:sz w:val="22"/>
          <w:szCs w:val="22"/>
          <w:lang w:eastAsia="es-AR"/>
        </w:rPr>
        <w:t xml:space="preserve">Incumplimientos </w:t>
      </w:r>
    </w:p>
    <w:p w14:paraId="1335337C" w14:textId="77777777" w:rsidR="002954D1" w:rsidRPr="004D1783" w:rsidRDefault="002954D1" w:rsidP="002954D1">
      <w:pPr>
        <w:autoSpaceDE w:val="0"/>
        <w:autoSpaceDN w:val="0"/>
        <w:adjustRightInd w:val="0"/>
        <w:jc w:val="both"/>
        <w:rPr>
          <w:rFonts w:eastAsia="Wingdings"/>
          <w:sz w:val="22"/>
          <w:szCs w:val="22"/>
          <w:lang w:eastAsia="es-AR"/>
        </w:rPr>
      </w:pPr>
    </w:p>
    <w:p w14:paraId="7B04C5EE" w14:textId="7B1015F9" w:rsidR="002954D1" w:rsidRDefault="002954D1" w:rsidP="002954D1">
      <w:pPr>
        <w:autoSpaceDE w:val="0"/>
        <w:autoSpaceDN w:val="0"/>
        <w:adjustRightInd w:val="0"/>
        <w:jc w:val="both"/>
        <w:rPr>
          <w:rFonts w:eastAsia="Wingdings"/>
          <w:sz w:val="22"/>
          <w:szCs w:val="22"/>
          <w:lang w:eastAsia="es-AR"/>
        </w:rPr>
      </w:pPr>
      <w:r w:rsidRPr="00760E2E">
        <w:rPr>
          <w:rFonts w:eastAsia="Wingdings"/>
          <w:sz w:val="22"/>
          <w:szCs w:val="22"/>
          <w:lang w:eastAsia="es-AR"/>
        </w:rPr>
        <w:t>En caso que cualquiera de las ofertas adjudicadas no sean integradas en o antes de las 14 horas de la Fecha de Emisión</w:t>
      </w:r>
      <w:r w:rsidR="006C6BF4">
        <w:rPr>
          <w:rFonts w:eastAsia="Wingdings"/>
          <w:sz w:val="22"/>
          <w:szCs w:val="22"/>
          <w:lang w:eastAsia="es-AR"/>
        </w:rPr>
        <w:t xml:space="preserve"> y Liquidación</w:t>
      </w:r>
      <w:r w:rsidRPr="00760E2E">
        <w:rPr>
          <w:rFonts w:eastAsia="Wingdings"/>
          <w:sz w:val="22"/>
          <w:szCs w:val="22"/>
          <w:lang w:eastAsia="es-AR"/>
        </w:rPr>
        <w:t>, el Agente de Liquidación procederá según las instrucciones que le imparta el Emisor (que podrán incluir, entre otras, la pérdida por parte de los incumplidores, del derecho de suscribir las ON Serie II en cuestión y su consiguiente cancelación sin necesidad de otorgarle la posibilidad de remediar su incumplimiento ni de notificar la decisión de proceder a la cancelación), sin perjuicio de que dicha circunstancia no generará responsabilidad alguna al Emisor y/o a los Colocadores y/o al Agente de Liquidación, ni otorgará a los Agentes Habilitados que hayan ingresado las correspondientes ofertas (y/o a los inversores que hayan presentado a los mismos las correspondientes órdenes) y que no hayan integrado totalmente las ON Serie II adjudicadas antes de las 14 horas de la Fecha de Emisión</w:t>
      </w:r>
      <w:r w:rsidR="006C6BF4">
        <w:rPr>
          <w:rFonts w:eastAsia="Wingdings"/>
          <w:sz w:val="22"/>
          <w:szCs w:val="22"/>
          <w:lang w:eastAsia="es-AR"/>
        </w:rPr>
        <w:t xml:space="preserve"> y Liquidación</w:t>
      </w:r>
      <w:r w:rsidRPr="00760E2E">
        <w:rPr>
          <w:rFonts w:eastAsia="Wingdings"/>
          <w:sz w:val="22"/>
          <w:szCs w:val="22"/>
          <w:lang w:eastAsia="es-AR"/>
        </w:rPr>
        <w:t xml:space="preserve">, derecho a compensación y/o indemnización alguna, y sin perjuicio, asimismo, de la responsabilidad de los incumplidores por los daños y perjuicios que su incumplimiento ocasione al Emisor y/o a los Colocadores. </w:t>
      </w:r>
    </w:p>
    <w:p w14:paraId="012A29E9" w14:textId="77777777" w:rsidR="002954D1" w:rsidRPr="004D1783" w:rsidRDefault="002954D1" w:rsidP="002954D1">
      <w:pPr>
        <w:autoSpaceDE w:val="0"/>
        <w:autoSpaceDN w:val="0"/>
        <w:adjustRightInd w:val="0"/>
        <w:jc w:val="both"/>
        <w:rPr>
          <w:rFonts w:eastAsia="Wingdings"/>
          <w:sz w:val="22"/>
          <w:szCs w:val="22"/>
          <w:lang w:eastAsia="es-AR"/>
        </w:rPr>
      </w:pPr>
    </w:p>
    <w:p w14:paraId="4996793B" w14:textId="77777777" w:rsidR="002954D1" w:rsidRPr="00760E2E" w:rsidRDefault="002954D1" w:rsidP="00B92136">
      <w:pPr>
        <w:rPr>
          <w:rFonts w:eastAsia="Wingdings"/>
          <w:sz w:val="22"/>
          <w:szCs w:val="22"/>
          <w:lang w:eastAsia="es-AR"/>
        </w:rPr>
      </w:pPr>
      <w:r>
        <w:rPr>
          <w:rFonts w:eastAsia="Wingdings"/>
          <w:sz w:val="22"/>
          <w:szCs w:val="22"/>
          <w:lang w:eastAsia="es-AR"/>
        </w:rPr>
        <w:t>Los</w:t>
      </w:r>
      <w:r w:rsidRPr="004D1783">
        <w:rPr>
          <w:rFonts w:eastAsia="Wingdings"/>
          <w:sz w:val="22"/>
          <w:szCs w:val="22"/>
          <w:lang w:eastAsia="es-AR"/>
        </w:rPr>
        <w:t xml:space="preserve"> Colocador</w:t>
      </w:r>
      <w:r>
        <w:rPr>
          <w:rFonts w:eastAsia="Wingdings"/>
          <w:sz w:val="22"/>
          <w:szCs w:val="22"/>
          <w:lang w:eastAsia="es-AR"/>
        </w:rPr>
        <w:t>es</w:t>
      </w:r>
      <w:r w:rsidRPr="004D1783">
        <w:rPr>
          <w:rFonts w:eastAsia="Wingdings"/>
          <w:sz w:val="22"/>
          <w:szCs w:val="22"/>
          <w:lang w:eastAsia="es-AR"/>
        </w:rPr>
        <w:t xml:space="preserve"> y los Agentes Habilitados tendrán la facultad, pero no la obligación, de solicitar garantías u otros recaudos que aseguren la integración de las </w:t>
      </w:r>
      <w:r w:rsidRPr="00760E2E">
        <w:rPr>
          <w:rFonts w:eastAsia="Wingdings"/>
          <w:sz w:val="22"/>
          <w:szCs w:val="22"/>
          <w:lang w:eastAsia="es-AR"/>
        </w:rPr>
        <w:t xml:space="preserve">órdenes realizadas por los inversores, cuando así lo consideren necesario, respetándose siempre las condiciones de igualdad con los otros inversores. </w:t>
      </w:r>
      <w:r w:rsidRPr="004D1783">
        <w:rPr>
          <w:rFonts w:eastAsia="Wingdings"/>
          <w:sz w:val="22"/>
          <w:szCs w:val="22"/>
          <w:lang w:eastAsia="es-AR"/>
        </w:rPr>
        <w:t>Por lo tanto, si l</w:t>
      </w:r>
      <w:r>
        <w:rPr>
          <w:rFonts w:eastAsia="Wingdings"/>
          <w:sz w:val="22"/>
          <w:szCs w:val="22"/>
          <w:lang w:eastAsia="es-AR"/>
        </w:rPr>
        <w:t>os</w:t>
      </w:r>
      <w:r w:rsidRPr="004D1783">
        <w:rPr>
          <w:rFonts w:eastAsia="Wingdings"/>
          <w:sz w:val="22"/>
          <w:szCs w:val="22"/>
          <w:lang w:eastAsia="es-AR"/>
        </w:rPr>
        <w:t xml:space="preserve"> Colocador</w:t>
      </w:r>
      <w:r>
        <w:rPr>
          <w:rFonts w:eastAsia="Wingdings"/>
          <w:sz w:val="22"/>
          <w:szCs w:val="22"/>
          <w:lang w:eastAsia="es-AR"/>
        </w:rPr>
        <w:t>es</w:t>
      </w:r>
      <w:r w:rsidRPr="004D1783">
        <w:rPr>
          <w:rFonts w:eastAsia="Wingdings"/>
          <w:sz w:val="22"/>
          <w:szCs w:val="22"/>
          <w:lang w:eastAsia="es-AR"/>
        </w:rPr>
        <w:t xml:space="preserve"> y/o los Agentes Habilitados resolvieran solicitar garantías que aseguren la integración de las </w:t>
      </w:r>
      <w:r>
        <w:rPr>
          <w:rFonts w:eastAsia="Wingdings"/>
          <w:sz w:val="22"/>
          <w:szCs w:val="22"/>
          <w:lang w:eastAsia="es-AR"/>
        </w:rPr>
        <w:t>ó</w:t>
      </w:r>
      <w:r w:rsidRPr="004D1783">
        <w:rPr>
          <w:rFonts w:eastAsia="Wingdings"/>
          <w:sz w:val="22"/>
          <w:szCs w:val="22"/>
          <w:lang w:eastAsia="es-AR"/>
        </w:rPr>
        <w:t xml:space="preserve">rdenes realizadas por los </w:t>
      </w:r>
      <w:r>
        <w:rPr>
          <w:rFonts w:eastAsia="Wingdings"/>
          <w:sz w:val="22"/>
          <w:szCs w:val="22"/>
          <w:lang w:eastAsia="es-AR"/>
        </w:rPr>
        <w:t>i</w:t>
      </w:r>
      <w:r w:rsidRPr="004D1783">
        <w:rPr>
          <w:rFonts w:eastAsia="Wingdings"/>
          <w:sz w:val="22"/>
          <w:szCs w:val="22"/>
          <w:lang w:eastAsia="es-AR"/>
        </w:rPr>
        <w:t xml:space="preserve">nversores y estos últimos no dieran cumplimiento con lo </w:t>
      </w:r>
      <w:r w:rsidRPr="004D1783">
        <w:rPr>
          <w:rFonts w:eastAsia="Wingdings"/>
          <w:sz w:val="22"/>
          <w:szCs w:val="22"/>
          <w:lang w:eastAsia="es-AR"/>
        </w:rPr>
        <w:lastRenderedPageBreak/>
        <w:t>requerido, l</w:t>
      </w:r>
      <w:r>
        <w:rPr>
          <w:rFonts w:eastAsia="Wingdings"/>
          <w:sz w:val="22"/>
          <w:szCs w:val="22"/>
          <w:lang w:eastAsia="es-AR"/>
        </w:rPr>
        <w:t>os</w:t>
      </w:r>
      <w:r w:rsidRPr="004D1783">
        <w:rPr>
          <w:rFonts w:eastAsia="Wingdings"/>
          <w:sz w:val="22"/>
          <w:szCs w:val="22"/>
          <w:lang w:eastAsia="es-AR"/>
        </w:rPr>
        <w:t xml:space="preserve"> Colocador</w:t>
      </w:r>
      <w:r>
        <w:rPr>
          <w:rFonts w:eastAsia="Wingdings"/>
          <w:sz w:val="22"/>
          <w:szCs w:val="22"/>
          <w:lang w:eastAsia="es-AR"/>
        </w:rPr>
        <w:t>es</w:t>
      </w:r>
      <w:r w:rsidRPr="004D1783">
        <w:rPr>
          <w:rFonts w:eastAsia="Wingdings"/>
          <w:sz w:val="22"/>
          <w:szCs w:val="22"/>
          <w:lang w:eastAsia="es-AR"/>
        </w:rPr>
        <w:t xml:space="preserve"> o dichos Agentes Habilitados, según corresponda, podrán, a su exclusivo criterio, tener la </w:t>
      </w:r>
      <w:r>
        <w:rPr>
          <w:rFonts w:eastAsia="Wingdings"/>
          <w:sz w:val="22"/>
          <w:szCs w:val="22"/>
          <w:lang w:eastAsia="es-AR"/>
        </w:rPr>
        <w:t>o</w:t>
      </w:r>
      <w:r w:rsidRPr="004D1783">
        <w:rPr>
          <w:rFonts w:eastAsia="Wingdings"/>
          <w:sz w:val="22"/>
          <w:szCs w:val="22"/>
          <w:lang w:eastAsia="es-AR"/>
        </w:rPr>
        <w:t xml:space="preserve">rden por no presentada y rechazarla. Los Agentes Habilitados serán responsables de que existan las garantías suficientes que aseguren la integración de las </w:t>
      </w:r>
      <w:r>
        <w:rPr>
          <w:rFonts w:eastAsia="Wingdings"/>
          <w:sz w:val="22"/>
          <w:szCs w:val="22"/>
          <w:lang w:eastAsia="es-AR"/>
        </w:rPr>
        <w:t>o</w:t>
      </w:r>
      <w:r w:rsidRPr="004D1783">
        <w:rPr>
          <w:rFonts w:eastAsia="Wingdings"/>
          <w:sz w:val="22"/>
          <w:szCs w:val="22"/>
          <w:lang w:eastAsia="es-AR"/>
        </w:rPr>
        <w:t xml:space="preserve">fertas que hubieran sido cursados a través suyo. </w:t>
      </w:r>
      <w:r w:rsidRPr="00760E2E">
        <w:rPr>
          <w:rFonts w:eastAsia="Wingdings"/>
          <w:sz w:val="22"/>
          <w:szCs w:val="22"/>
          <w:lang w:eastAsia="es-AR"/>
        </w:rPr>
        <w:t>Los Agentes Habilitados serán responsables frente al Emisor y los Colocadores por los daños y perjuicios que la falta de integración de una Oferta cursada por dicho Agente de MAE ocasione al Emisor y/o al Colocador.</w:t>
      </w:r>
    </w:p>
    <w:p w14:paraId="317974A8" w14:textId="77777777" w:rsidR="002954D1" w:rsidRDefault="002954D1" w:rsidP="002954D1">
      <w:pPr>
        <w:widowControl w:val="0"/>
        <w:suppressAutoHyphens/>
        <w:jc w:val="both"/>
        <w:outlineLvl w:val="0"/>
        <w:rPr>
          <w:b/>
          <w:sz w:val="22"/>
          <w:szCs w:val="22"/>
        </w:rPr>
      </w:pPr>
    </w:p>
    <w:p w14:paraId="30B9CD05" w14:textId="011A49A3" w:rsidR="007E4BE4" w:rsidRPr="004F3833" w:rsidRDefault="004F3833" w:rsidP="004F3833">
      <w:pPr>
        <w:jc w:val="both"/>
        <w:rPr>
          <w:sz w:val="22"/>
          <w:szCs w:val="22"/>
        </w:rPr>
      </w:pPr>
      <w:r w:rsidRPr="00303EC7">
        <w:rPr>
          <w:color w:val="0D0D0D"/>
          <w:sz w:val="22"/>
          <w:szCs w:val="22"/>
        </w:rPr>
        <w:t>LA EMISORA SE RESERVA EL DERECHO DE REABRIR EL PERÍODO DE COLOCACIÓN EN CASO DE HABERSE COLOCADO UN MONTO MENOR AL MONTO MAXIMO. EN DICHO CASO LAS OBLIGACIONES NEGOCIABLES SERIE II REMANENTES SERÁN COLOCADAS A LICITACIÓN DE PRECIO, CONSIDERANDO EL CAPITAL Y EL INTERÉS DEVENGADO.</w:t>
      </w:r>
    </w:p>
    <w:p w14:paraId="540A9415" w14:textId="77777777" w:rsidR="007E4BE4" w:rsidRPr="00F44670" w:rsidRDefault="007E4BE4" w:rsidP="003C03AE">
      <w:pPr>
        <w:jc w:val="both"/>
        <w:rPr>
          <w:sz w:val="22"/>
          <w:szCs w:val="22"/>
        </w:rPr>
      </w:pPr>
    </w:p>
    <w:p w14:paraId="0CECF019" w14:textId="77777777" w:rsidR="003C03AE" w:rsidRPr="00F44670" w:rsidRDefault="003C03AE" w:rsidP="00F3428B">
      <w:pPr>
        <w:jc w:val="center"/>
        <w:outlineLvl w:val="0"/>
        <w:rPr>
          <w:b/>
          <w:sz w:val="22"/>
          <w:szCs w:val="22"/>
          <w:u w:val="single"/>
        </w:rPr>
      </w:pPr>
      <w:bookmarkStart w:id="6" w:name="_Toc32224781"/>
      <w:r w:rsidRPr="00F44670">
        <w:rPr>
          <w:b/>
          <w:sz w:val="22"/>
          <w:szCs w:val="22"/>
          <w:u w:val="single"/>
        </w:rPr>
        <w:t>V.- FACTORES DE RIESGO</w:t>
      </w:r>
      <w:bookmarkEnd w:id="6"/>
    </w:p>
    <w:p w14:paraId="5F34BCA8" w14:textId="77777777" w:rsidR="007A0FFA" w:rsidRDefault="007A0FFA" w:rsidP="00072D88">
      <w:pPr>
        <w:widowControl w:val="0"/>
        <w:jc w:val="both"/>
        <w:rPr>
          <w:color w:val="000000"/>
          <w:sz w:val="22"/>
        </w:rPr>
      </w:pPr>
    </w:p>
    <w:p w14:paraId="78C3A627" w14:textId="603EAB0B" w:rsidR="00072D88" w:rsidRDefault="00072D88" w:rsidP="00072D88">
      <w:pPr>
        <w:widowControl w:val="0"/>
        <w:jc w:val="both"/>
        <w:rPr>
          <w:color w:val="000000"/>
          <w:sz w:val="22"/>
        </w:rPr>
      </w:pPr>
      <w:r w:rsidRPr="00072D88">
        <w:rPr>
          <w:color w:val="000000"/>
          <w:sz w:val="22"/>
        </w:rPr>
        <w:t>Previamente a invertir en las Obligaciones Negociables</w:t>
      </w:r>
      <w:r>
        <w:rPr>
          <w:color w:val="000000"/>
          <w:sz w:val="22"/>
        </w:rPr>
        <w:t xml:space="preserve"> Serie II</w:t>
      </w:r>
      <w:r w:rsidRPr="00072D88">
        <w:rPr>
          <w:color w:val="000000"/>
          <w:sz w:val="22"/>
        </w:rPr>
        <w:t xml:space="preserve">, el inversor deberá considerar cuidadosamente los riesgos descriptos en el </w:t>
      </w:r>
      <w:r>
        <w:rPr>
          <w:color w:val="000000"/>
          <w:sz w:val="22"/>
        </w:rPr>
        <w:t>c</w:t>
      </w:r>
      <w:r w:rsidRPr="00072D88">
        <w:rPr>
          <w:color w:val="000000"/>
          <w:sz w:val="22"/>
        </w:rPr>
        <w:t>apítulo “Factores de Riesgo” del Prospecto y el resto de la información incluida en este Suplemento y en el Prospecto, que deberán ser leídos de manera conjunta.</w:t>
      </w:r>
    </w:p>
    <w:p w14:paraId="04CA136B" w14:textId="77777777" w:rsidR="00072D88" w:rsidRDefault="00072D88" w:rsidP="00072D88">
      <w:pPr>
        <w:widowControl w:val="0"/>
        <w:jc w:val="both"/>
        <w:rPr>
          <w:color w:val="000000"/>
          <w:sz w:val="22"/>
        </w:rPr>
      </w:pPr>
    </w:p>
    <w:p w14:paraId="57579D0D" w14:textId="77777777" w:rsidR="00072D88" w:rsidRPr="00072D88" w:rsidRDefault="00072D88" w:rsidP="00072D88">
      <w:pPr>
        <w:widowControl w:val="0"/>
        <w:jc w:val="both"/>
        <w:rPr>
          <w:color w:val="000000"/>
          <w:sz w:val="22"/>
        </w:rPr>
      </w:pPr>
      <w:r>
        <w:rPr>
          <w:color w:val="000000"/>
          <w:sz w:val="22"/>
        </w:rPr>
        <w:t>Los Factores de Riesgo detallados en el Prospecto forman parte del presente Suplemento y se incorporan al mismo en su totalidad por referencia.</w:t>
      </w:r>
    </w:p>
    <w:p w14:paraId="5730E9DE" w14:textId="77777777" w:rsidR="00072D88" w:rsidRPr="00072D88" w:rsidRDefault="00072D88" w:rsidP="00072D88">
      <w:pPr>
        <w:widowControl w:val="0"/>
        <w:rPr>
          <w:color w:val="000000"/>
          <w:sz w:val="22"/>
        </w:rPr>
      </w:pPr>
    </w:p>
    <w:p w14:paraId="0A88C3F1" w14:textId="77777777" w:rsidR="00072D88" w:rsidRPr="00072D88" w:rsidRDefault="00072D88" w:rsidP="00072D88">
      <w:pPr>
        <w:widowControl w:val="0"/>
        <w:jc w:val="both"/>
        <w:rPr>
          <w:color w:val="000000"/>
          <w:sz w:val="22"/>
        </w:rPr>
      </w:pPr>
      <w:r w:rsidRPr="00072D88">
        <w:rPr>
          <w:color w:val="000000"/>
          <w:sz w:val="22"/>
        </w:rPr>
        <w:t xml:space="preserve">Riesgos adicionales e incertidumbres que no son conocidos actualmente por </w:t>
      </w:r>
      <w:r>
        <w:rPr>
          <w:color w:val="000000"/>
          <w:sz w:val="22"/>
        </w:rPr>
        <w:t xml:space="preserve">la Sociedad </w:t>
      </w:r>
      <w:r w:rsidRPr="00072D88">
        <w:rPr>
          <w:color w:val="000000"/>
          <w:sz w:val="22"/>
        </w:rPr>
        <w:t>o que son considerados inmateriales o poco significativos podrían afectar significativa y adversamente los negocios, los resultados de operaciones, la situación financiera o las perspectivas de la Emisora.</w:t>
      </w:r>
    </w:p>
    <w:p w14:paraId="3BD1A34E" w14:textId="77777777" w:rsidR="003C03AE" w:rsidRDefault="003C03AE" w:rsidP="00F3428B">
      <w:pPr>
        <w:jc w:val="center"/>
        <w:outlineLvl w:val="0"/>
        <w:rPr>
          <w:b/>
          <w:sz w:val="22"/>
          <w:szCs w:val="22"/>
          <w:u w:val="single"/>
        </w:rPr>
      </w:pPr>
    </w:p>
    <w:p w14:paraId="7472CE5C" w14:textId="77777777" w:rsidR="00072D88" w:rsidRPr="00F44670" w:rsidRDefault="00072D88" w:rsidP="00F3428B">
      <w:pPr>
        <w:jc w:val="center"/>
        <w:outlineLvl w:val="0"/>
        <w:rPr>
          <w:b/>
          <w:sz w:val="22"/>
          <w:szCs w:val="22"/>
          <w:u w:val="single"/>
        </w:rPr>
      </w:pPr>
    </w:p>
    <w:p w14:paraId="73639641" w14:textId="77777777" w:rsidR="003C03AE" w:rsidRPr="00F2691D" w:rsidRDefault="003C03AE" w:rsidP="00F3428B">
      <w:pPr>
        <w:jc w:val="center"/>
        <w:outlineLvl w:val="0"/>
        <w:rPr>
          <w:b/>
          <w:sz w:val="22"/>
          <w:szCs w:val="22"/>
          <w:u w:val="single"/>
        </w:rPr>
      </w:pPr>
      <w:bookmarkStart w:id="7" w:name="_Toc32224782"/>
      <w:r w:rsidRPr="00F2691D">
        <w:rPr>
          <w:b/>
          <w:sz w:val="22"/>
          <w:szCs w:val="22"/>
          <w:u w:val="single"/>
        </w:rPr>
        <w:t>V</w:t>
      </w:r>
      <w:r w:rsidR="00AC109B" w:rsidRPr="00F2691D">
        <w:rPr>
          <w:b/>
          <w:sz w:val="22"/>
          <w:szCs w:val="22"/>
          <w:u w:val="single"/>
        </w:rPr>
        <w:t>I</w:t>
      </w:r>
      <w:r w:rsidRPr="00F2691D">
        <w:rPr>
          <w:b/>
          <w:sz w:val="22"/>
          <w:szCs w:val="22"/>
          <w:u w:val="single"/>
        </w:rPr>
        <w:t>.- INFORMACIÓN FINANCIERA</w:t>
      </w:r>
      <w:bookmarkEnd w:id="7"/>
    </w:p>
    <w:p w14:paraId="4E883F1D" w14:textId="77777777" w:rsidR="003C03AE" w:rsidRPr="00F2691D" w:rsidRDefault="003C03AE" w:rsidP="00F3428B">
      <w:pPr>
        <w:jc w:val="center"/>
        <w:outlineLvl w:val="0"/>
        <w:rPr>
          <w:b/>
          <w:sz w:val="22"/>
          <w:szCs w:val="22"/>
          <w:u w:val="single"/>
        </w:rPr>
      </w:pPr>
    </w:p>
    <w:p w14:paraId="7E5058FE" w14:textId="4691C5A0" w:rsidR="00EA6053" w:rsidRPr="00F2691D" w:rsidRDefault="00EA6053" w:rsidP="00EA6053">
      <w:pPr>
        <w:spacing w:before="240"/>
        <w:jc w:val="both"/>
        <w:rPr>
          <w:rFonts w:eastAsia="MS Mincho"/>
          <w:caps/>
          <w:sz w:val="22"/>
          <w:szCs w:val="22"/>
          <w:u w:val="single"/>
          <w:lang w:eastAsia="ja-JP"/>
        </w:rPr>
      </w:pPr>
      <w:r w:rsidRPr="00F2691D">
        <w:rPr>
          <w:sz w:val="22"/>
          <w:szCs w:val="22"/>
        </w:rPr>
        <w:t>El presente Suplemento contiene nuestros estados financieros intermedios condensados consolidados al 3</w:t>
      </w:r>
      <w:r>
        <w:rPr>
          <w:sz w:val="22"/>
          <w:szCs w:val="22"/>
        </w:rPr>
        <w:t>1</w:t>
      </w:r>
      <w:r w:rsidRPr="00F2691D">
        <w:rPr>
          <w:sz w:val="22"/>
          <w:szCs w:val="22"/>
        </w:rPr>
        <w:t xml:space="preserve"> de </w:t>
      </w:r>
      <w:r>
        <w:rPr>
          <w:sz w:val="22"/>
          <w:szCs w:val="22"/>
        </w:rPr>
        <w:t>diciembre</w:t>
      </w:r>
      <w:r w:rsidRPr="00F2691D">
        <w:rPr>
          <w:sz w:val="22"/>
          <w:szCs w:val="22"/>
        </w:rPr>
        <w:t xml:space="preserve"> 2019 y 30 de junio de 2019, y por los períodos de </w:t>
      </w:r>
      <w:r>
        <w:rPr>
          <w:sz w:val="22"/>
          <w:szCs w:val="22"/>
        </w:rPr>
        <w:t>seis</w:t>
      </w:r>
      <w:r w:rsidRPr="00F2691D">
        <w:rPr>
          <w:sz w:val="22"/>
          <w:szCs w:val="22"/>
        </w:rPr>
        <w:t xml:space="preserve"> meses finalizados al 3</w:t>
      </w:r>
      <w:r>
        <w:rPr>
          <w:sz w:val="22"/>
          <w:szCs w:val="22"/>
        </w:rPr>
        <w:t>1</w:t>
      </w:r>
      <w:r w:rsidRPr="00F2691D">
        <w:rPr>
          <w:sz w:val="22"/>
          <w:szCs w:val="22"/>
        </w:rPr>
        <w:t xml:space="preserve"> de </w:t>
      </w:r>
      <w:r>
        <w:rPr>
          <w:sz w:val="22"/>
          <w:szCs w:val="22"/>
        </w:rPr>
        <w:t>diciembre</w:t>
      </w:r>
      <w:r w:rsidRPr="00F2691D">
        <w:rPr>
          <w:sz w:val="22"/>
          <w:szCs w:val="22"/>
        </w:rPr>
        <w:t xml:space="preserve"> de 2019 y 2018 (“Estados Financieros Intermedios”). Adicionalmente, el presente Suplemento contiene un resumen de la información contable y financiera consolidada que ha sido obtenida de nuestros Estados Financieros Intermedios, los cuales han sido oportunamente presentados ante la CNV. </w:t>
      </w:r>
    </w:p>
    <w:p w14:paraId="3D00E408" w14:textId="77777777" w:rsidR="008A6AC0" w:rsidRPr="00F2691D" w:rsidRDefault="008A6AC0" w:rsidP="008A6AC0">
      <w:pPr>
        <w:pStyle w:val="Default"/>
        <w:spacing w:before="240" w:after="160"/>
        <w:jc w:val="both"/>
        <w:rPr>
          <w:sz w:val="22"/>
          <w:szCs w:val="22"/>
        </w:rPr>
      </w:pPr>
      <w:r w:rsidRPr="00F2691D">
        <w:rPr>
          <w:sz w:val="22"/>
          <w:szCs w:val="22"/>
        </w:rPr>
        <w:t>La CNV a través de la Resolución General Nº 562/2009 (y sus modificatorias) estableció la aplicación de la Resolución Técnica Nº 26 de la FACPCE (y sus modificatorias), que adoptan las Normas Internacionales de Información Financiera (NIIF o IFRS por su sigla en Inglés), emitidas por el Consejo de Normas Internacionales de Contabilidad (IASB por su sigla en Inglés), para las entidades incluidas en el régimen de oferta pública de la Ley de Mercado de Capitales, ya sea por su capital o por sus valores representativos de deuda o que hayan solicitado autorización para estar incluidas en el citado régimen. De este modo, los Estados Financieros Anuales y los Estados Financieros Intermedios han sido preparados de conformidad con las NIIF, emitidas por el IASB.</w:t>
      </w:r>
    </w:p>
    <w:p w14:paraId="5FD2578B" w14:textId="52497391" w:rsidR="00EA6053" w:rsidRPr="00F2691D" w:rsidRDefault="008A6AC0" w:rsidP="00EA6053">
      <w:pPr>
        <w:pStyle w:val="Default"/>
        <w:spacing w:before="240" w:after="160"/>
        <w:jc w:val="both"/>
        <w:rPr>
          <w:sz w:val="22"/>
          <w:szCs w:val="22"/>
        </w:rPr>
      </w:pPr>
      <w:r w:rsidRPr="00F2691D">
        <w:rPr>
          <w:sz w:val="22"/>
          <w:szCs w:val="22"/>
        </w:rPr>
        <w:t xml:space="preserve">Los Estados Financieros Intermedios han sido preparados de conformidad con la NIC 34 “Información Financiera Intermedia” y por lo tanto los mismos deben ser leídos juntamente con los Estados Financieros Anuales. Las políticas contables utilizadas en la preparación de los Estados Financieros Intermedios son consistentes con aquellas utilizadas en la preparación de los Estados Financieros Anuales excepto por los efectos de la aplicación de la NIIF 16 “Arrendamientos”. La NIIF 16 “Arrendamientos” es aplicable para nosotros por primera vez a partir del 1º de julio de 2019. Esta norma elimina, para los casos de arrendatarios, la distinción entre los contratos de “arrendamiento financiero” que se registran en el estado de situación financiera y los “arrendamientos operativos” para los que no se exige el reconocimiento de las cuotas de arrendamiento futuras. En su lugar, se desarrolla un modelo único que es similar al de arrendamiento financiero de la NIC 17. El impacto de la aplicación de esta norma en los Estados Financieros Intermedios implicó el reconocimiento inicial de activos por derechos de uso y de pasivos por arrendamientos. En la citada aplicación inicial, el Grupo (conforme este término se define más adelante) optó por el esquema de aplicación retrospectiva previsto en las disposiciones transitorias de la norma, en virtud de lo cual, no se </w:t>
      </w:r>
      <w:r w:rsidRPr="00F2691D">
        <w:rPr>
          <w:sz w:val="22"/>
          <w:szCs w:val="22"/>
        </w:rPr>
        <w:lastRenderedPageBreak/>
        <w:t xml:space="preserve">modificó la información comparativa. ATENTO A LO MENCIONADO PREVIAMENTE RESPECTO DE </w:t>
      </w:r>
      <w:r w:rsidR="00EA6053" w:rsidRPr="00F2691D">
        <w:rPr>
          <w:sz w:val="22"/>
          <w:szCs w:val="22"/>
        </w:rPr>
        <w:t xml:space="preserve">LA APLICACIÓN DE LA NIIF 16 “ARRENDAMIENTOS”, LA INFORMACIÓN CONTABLE REFERIDA A ESTE PARTICULAR AL </w:t>
      </w:r>
      <w:r w:rsidR="00EA6053">
        <w:rPr>
          <w:sz w:val="22"/>
          <w:szCs w:val="22"/>
        </w:rPr>
        <w:t>31</w:t>
      </w:r>
      <w:r w:rsidR="00EA6053" w:rsidRPr="00F2691D">
        <w:rPr>
          <w:sz w:val="22"/>
          <w:szCs w:val="22"/>
        </w:rPr>
        <w:t xml:space="preserve"> DE </w:t>
      </w:r>
      <w:r w:rsidR="00EA6053">
        <w:rPr>
          <w:sz w:val="22"/>
          <w:szCs w:val="22"/>
        </w:rPr>
        <w:t>DICIEMBRE</w:t>
      </w:r>
      <w:r w:rsidR="00EA6053" w:rsidRPr="00F2691D">
        <w:rPr>
          <w:sz w:val="22"/>
          <w:szCs w:val="22"/>
        </w:rPr>
        <w:t xml:space="preserve"> DE 2019 NO RESULTA COMPARABLE CON LA INFORMACIÓN FINANCIERA COMPARATIVA QUE SE PRESENTA EN OTRAS PARTES DE ESTE SUPLEMENTO.</w:t>
      </w:r>
    </w:p>
    <w:p w14:paraId="2F2F8FC4" w14:textId="175981B9" w:rsidR="008A6AC0" w:rsidRPr="00F2691D" w:rsidRDefault="008A6AC0" w:rsidP="008A6AC0">
      <w:pPr>
        <w:pStyle w:val="Default"/>
        <w:spacing w:before="240" w:after="160"/>
        <w:jc w:val="both"/>
        <w:rPr>
          <w:sz w:val="22"/>
          <w:szCs w:val="22"/>
        </w:rPr>
      </w:pPr>
      <w:r w:rsidRPr="00F2691D">
        <w:rPr>
          <w:sz w:val="22"/>
          <w:szCs w:val="22"/>
        </w:rPr>
        <w:t>Adicionalmente, mediante su Resolución General Nº 777/2018, la CNV dispuso que las entidades emisoras sujetas a su fiscalización deben aplicar a los estados financieros anuales, por períodos intermedios y especiales que cierren a partir del 31 de diciembre de 2018, inclusive, el método de reexpresión de estados financieros en moneda homogénea conforme lo establecido por la NIC 29 “Información financiera en economías hiperinflacionarias”.</w:t>
      </w:r>
    </w:p>
    <w:p w14:paraId="4EAB28BF" w14:textId="77777777" w:rsidR="008A6AC0" w:rsidRPr="00F2691D" w:rsidRDefault="008A6AC0" w:rsidP="008A6AC0">
      <w:pPr>
        <w:pStyle w:val="Default"/>
        <w:spacing w:before="240" w:after="240"/>
        <w:jc w:val="both"/>
        <w:rPr>
          <w:sz w:val="22"/>
          <w:szCs w:val="22"/>
        </w:rPr>
      </w:pPr>
      <w:r w:rsidRPr="00F2691D">
        <w:rPr>
          <w:sz w:val="22"/>
          <w:szCs w:val="22"/>
        </w:rPr>
        <w:t xml:space="preserve">La NIC 29 “Información financiera en economías hiperinflacionarias” requiere que los estados financieros de una entidad, cuya moneda funcional sea la de una economía de alta inflación, sean expresados en términos de la unidad de medida corriente a la fecha de cierre del ejercicio sobre el que se informa, independientemente de si están basados en el método del costo histórico o en el método del costo corriente. Para ello, en términos generales, se debe computar en las partidas no monetarias la inflación producida desde la fecha de adquisición o desde la fecha de revaluación según corresponda. Dichos requerimientos también comprenden a la información comparativa de los estados financieros. </w:t>
      </w:r>
    </w:p>
    <w:p w14:paraId="1746F95C" w14:textId="77777777" w:rsidR="008A6AC0" w:rsidRPr="00F2691D" w:rsidRDefault="008A6AC0" w:rsidP="008A6AC0">
      <w:pPr>
        <w:pStyle w:val="Default"/>
        <w:spacing w:before="240" w:after="240"/>
        <w:jc w:val="both"/>
        <w:rPr>
          <w:sz w:val="22"/>
          <w:szCs w:val="22"/>
        </w:rPr>
      </w:pPr>
      <w:r w:rsidRPr="00F2691D">
        <w:rPr>
          <w:sz w:val="22"/>
          <w:szCs w:val="22"/>
        </w:rPr>
        <w:t xml:space="preserve">A los efectos de concluir sobre si una economía es categorizada como de alta inflación en los términos de la NIC 29, la norma detalla una serie de factores a considerar entre los que se incluye una tasa acumulada de inflación en tres años que se aproxime o exceda el 100%. Es por esta razón que, de acuerdo con la NIC 29, la economía argentina debe ser considerada como de alta inflación a partir del 1° de julio de 2018. </w:t>
      </w:r>
    </w:p>
    <w:p w14:paraId="18D90D53" w14:textId="77777777" w:rsidR="008A6AC0" w:rsidRPr="00F2691D" w:rsidRDefault="008A6AC0" w:rsidP="008A6AC0">
      <w:pPr>
        <w:pStyle w:val="Default"/>
        <w:spacing w:before="240" w:after="240"/>
        <w:jc w:val="both"/>
        <w:rPr>
          <w:sz w:val="22"/>
          <w:szCs w:val="22"/>
        </w:rPr>
      </w:pPr>
      <w:r w:rsidRPr="00F2691D">
        <w:rPr>
          <w:sz w:val="22"/>
          <w:szCs w:val="22"/>
        </w:rPr>
        <w:t xml:space="preserve">A su vez, la Ley N° 27.468 modificó el artículo 10° de la Ley N° 23.928 y sus modificatorias, estableciendo que la derogación de todas las normas legales o reglamentarias que establecen o autorizan la indexación por precios, actualización monetaria, variación de costos o cualquier otra forma de repotenciación de las deudas, impuestos, precios o tarifas de los bienes, obras o servicios, no comprende a los estados financieros, respecto de los cuales continuará siendo de aplicación lo dispuesto en el artículo 62 in fine de la Ley General de Sociedades. Asimismo, el mencionado cuerpo legal dispuso la derogación del Decreto Nº 1269/2002 del 16 de julio de 2002 y sus modificatorios y delegó en el Poder Ejecutivo Nacional, a través de sus organismos de contralor, establecer la fecha a partir de la cual surtirán efecto las disposiciones citadas en relación con los estados financieros que les sean presentados. Por lo tanto, mediante su Resolución General Nº 777/2018, la CNV dispuso que las entidades emisoras sujetas a su fiscalización deberán aplicar a los estados financieros anuales, por períodos intermedios y especiales, que cierren a partir del 31 de diciembre de 2018 inclusive, el método de reexpresión de estados financieros en moneda homogénea conforme lo establecido por la NIC 29. </w:t>
      </w:r>
    </w:p>
    <w:p w14:paraId="59E0E6E4" w14:textId="77777777" w:rsidR="008A6AC0" w:rsidRPr="00F2691D" w:rsidRDefault="008A6AC0" w:rsidP="008A6AC0">
      <w:pPr>
        <w:spacing w:before="240" w:after="240"/>
        <w:jc w:val="both"/>
        <w:rPr>
          <w:sz w:val="22"/>
          <w:szCs w:val="22"/>
        </w:rPr>
      </w:pPr>
      <w:r w:rsidRPr="00F2691D">
        <w:rPr>
          <w:sz w:val="22"/>
          <w:szCs w:val="22"/>
        </w:rPr>
        <w:t>De acuerdo con la NIC 29, los estados financieros de una entidad que informa en la moneda de una economía de alta inflación deben reportarse en términos de la unidad de medida vigente a la fecha de los estados financieros. Todos los montos del estado de situación financiera que no se indican en términos de la unidad de medida actual a la fecha de los estados financieros deben actualizarse aplicando un índice de precios general. Todos los componentes del estado de resultados deben indicarse en términos de la unidad de medida actualizada a la fecha de los estados financieros, aplicando el cambio en el índice general de precios que se haya producido desde la fecha en que los ingresos y gastos fueron reconocidos originalmente en los estados financieros.</w:t>
      </w:r>
    </w:p>
    <w:p w14:paraId="2F124F4E" w14:textId="4E70F51C" w:rsidR="008A6AC0" w:rsidRPr="008D057C" w:rsidRDefault="008A6AC0" w:rsidP="00F2691D">
      <w:pPr>
        <w:spacing w:before="240" w:after="240"/>
        <w:jc w:val="both"/>
      </w:pPr>
      <w:r w:rsidRPr="00F2691D">
        <w:rPr>
          <w:sz w:val="22"/>
          <w:szCs w:val="22"/>
        </w:rPr>
        <w:t>Respecto de la información contenida en el presente Suplemento, cabe señalar que:</w:t>
      </w:r>
      <w:r w:rsidR="00EA6053" w:rsidRPr="00F2691D">
        <w:rPr>
          <w:sz w:val="22"/>
          <w:szCs w:val="22"/>
        </w:rPr>
        <w:t>l</w:t>
      </w:r>
      <w:r w:rsidRPr="00F2691D">
        <w:rPr>
          <w:sz w:val="22"/>
          <w:szCs w:val="22"/>
        </w:rPr>
        <w:t xml:space="preserve">os Estados Financieros Intermedios fueron reexpresados siguiendo el método previsto en la citada NIC 29. La información financiera que surge de los mismos, incluyendo la información comparativa, se encuentra expresada en moneda homogénea del mes de </w:t>
      </w:r>
      <w:r w:rsidR="00EA6053" w:rsidRPr="00F2691D">
        <w:rPr>
          <w:sz w:val="22"/>
          <w:szCs w:val="22"/>
        </w:rPr>
        <w:t>diciembre</w:t>
      </w:r>
      <w:r w:rsidRPr="00F2691D">
        <w:rPr>
          <w:sz w:val="22"/>
          <w:szCs w:val="22"/>
        </w:rPr>
        <w:t xml:space="preserve"> de 2019.</w:t>
      </w:r>
    </w:p>
    <w:p w14:paraId="69F8FB1E" w14:textId="77777777" w:rsidR="00EA6053" w:rsidRPr="00F2691D" w:rsidRDefault="00EA6053" w:rsidP="00EA6053">
      <w:pPr>
        <w:spacing w:before="240" w:after="240"/>
        <w:jc w:val="both"/>
        <w:rPr>
          <w:rFonts w:eastAsia="Calibri"/>
          <w:sz w:val="22"/>
          <w:szCs w:val="22"/>
          <w:lang w:eastAsia="en-US"/>
        </w:rPr>
      </w:pPr>
      <w:r w:rsidRPr="00F2691D">
        <w:rPr>
          <w:rFonts w:eastAsia="Calibri"/>
          <w:sz w:val="22"/>
          <w:szCs w:val="22"/>
          <w:lang w:eastAsia="en-US"/>
        </w:rPr>
        <w:t>Las cifras en porcentaje y totales incluidos en este Suplemento han sido, en algunos casos, calculados sobre la base de tales cifras antes del redondeo. Por esta razón, ciertos porcentajes y sumas totales pueden variar de las obtenidas mediante la realización de los mismos cálculos utilizando las cifras de los Estados Financieros Intermedios y las cifras indicadas como totales en ciertos cuadros pueden no ser una exacta suma aritmética de las otras sumas indicadas en dichos cuadros.</w:t>
      </w:r>
      <w:bookmarkStart w:id="8" w:name="_Toc2339063"/>
      <w:bookmarkStart w:id="9" w:name="_Toc2339237"/>
      <w:bookmarkStart w:id="10" w:name="_Toc2354333"/>
      <w:bookmarkStart w:id="11" w:name="_Toc26888605"/>
    </w:p>
    <w:bookmarkEnd w:id="8"/>
    <w:bookmarkEnd w:id="9"/>
    <w:bookmarkEnd w:id="10"/>
    <w:bookmarkEnd w:id="11"/>
    <w:p w14:paraId="68863657" w14:textId="41BEBB89" w:rsidR="00EA6053" w:rsidRPr="00F2691D" w:rsidRDefault="00EA6053" w:rsidP="00B92136">
      <w:pPr>
        <w:rPr>
          <w:color w:val="000000"/>
          <w:sz w:val="22"/>
          <w:szCs w:val="22"/>
        </w:rPr>
      </w:pPr>
      <w:r w:rsidRPr="00F2691D">
        <w:rPr>
          <w:color w:val="000000"/>
          <w:sz w:val="22"/>
          <w:szCs w:val="22"/>
        </w:rPr>
        <w:lastRenderedPageBreak/>
        <w:t xml:space="preserve">Los Estados Financieros Intermedios de la Sociedad al </w:t>
      </w:r>
      <w:r>
        <w:rPr>
          <w:color w:val="000000"/>
          <w:sz w:val="22"/>
          <w:szCs w:val="22"/>
        </w:rPr>
        <w:t>31 de diciembre de 2019</w:t>
      </w:r>
      <w:r w:rsidRPr="00F2691D">
        <w:rPr>
          <w:color w:val="000000"/>
          <w:sz w:val="22"/>
          <w:szCs w:val="22"/>
        </w:rPr>
        <w:t xml:space="preserve"> que se encuentran publicados en la AIF forman parte del presente Suplemento y los mismos son incorporados por referencia. A la fecha no existen cambios sustanciales respecto de la situación patrimonial y financiera desde el 3</w:t>
      </w:r>
      <w:r>
        <w:rPr>
          <w:color w:val="000000"/>
          <w:sz w:val="22"/>
          <w:szCs w:val="22"/>
        </w:rPr>
        <w:t>1 de diciembre de 2019</w:t>
      </w:r>
    </w:p>
    <w:p w14:paraId="7FDF8ACF" w14:textId="77777777" w:rsidR="00EA6053" w:rsidRPr="00F2691D" w:rsidRDefault="00EA6053" w:rsidP="00B92136">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60"/>
        <w:gridCol w:w="1825"/>
      </w:tblGrid>
      <w:tr w:rsidR="00EA6053" w:rsidRPr="00FA0FAF" w14:paraId="17E7DC0C" w14:textId="77777777" w:rsidTr="000A0418">
        <w:tc>
          <w:tcPr>
            <w:tcW w:w="4860" w:type="dxa"/>
            <w:tcBorders>
              <w:top w:val="single" w:sz="4" w:space="0" w:color="auto"/>
              <w:left w:val="single" w:sz="4" w:space="0" w:color="auto"/>
              <w:bottom w:val="single" w:sz="4" w:space="0" w:color="auto"/>
              <w:right w:val="single" w:sz="4" w:space="0" w:color="auto"/>
            </w:tcBorders>
            <w:shd w:val="clear" w:color="auto" w:fill="auto"/>
          </w:tcPr>
          <w:p w14:paraId="3DDD13EC" w14:textId="5D1E71FE" w:rsidR="00EA6053" w:rsidRPr="00F2691D" w:rsidRDefault="00EA6053" w:rsidP="00B92136">
            <w:pPr>
              <w:rPr>
                <w:color w:val="000000"/>
                <w:sz w:val="22"/>
                <w:szCs w:val="22"/>
              </w:rPr>
            </w:pPr>
            <w:r w:rsidRPr="00F2691D">
              <w:rPr>
                <w:color w:val="000000"/>
                <w:sz w:val="22"/>
                <w:szCs w:val="22"/>
              </w:rPr>
              <w:t>EEFF al 3</w:t>
            </w:r>
            <w:r>
              <w:rPr>
                <w:color w:val="000000"/>
                <w:sz w:val="22"/>
                <w:szCs w:val="22"/>
              </w:rPr>
              <w:t>1</w:t>
            </w:r>
            <w:r w:rsidRPr="00F2691D">
              <w:rPr>
                <w:color w:val="000000"/>
                <w:sz w:val="22"/>
                <w:szCs w:val="22"/>
              </w:rPr>
              <w:t>/</w:t>
            </w:r>
            <w:r>
              <w:rPr>
                <w:color w:val="000000"/>
                <w:sz w:val="22"/>
                <w:szCs w:val="22"/>
              </w:rPr>
              <w:t>12</w:t>
            </w:r>
            <w:r w:rsidRPr="00F2691D">
              <w:rPr>
                <w:color w:val="000000"/>
                <w:sz w:val="22"/>
                <w:szCs w:val="22"/>
              </w:rPr>
              <w:t>/2019</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5520DCA" w14:textId="7407F696" w:rsidR="00EA6053" w:rsidRPr="00F2691D" w:rsidRDefault="00100738" w:rsidP="00B92136">
            <w:pPr>
              <w:rPr>
                <w:color w:val="000000"/>
                <w:sz w:val="22"/>
                <w:szCs w:val="22"/>
              </w:rPr>
            </w:pPr>
            <w:r>
              <w:rPr>
                <w:color w:val="000000"/>
                <w:sz w:val="22"/>
                <w:szCs w:val="22"/>
              </w:rPr>
              <w:t>ID</w:t>
            </w:r>
            <w:r w:rsidRPr="00F2691D">
              <w:rPr>
                <w:color w:val="000000"/>
                <w:sz w:val="22"/>
                <w:szCs w:val="22"/>
              </w:rPr>
              <w:t xml:space="preserve"> 2575040</w:t>
            </w:r>
          </w:p>
        </w:tc>
      </w:tr>
    </w:tbl>
    <w:p w14:paraId="6EBFD046" w14:textId="77777777" w:rsidR="008A6AC0" w:rsidRPr="00F2691D" w:rsidRDefault="008A6AC0" w:rsidP="00B92136">
      <w:pPr>
        <w:rPr>
          <w:color w:val="000000"/>
          <w:sz w:val="22"/>
          <w:szCs w:val="22"/>
        </w:rPr>
      </w:pPr>
    </w:p>
    <w:p w14:paraId="4FA610DA" w14:textId="77777777" w:rsidR="003C03AE" w:rsidRPr="00F2691D" w:rsidRDefault="003C03AE" w:rsidP="00B92136">
      <w:pPr>
        <w:rPr>
          <w:b/>
          <w:sz w:val="22"/>
          <w:szCs w:val="22"/>
          <w:u w:val="single"/>
        </w:rPr>
      </w:pPr>
    </w:p>
    <w:p w14:paraId="30E16C1D" w14:textId="42A23C90" w:rsidR="00DE1CD5" w:rsidRPr="00F2691D" w:rsidRDefault="00E90CFC" w:rsidP="00DE1CD5">
      <w:pPr>
        <w:jc w:val="both"/>
        <w:rPr>
          <w:rFonts w:eastAsia="MS Mincho"/>
          <w:b/>
          <w:bCs/>
          <w:sz w:val="22"/>
          <w:szCs w:val="22"/>
          <w:lang w:eastAsia="ja-JP"/>
        </w:rPr>
      </w:pPr>
      <w:r w:rsidRPr="00F2691D">
        <w:rPr>
          <w:rFonts w:eastAsia="MS Mincho"/>
          <w:b/>
          <w:bCs/>
          <w:sz w:val="22"/>
          <w:szCs w:val="22"/>
          <w:lang w:eastAsia="ja-JP"/>
        </w:rPr>
        <w:t xml:space="preserve">a) Estados </w:t>
      </w:r>
      <w:r w:rsidR="009856C2" w:rsidRPr="00F2691D">
        <w:rPr>
          <w:rFonts w:eastAsia="MS Mincho"/>
          <w:b/>
          <w:bCs/>
          <w:sz w:val="22"/>
          <w:szCs w:val="22"/>
          <w:lang w:eastAsia="ja-JP"/>
        </w:rPr>
        <w:t>f</w:t>
      </w:r>
      <w:r w:rsidRPr="00F2691D">
        <w:rPr>
          <w:rFonts w:eastAsia="MS Mincho"/>
          <w:b/>
          <w:bCs/>
          <w:sz w:val="22"/>
          <w:szCs w:val="22"/>
          <w:lang w:eastAsia="ja-JP"/>
        </w:rPr>
        <w:t>inancieros</w:t>
      </w:r>
    </w:p>
    <w:p w14:paraId="52FD641C" w14:textId="77777777" w:rsidR="00E90CFC" w:rsidRPr="00F2691D" w:rsidRDefault="00E90CFC" w:rsidP="00DE1CD5">
      <w:pPr>
        <w:jc w:val="both"/>
        <w:rPr>
          <w:rFonts w:eastAsia="MS Mincho"/>
          <w:b/>
          <w:bCs/>
          <w:sz w:val="22"/>
          <w:szCs w:val="22"/>
          <w:lang w:eastAsia="ja-JP"/>
        </w:rPr>
      </w:pPr>
    </w:p>
    <w:p w14:paraId="5DF65C43" w14:textId="72F2807F" w:rsidR="00DE1CD5" w:rsidRPr="00F2691D" w:rsidRDefault="0083523B" w:rsidP="00DE1CD5">
      <w:pPr>
        <w:jc w:val="both"/>
        <w:rPr>
          <w:rFonts w:eastAsia="MS Mincho"/>
          <w:b/>
          <w:bCs/>
          <w:sz w:val="22"/>
          <w:szCs w:val="22"/>
          <w:lang w:eastAsia="ja-JP"/>
        </w:rPr>
      </w:pPr>
      <w:r w:rsidRPr="00F2691D">
        <w:rPr>
          <w:rFonts w:eastAsia="MS Mincho"/>
          <w:b/>
          <w:bCs/>
          <w:sz w:val="22"/>
          <w:szCs w:val="22"/>
          <w:lang w:eastAsia="ja-JP"/>
        </w:rPr>
        <w:t xml:space="preserve">1- Estado de </w:t>
      </w:r>
      <w:r w:rsidR="009856C2" w:rsidRPr="00F2691D">
        <w:rPr>
          <w:rFonts w:eastAsia="MS Mincho"/>
          <w:b/>
          <w:bCs/>
          <w:sz w:val="22"/>
          <w:szCs w:val="22"/>
          <w:lang w:eastAsia="ja-JP"/>
        </w:rPr>
        <w:t>r</w:t>
      </w:r>
      <w:r w:rsidRPr="00F2691D">
        <w:rPr>
          <w:rFonts w:eastAsia="MS Mincho"/>
          <w:b/>
          <w:bCs/>
          <w:sz w:val="22"/>
          <w:szCs w:val="22"/>
          <w:lang w:eastAsia="ja-JP"/>
        </w:rPr>
        <w:t xml:space="preserve">esultados y </w:t>
      </w:r>
      <w:r w:rsidR="009856C2" w:rsidRPr="00F2691D">
        <w:rPr>
          <w:rFonts w:eastAsia="MS Mincho"/>
          <w:b/>
          <w:bCs/>
          <w:sz w:val="22"/>
          <w:szCs w:val="22"/>
          <w:lang w:eastAsia="ja-JP"/>
        </w:rPr>
        <w:t>o</w:t>
      </w:r>
      <w:r w:rsidRPr="00F2691D">
        <w:rPr>
          <w:rFonts w:eastAsia="MS Mincho"/>
          <w:b/>
          <w:bCs/>
          <w:sz w:val="22"/>
          <w:szCs w:val="22"/>
          <w:lang w:eastAsia="ja-JP"/>
        </w:rPr>
        <w:t xml:space="preserve">tros </w:t>
      </w:r>
      <w:r w:rsidR="009856C2" w:rsidRPr="00F2691D">
        <w:rPr>
          <w:rFonts w:eastAsia="MS Mincho"/>
          <w:b/>
          <w:bCs/>
          <w:sz w:val="22"/>
          <w:szCs w:val="22"/>
          <w:lang w:eastAsia="ja-JP"/>
        </w:rPr>
        <w:t>r</w:t>
      </w:r>
      <w:r w:rsidRPr="00F2691D">
        <w:rPr>
          <w:rFonts w:eastAsia="MS Mincho"/>
          <w:b/>
          <w:bCs/>
          <w:sz w:val="22"/>
          <w:szCs w:val="22"/>
          <w:lang w:eastAsia="ja-JP"/>
        </w:rPr>
        <w:t xml:space="preserve">esultados </w:t>
      </w:r>
      <w:r w:rsidR="009856C2" w:rsidRPr="00F2691D">
        <w:rPr>
          <w:rFonts w:eastAsia="MS Mincho"/>
          <w:b/>
          <w:bCs/>
          <w:sz w:val="22"/>
          <w:szCs w:val="22"/>
          <w:lang w:eastAsia="ja-JP"/>
        </w:rPr>
        <w:t>i</w:t>
      </w:r>
      <w:r w:rsidRPr="00F2691D">
        <w:rPr>
          <w:rFonts w:eastAsia="MS Mincho"/>
          <w:b/>
          <w:bCs/>
          <w:sz w:val="22"/>
          <w:szCs w:val="22"/>
          <w:lang w:eastAsia="ja-JP"/>
        </w:rPr>
        <w:t>ntegrales</w:t>
      </w:r>
    </w:p>
    <w:p w14:paraId="4F3E6B3A" w14:textId="344E4246" w:rsidR="00DE1CD5" w:rsidRDefault="00DE1CD5" w:rsidP="00DE1CD5">
      <w:pPr>
        <w:jc w:val="both"/>
        <w:rPr>
          <w:rFonts w:eastAsia="MS Mincho"/>
          <w:b/>
          <w:bCs/>
          <w:sz w:val="22"/>
          <w:szCs w:val="22"/>
          <w:lang w:eastAsia="ja-JP"/>
        </w:rPr>
      </w:pPr>
    </w:p>
    <w:tbl>
      <w:tblPr>
        <w:tblW w:w="9333" w:type="dxa"/>
        <w:jc w:val="right"/>
        <w:tblCellMar>
          <w:left w:w="70" w:type="dxa"/>
          <w:right w:w="70" w:type="dxa"/>
        </w:tblCellMar>
        <w:tblLook w:val="04A0" w:firstRow="1" w:lastRow="0" w:firstColumn="1" w:lastColumn="0" w:noHBand="0" w:noVBand="1"/>
      </w:tblPr>
      <w:tblGrid>
        <w:gridCol w:w="6293"/>
        <w:gridCol w:w="1520"/>
        <w:gridCol w:w="1520"/>
      </w:tblGrid>
      <w:tr w:rsidR="00192852" w14:paraId="0C76A9FA" w14:textId="77777777" w:rsidTr="00F2691D">
        <w:trPr>
          <w:trHeight w:val="300"/>
          <w:jc w:val="right"/>
        </w:trPr>
        <w:tc>
          <w:tcPr>
            <w:tcW w:w="6293" w:type="dxa"/>
            <w:tcBorders>
              <w:top w:val="nil"/>
              <w:left w:val="nil"/>
              <w:bottom w:val="nil"/>
              <w:right w:val="nil"/>
            </w:tcBorders>
            <w:shd w:val="clear" w:color="auto" w:fill="auto"/>
            <w:vAlign w:val="bottom"/>
            <w:hideMark/>
          </w:tcPr>
          <w:p w14:paraId="65B5C66B" w14:textId="77777777" w:rsidR="00192852" w:rsidRDefault="00192852" w:rsidP="000A0418">
            <w:pPr>
              <w:rPr>
                <w:i/>
                <w:iCs/>
                <w:color w:val="000000"/>
                <w:sz w:val="22"/>
                <w:szCs w:val="22"/>
                <w:lang w:val="es-AR" w:eastAsia="es-AR"/>
              </w:rPr>
            </w:pPr>
            <w:r>
              <w:rPr>
                <w:i/>
                <w:iCs/>
                <w:color w:val="000000"/>
                <w:sz w:val="22"/>
                <w:szCs w:val="22"/>
              </w:rPr>
              <w:t>(Cifras expresadas en miles de pesos)</w:t>
            </w:r>
          </w:p>
        </w:tc>
        <w:tc>
          <w:tcPr>
            <w:tcW w:w="3040" w:type="dxa"/>
            <w:gridSpan w:val="2"/>
            <w:tcBorders>
              <w:top w:val="nil"/>
              <w:left w:val="nil"/>
              <w:bottom w:val="single" w:sz="4" w:space="0" w:color="auto"/>
              <w:right w:val="nil"/>
            </w:tcBorders>
            <w:shd w:val="clear" w:color="auto" w:fill="auto"/>
            <w:vAlign w:val="bottom"/>
            <w:hideMark/>
          </w:tcPr>
          <w:p w14:paraId="0989F488" w14:textId="77777777" w:rsidR="00192852" w:rsidRDefault="00192852" w:rsidP="000A0418">
            <w:pPr>
              <w:jc w:val="center"/>
              <w:rPr>
                <w:color w:val="000000"/>
                <w:sz w:val="22"/>
                <w:szCs w:val="22"/>
              </w:rPr>
            </w:pPr>
            <w:r>
              <w:rPr>
                <w:color w:val="000000"/>
                <w:sz w:val="22"/>
                <w:szCs w:val="22"/>
              </w:rPr>
              <w:t>Período de seis meses finalizado el 31 de diciembre de</w:t>
            </w:r>
          </w:p>
        </w:tc>
      </w:tr>
      <w:tr w:rsidR="00192852" w14:paraId="27DCC2C7" w14:textId="77777777" w:rsidTr="00F2691D">
        <w:trPr>
          <w:trHeight w:val="360"/>
          <w:jc w:val="right"/>
        </w:trPr>
        <w:tc>
          <w:tcPr>
            <w:tcW w:w="6293" w:type="dxa"/>
            <w:tcBorders>
              <w:top w:val="nil"/>
              <w:left w:val="nil"/>
              <w:bottom w:val="nil"/>
              <w:right w:val="nil"/>
            </w:tcBorders>
            <w:shd w:val="clear" w:color="auto" w:fill="auto"/>
            <w:vAlign w:val="bottom"/>
            <w:hideMark/>
          </w:tcPr>
          <w:p w14:paraId="3F638182" w14:textId="77777777" w:rsidR="00192852" w:rsidRDefault="00192852" w:rsidP="00F2691D">
            <w:pPr>
              <w:rPr>
                <w:color w:val="000000"/>
                <w:sz w:val="22"/>
                <w:szCs w:val="22"/>
              </w:rPr>
            </w:pPr>
          </w:p>
        </w:tc>
        <w:tc>
          <w:tcPr>
            <w:tcW w:w="1520" w:type="dxa"/>
            <w:tcBorders>
              <w:top w:val="nil"/>
              <w:left w:val="nil"/>
              <w:bottom w:val="single" w:sz="4" w:space="0" w:color="auto"/>
              <w:right w:val="nil"/>
            </w:tcBorders>
            <w:shd w:val="clear" w:color="auto" w:fill="auto"/>
            <w:noWrap/>
            <w:vAlign w:val="bottom"/>
            <w:hideMark/>
          </w:tcPr>
          <w:p w14:paraId="676C4013" w14:textId="77777777" w:rsidR="00192852" w:rsidRDefault="00192852" w:rsidP="000A0418">
            <w:pPr>
              <w:jc w:val="center"/>
              <w:rPr>
                <w:color w:val="000000"/>
                <w:sz w:val="22"/>
                <w:szCs w:val="22"/>
              </w:rPr>
            </w:pPr>
            <w:r>
              <w:rPr>
                <w:color w:val="000000"/>
                <w:sz w:val="22"/>
                <w:szCs w:val="22"/>
              </w:rPr>
              <w:t>2019</w:t>
            </w:r>
          </w:p>
        </w:tc>
        <w:tc>
          <w:tcPr>
            <w:tcW w:w="1520" w:type="dxa"/>
            <w:tcBorders>
              <w:top w:val="nil"/>
              <w:left w:val="nil"/>
              <w:bottom w:val="single" w:sz="4" w:space="0" w:color="auto"/>
              <w:right w:val="nil"/>
            </w:tcBorders>
            <w:shd w:val="clear" w:color="auto" w:fill="auto"/>
            <w:noWrap/>
            <w:vAlign w:val="bottom"/>
            <w:hideMark/>
          </w:tcPr>
          <w:p w14:paraId="3EE30FAA" w14:textId="77777777" w:rsidR="00192852" w:rsidRDefault="00192852" w:rsidP="000A0418">
            <w:pPr>
              <w:jc w:val="center"/>
              <w:rPr>
                <w:color w:val="000000"/>
                <w:sz w:val="22"/>
                <w:szCs w:val="22"/>
              </w:rPr>
            </w:pPr>
            <w:r>
              <w:rPr>
                <w:color w:val="000000"/>
                <w:sz w:val="22"/>
                <w:szCs w:val="22"/>
              </w:rPr>
              <w:t>2018</w:t>
            </w:r>
          </w:p>
        </w:tc>
      </w:tr>
      <w:tr w:rsidR="00192852" w14:paraId="250F18CB" w14:textId="77777777" w:rsidTr="00F2691D">
        <w:trPr>
          <w:trHeight w:val="300"/>
          <w:jc w:val="right"/>
        </w:trPr>
        <w:tc>
          <w:tcPr>
            <w:tcW w:w="6293" w:type="dxa"/>
            <w:tcBorders>
              <w:top w:val="nil"/>
              <w:left w:val="nil"/>
              <w:bottom w:val="nil"/>
              <w:right w:val="nil"/>
            </w:tcBorders>
            <w:shd w:val="clear" w:color="auto" w:fill="auto"/>
            <w:vAlign w:val="bottom"/>
            <w:hideMark/>
          </w:tcPr>
          <w:p w14:paraId="5B2913D9" w14:textId="77777777" w:rsidR="00192852" w:rsidRDefault="00192852" w:rsidP="000A0418">
            <w:pPr>
              <w:rPr>
                <w:color w:val="000000"/>
                <w:sz w:val="22"/>
                <w:szCs w:val="22"/>
              </w:rPr>
            </w:pPr>
            <w:r>
              <w:rPr>
                <w:color w:val="000000"/>
                <w:sz w:val="22"/>
                <w:szCs w:val="22"/>
              </w:rPr>
              <w:t>Ingresos ordinarios</w:t>
            </w:r>
          </w:p>
        </w:tc>
        <w:tc>
          <w:tcPr>
            <w:tcW w:w="1520" w:type="dxa"/>
            <w:tcBorders>
              <w:top w:val="nil"/>
              <w:left w:val="nil"/>
              <w:bottom w:val="nil"/>
              <w:right w:val="nil"/>
            </w:tcBorders>
            <w:shd w:val="clear" w:color="auto" w:fill="auto"/>
            <w:noWrap/>
            <w:vAlign w:val="bottom"/>
            <w:hideMark/>
          </w:tcPr>
          <w:p w14:paraId="51EB5794" w14:textId="77777777" w:rsidR="00192852" w:rsidRDefault="00192852" w:rsidP="000A0418">
            <w:pPr>
              <w:jc w:val="right"/>
              <w:rPr>
                <w:color w:val="000000"/>
                <w:sz w:val="22"/>
                <w:szCs w:val="22"/>
              </w:rPr>
            </w:pPr>
            <w:r>
              <w:rPr>
                <w:color w:val="000000"/>
                <w:sz w:val="22"/>
                <w:szCs w:val="22"/>
              </w:rPr>
              <w:t>5.666.183</w:t>
            </w:r>
          </w:p>
        </w:tc>
        <w:tc>
          <w:tcPr>
            <w:tcW w:w="1520" w:type="dxa"/>
            <w:tcBorders>
              <w:top w:val="nil"/>
              <w:left w:val="nil"/>
              <w:bottom w:val="nil"/>
              <w:right w:val="nil"/>
            </w:tcBorders>
            <w:shd w:val="clear" w:color="auto" w:fill="auto"/>
            <w:noWrap/>
            <w:vAlign w:val="bottom"/>
            <w:hideMark/>
          </w:tcPr>
          <w:p w14:paraId="4C8BAA3F" w14:textId="77777777" w:rsidR="00192852" w:rsidRDefault="00192852" w:rsidP="000A0418">
            <w:pPr>
              <w:jc w:val="right"/>
              <w:rPr>
                <w:color w:val="000000"/>
                <w:sz w:val="22"/>
                <w:szCs w:val="22"/>
              </w:rPr>
            </w:pPr>
            <w:r>
              <w:rPr>
                <w:color w:val="000000"/>
                <w:sz w:val="22"/>
                <w:szCs w:val="22"/>
              </w:rPr>
              <w:t>5.194.035</w:t>
            </w:r>
          </w:p>
        </w:tc>
      </w:tr>
      <w:tr w:rsidR="00192852" w14:paraId="7F23FAF4" w14:textId="77777777" w:rsidTr="00F2691D">
        <w:trPr>
          <w:trHeight w:val="300"/>
          <w:jc w:val="right"/>
        </w:trPr>
        <w:tc>
          <w:tcPr>
            <w:tcW w:w="6293" w:type="dxa"/>
            <w:tcBorders>
              <w:top w:val="nil"/>
              <w:left w:val="nil"/>
              <w:bottom w:val="nil"/>
              <w:right w:val="nil"/>
            </w:tcBorders>
            <w:shd w:val="clear" w:color="auto" w:fill="auto"/>
            <w:vAlign w:val="bottom"/>
            <w:hideMark/>
          </w:tcPr>
          <w:p w14:paraId="4F36D86C" w14:textId="77777777" w:rsidR="00192852" w:rsidRDefault="00192852" w:rsidP="000A0418">
            <w:pPr>
              <w:rPr>
                <w:color w:val="000000"/>
                <w:sz w:val="22"/>
                <w:szCs w:val="22"/>
              </w:rPr>
            </w:pPr>
            <w:r>
              <w:rPr>
                <w:color w:val="000000"/>
                <w:sz w:val="22"/>
                <w:szCs w:val="22"/>
              </w:rPr>
              <w:t>Resultado operativo</w:t>
            </w:r>
          </w:p>
        </w:tc>
        <w:tc>
          <w:tcPr>
            <w:tcW w:w="1520" w:type="dxa"/>
            <w:tcBorders>
              <w:top w:val="nil"/>
              <w:left w:val="nil"/>
              <w:bottom w:val="nil"/>
              <w:right w:val="nil"/>
            </w:tcBorders>
            <w:shd w:val="clear" w:color="auto" w:fill="auto"/>
            <w:noWrap/>
            <w:vAlign w:val="bottom"/>
            <w:hideMark/>
          </w:tcPr>
          <w:p w14:paraId="06197550" w14:textId="77777777" w:rsidR="00192852" w:rsidRDefault="00192852" w:rsidP="000A0418">
            <w:pPr>
              <w:jc w:val="right"/>
              <w:rPr>
                <w:color w:val="000000"/>
                <w:sz w:val="22"/>
                <w:szCs w:val="22"/>
              </w:rPr>
            </w:pPr>
            <w:r>
              <w:rPr>
                <w:color w:val="000000"/>
                <w:sz w:val="22"/>
                <w:szCs w:val="22"/>
              </w:rPr>
              <w:t>1.345.746</w:t>
            </w:r>
          </w:p>
        </w:tc>
        <w:tc>
          <w:tcPr>
            <w:tcW w:w="1520" w:type="dxa"/>
            <w:tcBorders>
              <w:top w:val="nil"/>
              <w:left w:val="nil"/>
              <w:bottom w:val="nil"/>
              <w:right w:val="nil"/>
            </w:tcBorders>
            <w:shd w:val="clear" w:color="auto" w:fill="auto"/>
            <w:noWrap/>
            <w:vAlign w:val="bottom"/>
            <w:hideMark/>
          </w:tcPr>
          <w:p w14:paraId="19B63BE2" w14:textId="77777777" w:rsidR="00192852" w:rsidRDefault="00192852" w:rsidP="000A0418">
            <w:pPr>
              <w:jc w:val="right"/>
              <w:rPr>
                <w:color w:val="000000"/>
                <w:sz w:val="22"/>
                <w:szCs w:val="22"/>
              </w:rPr>
            </w:pPr>
            <w:r>
              <w:rPr>
                <w:color w:val="000000"/>
                <w:sz w:val="22"/>
                <w:szCs w:val="22"/>
              </w:rPr>
              <w:t>1.541.374</w:t>
            </w:r>
          </w:p>
        </w:tc>
      </w:tr>
      <w:tr w:rsidR="00192852" w14:paraId="229BA4BE" w14:textId="77777777" w:rsidTr="00F2691D">
        <w:trPr>
          <w:trHeight w:val="300"/>
          <w:jc w:val="right"/>
        </w:trPr>
        <w:tc>
          <w:tcPr>
            <w:tcW w:w="6293" w:type="dxa"/>
            <w:tcBorders>
              <w:top w:val="nil"/>
              <w:left w:val="nil"/>
              <w:bottom w:val="nil"/>
              <w:right w:val="nil"/>
            </w:tcBorders>
            <w:shd w:val="clear" w:color="auto" w:fill="auto"/>
            <w:vAlign w:val="bottom"/>
            <w:hideMark/>
          </w:tcPr>
          <w:p w14:paraId="225F6924" w14:textId="77777777" w:rsidR="00192852" w:rsidRDefault="00192852" w:rsidP="000A0418">
            <w:pPr>
              <w:rPr>
                <w:color w:val="000000"/>
                <w:sz w:val="22"/>
                <w:szCs w:val="22"/>
              </w:rPr>
            </w:pPr>
            <w:r>
              <w:rPr>
                <w:color w:val="000000"/>
                <w:sz w:val="22"/>
                <w:szCs w:val="22"/>
              </w:rPr>
              <w:t>Resultado antes de impuesto</w:t>
            </w:r>
          </w:p>
        </w:tc>
        <w:tc>
          <w:tcPr>
            <w:tcW w:w="1520" w:type="dxa"/>
            <w:tcBorders>
              <w:top w:val="nil"/>
              <w:left w:val="nil"/>
              <w:bottom w:val="nil"/>
              <w:right w:val="nil"/>
            </w:tcBorders>
            <w:shd w:val="clear" w:color="auto" w:fill="auto"/>
            <w:noWrap/>
            <w:vAlign w:val="bottom"/>
            <w:hideMark/>
          </w:tcPr>
          <w:p w14:paraId="41513F5A" w14:textId="77777777" w:rsidR="00192852" w:rsidRDefault="00192852" w:rsidP="000A0418">
            <w:pPr>
              <w:jc w:val="right"/>
              <w:rPr>
                <w:color w:val="000000"/>
                <w:sz w:val="22"/>
                <w:szCs w:val="22"/>
              </w:rPr>
            </w:pPr>
            <w:r>
              <w:rPr>
                <w:color w:val="000000"/>
                <w:sz w:val="22"/>
                <w:szCs w:val="22"/>
              </w:rPr>
              <w:t>256.124</w:t>
            </w:r>
          </w:p>
        </w:tc>
        <w:tc>
          <w:tcPr>
            <w:tcW w:w="1520" w:type="dxa"/>
            <w:tcBorders>
              <w:top w:val="nil"/>
              <w:left w:val="nil"/>
              <w:bottom w:val="nil"/>
              <w:right w:val="nil"/>
            </w:tcBorders>
            <w:shd w:val="clear" w:color="auto" w:fill="auto"/>
            <w:noWrap/>
            <w:vAlign w:val="bottom"/>
            <w:hideMark/>
          </w:tcPr>
          <w:p w14:paraId="64F83F27" w14:textId="77777777" w:rsidR="00192852" w:rsidRDefault="00192852" w:rsidP="000A0418">
            <w:pPr>
              <w:jc w:val="right"/>
              <w:rPr>
                <w:color w:val="000000"/>
                <w:sz w:val="22"/>
                <w:szCs w:val="22"/>
              </w:rPr>
            </w:pPr>
            <w:r>
              <w:rPr>
                <w:color w:val="000000"/>
                <w:sz w:val="22"/>
                <w:szCs w:val="22"/>
              </w:rPr>
              <w:t>813.308</w:t>
            </w:r>
          </w:p>
        </w:tc>
      </w:tr>
      <w:tr w:rsidR="00192852" w14:paraId="3B7D6ED2" w14:textId="77777777" w:rsidTr="00F2691D">
        <w:trPr>
          <w:trHeight w:val="300"/>
          <w:jc w:val="right"/>
        </w:trPr>
        <w:tc>
          <w:tcPr>
            <w:tcW w:w="6293" w:type="dxa"/>
            <w:tcBorders>
              <w:top w:val="nil"/>
              <w:left w:val="nil"/>
              <w:bottom w:val="nil"/>
              <w:right w:val="nil"/>
            </w:tcBorders>
            <w:shd w:val="clear" w:color="auto" w:fill="auto"/>
            <w:vAlign w:val="bottom"/>
            <w:hideMark/>
          </w:tcPr>
          <w:p w14:paraId="480BE43D" w14:textId="77777777" w:rsidR="00192852" w:rsidRDefault="00192852" w:rsidP="000A0418">
            <w:pPr>
              <w:rPr>
                <w:b/>
                <w:bCs/>
                <w:color w:val="000000"/>
                <w:sz w:val="22"/>
                <w:szCs w:val="22"/>
              </w:rPr>
            </w:pPr>
            <w:r>
              <w:rPr>
                <w:b/>
                <w:bCs/>
                <w:color w:val="000000"/>
                <w:sz w:val="22"/>
                <w:szCs w:val="22"/>
              </w:rPr>
              <w:t>Resultado neto</w:t>
            </w:r>
          </w:p>
        </w:tc>
        <w:tc>
          <w:tcPr>
            <w:tcW w:w="1520" w:type="dxa"/>
            <w:tcBorders>
              <w:top w:val="nil"/>
              <w:left w:val="nil"/>
              <w:bottom w:val="nil"/>
              <w:right w:val="nil"/>
            </w:tcBorders>
            <w:shd w:val="clear" w:color="auto" w:fill="auto"/>
            <w:noWrap/>
            <w:vAlign w:val="bottom"/>
            <w:hideMark/>
          </w:tcPr>
          <w:p w14:paraId="0B3FE27D" w14:textId="77777777" w:rsidR="00192852" w:rsidRDefault="00192852" w:rsidP="000A0418">
            <w:pPr>
              <w:jc w:val="right"/>
              <w:rPr>
                <w:b/>
                <w:bCs/>
                <w:color w:val="000000"/>
                <w:sz w:val="22"/>
                <w:szCs w:val="22"/>
              </w:rPr>
            </w:pPr>
            <w:r>
              <w:rPr>
                <w:b/>
                <w:bCs/>
                <w:color w:val="000000"/>
                <w:sz w:val="22"/>
                <w:szCs w:val="22"/>
              </w:rPr>
              <w:t>132.865</w:t>
            </w:r>
          </w:p>
        </w:tc>
        <w:tc>
          <w:tcPr>
            <w:tcW w:w="1520" w:type="dxa"/>
            <w:tcBorders>
              <w:top w:val="nil"/>
              <w:left w:val="nil"/>
              <w:bottom w:val="nil"/>
              <w:right w:val="nil"/>
            </w:tcBorders>
            <w:shd w:val="clear" w:color="auto" w:fill="auto"/>
            <w:noWrap/>
            <w:vAlign w:val="bottom"/>
            <w:hideMark/>
          </w:tcPr>
          <w:p w14:paraId="2CE07F39" w14:textId="77777777" w:rsidR="00192852" w:rsidRDefault="00192852" w:rsidP="000A0418">
            <w:pPr>
              <w:jc w:val="right"/>
              <w:rPr>
                <w:b/>
                <w:bCs/>
                <w:color w:val="000000"/>
                <w:sz w:val="22"/>
                <w:szCs w:val="22"/>
              </w:rPr>
            </w:pPr>
            <w:r>
              <w:rPr>
                <w:b/>
                <w:bCs/>
                <w:color w:val="000000"/>
                <w:sz w:val="22"/>
                <w:szCs w:val="22"/>
              </w:rPr>
              <w:t>535.591</w:t>
            </w:r>
          </w:p>
        </w:tc>
      </w:tr>
      <w:tr w:rsidR="00192852" w14:paraId="7F83AC5F" w14:textId="77777777" w:rsidTr="00F2691D">
        <w:trPr>
          <w:trHeight w:val="300"/>
          <w:jc w:val="right"/>
        </w:trPr>
        <w:tc>
          <w:tcPr>
            <w:tcW w:w="6293" w:type="dxa"/>
            <w:tcBorders>
              <w:top w:val="nil"/>
              <w:left w:val="nil"/>
              <w:bottom w:val="nil"/>
              <w:right w:val="nil"/>
            </w:tcBorders>
            <w:shd w:val="clear" w:color="auto" w:fill="auto"/>
            <w:vAlign w:val="bottom"/>
            <w:hideMark/>
          </w:tcPr>
          <w:p w14:paraId="56114235" w14:textId="77777777" w:rsidR="00192852" w:rsidRDefault="00192852" w:rsidP="000A0418">
            <w:pPr>
              <w:rPr>
                <w:color w:val="000000"/>
                <w:sz w:val="22"/>
                <w:szCs w:val="22"/>
              </w:rPr>
            </w:pPr>
            <w:r>
              <w:rPr>
                <w:color w:val="000000"/>
                <w:sz w:val="22"/>
                <w:szCs w:val="22"/>
              </w:rPr>
              <w:t>Otros resultados integrales</w:t>
            </w:r>
          </w:p>
        </w:tc>
        <w:tc>
          <w:tcPr>
            <w:tcW w:w="1520" w:type="dxa"/>
            <w:tcBorders>
              <w:top w:val="nil"/>
              <w:left w:val="nil"/>
              <w:bottom w:val="nil"/>
              <w:right w:val="nil"/>
            </w:tcBorders>
            <w:shd w:val="clear" w:color="auto" w:fill="auto"/>
            <w:noWrap/>
            <w:vAlign w:val="bottom"/>
            <w:hideMark/>
          </w:tcPr>
          <w:p w14:paraId="6F25D5E0" w14:textId="77777777" w:rsidR="00192852" w:rsidRDefault="00192852" w:rsidP="000A0418">
            <w:pPr>
              <w:jc w:val="right"/>
              <w:rPr>
                <w:color w:val="000000"/>
                <w:sz w:val="22"/>
                <w:szCs w:val="22"/>
              </w:rPr>
            </w:pPr>
            <w:r>
              <w:rPr>
                <w:color w:val="000000"/>
                <w:sz w:val="22"/>
                <w:szCs w:val="22"/>
              </w:rPr>
              <w:t>265.725</w:t>
            </w:r>
          </w:p>
        </w:tc>
        <w:tc>
          <w:tcPr>
            <w:tcW w:w="1520" w:type="dxa"/>
            <w:tcBorders>
              <w:top w:val="nil"/>
              <w:left w:val="nil"/>
              <w:bottom w:val="nil"/>
              <w:right w:val="nil"/>
            </w:tcBorders>
            <w:shd w:val="clear" w:color="auto" w:fill="auto"/>
            <w:noWrap/>
            <w:vAlign w:val="bottom"/>
            <w:hideMark/>
          </w:tcPr>
          <w:p w14:paraId="198ADE6D" w14:textId="77777777" w:rsidR="00192852" w:rsidRDefault="00192852" w:rsidP="000A0418">
            <w:pPr>
              <w:jc w:val="right"/>
              <w:rPr>
                <w:color w:val="000000"/>
                <w:sz w:val="22"/>
                <w:szCs w:val="22"/>
              </w:rPr>
            </w:pPr>
            <w:r>
              <w:rPr>
                <w:color w:val="000000"/>
                <w:sz w:val="22"/>
                <w:szCs w:val="22"/>
              </w:rPr>
              <w:t>27.965</w:t>
            </w:r>
          </w:p>
        </w:tc>
      </w:tr>
      <w:tr w:rsidR="00192852" w14:paraId="58184C94" w14:textId="77777777" w:rsidTr="00F2691D">
        <w:trPr>
          <w:trHeight w:val="300"/>
          <w:jc w:val="right"/>
        </w:trPr>
        <w:tc>
          <w:tcPr>
            <w:tcW w:w="6293" w:type="dxa"/>
            <w:tcBorders>
              <w:top w:val="nil"/>
              <w:left w:val="nil"/>
              <w:bottom w:val="nil"/>
              <w:right w:val="nil"/>
            </w:tcBorders>
            <w:shd w:val="clear" w:color="auto" w:fill="auto"/>
            <w:vAlign w:val="bottom"/>
            <w:hideMark/>
          </w:tcPr>
          <w:p w14:paraId="7978C23A" w14:textId="77777777" w:rsidR="00192852" w:rsidRDefault="00192852" w:rsidP="000A0418">
            <w:pPr>
              <w:rPr>
                <w:b/>
                <w:bCs/>
                <w:color w:val="000000"/>
                <w:sz w:val="22"/>
                <w:szCs w:val="22"/>
              </w:rPr>
            </w:pPr>
            <w:r>
              <w:rPr>
                <w:b/>
                <w:bCs/>
                <w:color w:val="000000"/>
                <w:sz w:val="22"/>
                <w:szCs w:val="22"/>
              </w:rPr>
              <w:t>Resultado integral total</w:t>
            </w:r>
          </w:p>
        </w:tc>
        <w:tc>
          <w:tcPr>
            <w:tcW w:w="1520" w:type="dxa"/>
            <w:tcBorders>
              <w:top w:val="nil"/>
              <w:left w:val="nil"/>
              <w:bottom w:val="nil"/>
              <w:right w:val="nil"/>
            </w:tcBorders>
            <w:shd w:val="clear" w:color="auto" w:fill="auto"/>
            <w:noWrap/>
            <w:vAlign w:val="bottom"/>
            <w:hideMark/>
          </w:tcPr>
          <w:p w14:paraId="28C025E1" w14:textId="77777777" w:rsidR="00192852" w:rsidRDefault="00192852" w:rsidP="000A0418">
            <w:pPr>
              <w:jc w:val="right"/>
              <w:rPr>
                <w:b/>
                <w:bCs/>
                <w:color w:val="000000"/>
                <w:sz w:val="22"/>
                <w:szCs w:val="22"/>
              </w:rPr>
            </w:pPr>
            <w:r>
              <w:rPr>
                <w:b/>
                <w:bCs/>
                <w:color w:val="000000"/>
                <w:sz w:val="22"/>
                <w:szCs w:val="22"/>
              </w:rPr>
              <w:t>398.590</w:t>
            </w:r>
          </w:p>
        </w:tc>
        <w:tc>
          <w:tcPr>
            <w:tcW w:w="1520" w:type="dxa"/>
            <w:tcBorders>
              <w:top w:val="nil"/>
              <w:left w:val="nil"/>
              <w:bottom w:val="nil"/>
              <w:right w:val="nil"/>
            </w:tcBorders>
            <w:shd w:val="clear" w:color="auto" w:fill="auto"/>
            <w:noWrap/>
            <w:vAlign w:val="bottom"/>
            <w:hideMark/>
          </w:tcPr>
          <w:p w14:paraId="6E79F77C" w14:textId="77777777" w:rsidR="00192852" w:rsidRDefault="00192852" w:rsidP="000A0418">
            <w:pPr>
              <w:jc w:val="right"/>
              <w:rPr>
                <w:b/>
                <w:bCs/>
                <w:color w:val="000000"/>
                <w:sz w:val="22"/>
                <w:szCs w:val="22"/>
              </w:rPr>
            </w:pPr>
            <w:r>
              <w:rPr>
                <w:b/>
                <w:bCs/>
                <w:color w:val="000000"/>
                <w:sz w:val="22"/>
                <w:szCs w:val="22"/>
              </w:rPr>
              <w:t>563.555</w:t>
            </w:r>
          </w:p>
        </w:tc>
      </w:tr>
    </w:tbl>
    <w:p w14:paraId="39514EDF" w14:textId="77777777" w:rsidR="00192852" w:rsidRPr="00F2691D" w:rsidRDefault="00192852" w:rsidP="00DE1CD5">
      <w:pPr>
        <w:jc w:val="both"/>
        <w:rPr>
          <w:rFonts w:eastAsia="MS Mincho"/>
          <w:b/>
          <w:bCs/>
          <w:sz w:val="22"/>
          <w:szCs w:val="22"/>
          <w:lang w:eastAsia="ja-JP"/>
        </w:rPr>
      </w:pPr>
    </w:p>
    <w:p w14:paraId="28A477B3" w14:textId="77777777" w:rsidR="00DE1CD5" w:rsidRPr="00F2691D" w:rsidRDefault="00DE1CD5" w:rsidP="00DE1CD5">
      <w:pPr>
        <w:jc w:val="both"/>
        <w:rPr>
          <w:rFonts w:eastAsia="MS Mincho"/>
          <w:b/>
          <w:bCs/>
          <w:sz w:val="22"/>
          <w:szCs w:val="22"/>
          <w:lang w:eastAsia="ja-JP"/>
        </w:rPr>
      </w:pPr>
    </w:p>
    <w:p w14:paraId="5F34C244" w14:textId="77777777" w:rsidR="009856C2" w:rsidRPr="00F2691D" w:rsidRDefault="009856C2" w:rsidP="00DE1CD5">
      <w:pPr>
        <w:jc w:val="both"/>
        <w:rPr>
          <w:rFonts w:eastAsia="MS Mincho"/>
          <w:b/>
          <w:bCs/>
          <w:sz w:val="22"/>
          <w:szCs w:val="22"/>
          <w:lang w:eastAsia="ja-JP"/>
        </w:rPr>
      </w:pPr>
    </w:p>
    <w:tbl>
      <w:tblPr>
        <w:tblW w:w="8852" w:type="dxa"/>
        <w:tblCellMar>
          <w:left w:w="70" w:type="dxa"/>
          <w:right w:w="70" w:type="dxa"/>
        </w:tblCellMar>
        <w:tblLook w:val="04A0" w:firstRow="1" w:lastRow="0" w:firstColumn="1" w:lastColumn="0" w:noHBand="0" w:noVBand="1"/>
      </w:tblPr>
      <w:tblGrid>
        <w:gridCol w:w="5812"/>
        <w:gridCol w:w="1520"/>
        <w:gridCol w:w="1520"/>
      </w:tblGrid>
      <w:tr w:rsidR="00192852" w14:paraId="075197AB" w14:textId="77777777" w:rsidTr="00F2691D">
        <w:trPr>
          <w:trHeight w:val="283"/>
        </w:trPr>
        <w:tc>
          <w:tcPr>
            <w:tcW w:w="5812" w:type="dxa"/>
            <w:tcBorders>
              <w:top w:val="nil"/>
              <w:left w:val="nil"/>
              <w:bottom w:val="nil"/>
              <w:right w:val="nil"/>
            </w:tcBorders>
            <w:shd w:val="clear" w:color="auto" w:fill="auto"/>
            <w:vAlign w:val="bottom"/>
            <w:hideMark/>
          </w:tcPr>
          <w:p w14:paraId="5ABF22F3" w14:textId="77777777" w:rsidR="00192852" w:rsidRDefault="00192852" w:rsidP="000A0418">
            <w:pPr>
              <w:rPr>
                <w:i/>
                <w:iCs/>
                <w:color w:val="000000"/>
                <w:sz w:val="22"/>
                <w:szCs w:val="22"/>
                <w:lang w:val="es-AR" w:eastAsia="es-AR"/>
              </w:rPr>
            </w:pPr>
            <w:r>
              <w:rPr>
                <w:i/>
                <w:iCs/>
                <w:color w:val="000000"/>
                <w:sz w:val="22"/>
                <w:szCs w:val="22"/>
              </w:rPr>
              <w:t>(Cifras expresadas en miles)</w:t>
            </w:r>
          </w:p>
        </w:tc>
        <w:tc>
          <w:tcPr>
            <w:tcW w:w="3040" w:type="dxa"/>
            <w:gridSpan w:val="2"/>
            <w:tcBorders>
              <w:top w:val="nil"/>
              <w:left w:val="nil"/>
              <w:bottom w:val="single" w:sz="4" w:space="0" w:color="auto"/>
              <w:right w:val="nil"/>
            </w:tcBorders>
            <w:shd w:val="clear" w:color="auto" w:fill="auto"/>
            <w:vAlign w:val="bottom"/>
            <w:hideMark/>
          </w:tcPr>
          <w:p w14:paraId="71ACA562" w14:textId="77777777" w:rsidR="00192852" w:rsidRDefault="00192852" w:rsidP="000A0418">
            <w:pPr>
              <w:jc w:val="center"/>
              <w:rPr>
                <w:color w:val="000000"/>
                <w:sz w:val="22"/>
                <w:szCs w:val="22"/>
              </w:rPr>
            </w:pPr>
            <w:r>
              <w:rPr>
                <w:color w:val="000000"/>
                <w:sz w:val="22"/>
                <w:szCs w:val="22"/>
              </w:rPr>
              <w:t>Período de seis meses finalizado el 31 de diciembre de</w:t>
            </w:r>
          </w:p>
        </w:tc>
      </w:tr>
      <w:tr w:rsidR="00192852" w14:paraId="1D112611" w14:textId="77777777" w:rsidTr="00F2691D">
        <w:trPr>
          <w:trHeight w:val="283"/>
        </w:trPr>
        <w:tc>
          <w:tcPr>
            <w:tcW w:w="5812" w:type="dxa"/>
            <w:tcBorders>
              <w:top w:val="nil"/>
              <w:left w:val="nil"/>
              <w:bottom w:val="nil"/>
              <w:right w:val="nil"/>
            </w:tcBorders>
            <w:shd w:val="clear" w:color="auto" w:fill="auto"/>
            <w:vAlign w:val="bottom"/>
            <w:hideMark/>
          </w:tcPr>
          <w:p w14:paraId="6034205C" w14:textId="77777777" w:rsidR="00192852" w:rsidRDefault="00192852" w:rsidP="000A0418">
            <w:pPr>
              <w:jc w:val="center"/>
              <w:rPr>
                <w:color w:val="000000"/>
                <w:sz w:val="22"/>
                <w:szCs w:val="22"/>
              </w:rPr>
            </w:pPr>
          </w:p>
        </w:tc>
        <w:tc>
          <w:tcPr>
            <w:tcW w:w="1520" w:type="dxa"/>
            <w:tcBorders>
              <w:top w:val="nil"/>
              <w:left w:val="nil"/>
              <w:bottom w:val="single" w:sz="4" w:space="0" w:color="auto"/>
              <w:right w:val="nil"/>
            </w:tcBorders>
            <w:shd w:val="clear" w:color="auto" w:fill="auto"/>
            <w:noWrap/>
            <w:vAlign w:val="bottom"/>
            <w:hideMark/>
          </w:tcPr>
          <w:p w14:paraId="4ACA4DD3" w14:textId="77777777" w:rsidR="00192852" w:rsidRDefault="00192852" w:rsidP="000A0418">
            <w:pPr>
              <w:jc w:val="center"/>
              <w:rPr>
                <w:color w:val="000000"/>
                <w:sz w:val="22"/>
                <w:szCs w:val="22"/>
              </w:rPr>
            </w:pPr>
            <w:r>
              <w:rPr>
                <w:color w:val="000000"/>
                <w:sz w:val="22"/>
                <w:szCs w:val="22"/>
              </w:rPr>
              <w:t>2019</w:t>
            </w:r>
          </w:p>
        </w:tc>
        <w:tc>
          <w:tcPr>
            <w:tcW w:w="1520" w:type="dxa"/>
            <w:tcBorders>
              <w:top w:val="nil"/>
              <w:left w:val="nil"/>
              <w:bottom w:val="single" w:sz="4" w:space="0" w:color="auto"/>
              <w:right w:val="nil"/>
            </w:tcBorders>
            <w:shd w:val="clear" w:color="auto" w:fill="auto"/>
            <w:noWrap/>
            <w:vAlign w:val="bottom"/>
            <w:hideMark/>
          </w:tcPr>
          <w:p w14:paraId="4E1880C7" w14:textId="77777777" w:rsidR="00192852" w:rsidRDefault="00192852" w:rsidP="000A0418">
            <w:pPr>
              <w:jc w:val="center"/>
              <w:rPr>
                <w:color w:val="000000"/>
                <w:sz w:val="22"/>
                <w:szCs w:val="22"/>
              </w:rPr>
            </w:pPr>
            <w:r>
              <w:rPr>
                <w:color w:val="000000"/>
                <w:sz w:val="22"/>
                <w:szCs w:val="22"/>
              </w:rPr>
              <w:t>2018</w:t>
            </w:r>
          </w:p>
        </w:tc>
      </w:tr>
      <w:tr w:rsidR="00192852" w14:paraId="7076DF90" w14:textId="77777777" w:rsidTr="00F2691D">
        <w:trPr>
          <w:trHeight w:val="283"/>
        </w:trPr>
        <w:tc>
          <w:tcPr>
            <w:tcW w:w="5812" w:type="dxa"/>
            <w:tcBorders>
              <w:top w:val="nil"/>
              <w:left w:val="nil"/>
              <w:bottom w:val="nil"/>
              <w:right w:val="nil"/>
            </w:tcBorders>
            <w:shd w:val="clear" w:color="auto" w:fill="auto"/>
            <w:vAlign w:val="bottom"/>
            <w:hideMark/>
          </w:tcPr>
          <w:p w14:paraId="35EE1080" w14:textId="77777777" w:rsidR="00192852" w:rsidRDefault="00192852" w:rsidP="000A0418">
            <w:pPr>
              <w:rPr>
                <w:color w:val="000000"/>
                <w:sz w:val="22"/>
                <w:szCs w:val="22"/>
              </w:rPr>
            </w:pPr>
            <w:r>
              <w:rPr>
                <w:color w:val="000000"/>
                <w:sz w:val="22"/>
                <w:szCs w:val="22"/>
              </w:rPr>
              <w:t>Acciones ordinarias en circulación al cierre del período</w:t>
            </w:r>
          </w:p>
        </w:tc>
        <w:tc>
          <w:tcPr>
            <w:tcW w:w="1520" w:type="dxa"/>
            <w:tcBorders>
              <w:top w:val="nil"/>
              <w:left w:val="nil"/>
              <w:bottom w:val="nil"/>
              <w:right w:val="nil"/>
            </w:tcBorders>
            <w:shd w:val="clear" w:color="auto" w:fill="auto"/>
            <w:noWrap/>
            <w:vAlign w:val="bottom"/>
            <w:hideMark/>
          </w:tcPr>
          <w:p w14:paraId="08FBCC6E" w14:textId="77777777" w:rsidR="00192852" w:rsidRDefault="00192852" w:rsidP="000A0418">
            <w:pPr>
              <w:jc w:val="right"/>
              <w:rPr>
                <w:color w:val="000000"/>
                <w:sz w:val="22"/>
                <w:szCs w:val="22"/>
              </w:rPr>
            </w:pPr>
            <w:r>
              <w:rPr>
                <w:color w:val="000000"/>
                <w:sz w:val="22"/>
                <w:szCs w:val="22"/>
              </w:rPr>
              <w:t>40.000</w:t>
            </w:r>
          </w:p>
        </w:tc>
        <w:tc>
          <w:tcPr>
            <w:tcW w:w="1520" w:type="dxa"/>
            <w:tcBorders>
              <w:top w:val="nil"/>
              <w:left w:val="nil"/>
              <w:bottom w:val="nil"/>
              <w:right w:val="nil"/>
            </w:tcBorders>
            <w:shd w:val="clear" w:color="auto" w:fill="auto"/>
            <w:noWrap/>
            <w:vAlign w:val="bottom"/>
            <w:hideMark/>
          </w:tcPr>
          <w:p w14:paraId="3EDE47D7" w14:textId="77777777" w:rsidR="00192852" w:rsidRDefault="00192852" w:rsidP="000A0418">
            <w:pPr>
              <w:jc w:val="right"/>
              <w:rPr>
                <w:color w:val="000000"/>
                <w:sz w:val="22"/>
                <w:szCs w:val="22"/>
              </w:rPr>
            </w:pPr>
            <w:r>
              <w:rPr>
                <w:color w:val="000000"/>
                <w:sz w:val="22"/>
                <w:szCs w:val="22"/>
              </w:rPr>
              <w:t>40.000</w:t>
            </w:r>
          </w:p>
        </w:tc>
      </w:tr>
      <w:tr w:rsidR="00192852" w14:paraId="61C7EA12" w14:textId="77777777" w:rsidTr="00F2691D">
        <w:trPr>
          <w:trHeight w:val="283"/>
        </w:trPr>
        <w:tc>
          <w:tcPr>
            <w:tcW w:w="5812" w:type="dxa"/>
            <w:tcBorders>
              <w:top w:val="nil"/>
              <w:left w:val="nil"/>
              <w:bottom w:val="nil"/>
              <w:right w:val="nil"/>
            </w:tcBorders>
            <w:shd w:val="clear" w:color="auto" w:fill="auto"/>
            <w:vAlign w:val="bottom"/>
            <w:hideMark/>
          </w:tcPr>
          <w:p w14:paraId="1B6B9D10" w14:textId="77777777" w:rsidR="00192852" w:rsidRDefault="00192852" w:rsidP="000A0418">
            <w:pPr>
              <w:rPr>
                <w:color w:val="000000"/>
                <w:sz w:val="22"/>
                <w:szCs w:val="22"/>
              </w:rPr>
            </w:pPr>
            <w:r>
              <w:rPr>
                <w:color w:val="000000"/>
                <w:sz w:val="22"/>
                <w:szCs w:val="22"/>
              </w:rPr>
              <w:t>Resultado del período atribuible a los accionistas</w:t>
            </w:r>
          </w:p>
        </w:tc>
        <w:tc>
          <w:tcPr>
            <w:tcW w:w="1520" w:type="dxa"/>
            <w:tcBorders>
              <w:top w:val="nil"/>
              <w:left w:val="nil"/>
              <w:bottom w:val="nil"/>
              <w:right w:val="nil"/>
            </w:tcBorders>
            <w:shd w:val="clear" w:color="auto" w:fill="auto"/>
            <w:noWrap/>
            <w:vAlign w:val="bottom"/>
            <w:hideMark/>
          </w:tcPr>
          <w:p w14:paraId="0A752B22" w14:textId="77777777" w:rsidR="00192852" w:rsidRDefault="00192852" w:rsidP="000A0418">
            <w:pPr>
              <w:jc w:val="right"/>
              <w:rPr>
                <w:color w:val="000000"/>
                <w:sz w:val="22"/>
                <w:szCs w:val="22"/>
              </w:rPr>
            </w:pPr>
            <w:r>
              <w:rPr>
                <w:color w:val="000000"/>
                <w:sz w:val="22"/>
                <w:szCs w:val="22"/>
              </w:rPr>
              <w:t>133.133</w:t>
            </w:r>
          </w:p>
        </w:tc>
        <w:tc>
          <w:tcPr>
            <w:tcW w:w="1520" w:type="dxa"/>
            <w:tcBorders>
              <w:top w:val="nil"/>
              <w:left w:val="nil"/>
              <w:bottom w:val="nil"/>
              <w:right w:val="nil"/>
            </w:tcBorders>
            <w:shd w:val="clear" w:color="auto" w:fill="auto"/>
            <w:noWrap/>
            <w:vAlign w:val="bottom"/>
            <w:hideMark/>
          </w:tcPr>
          <w:p w14:paraId="4C04734B" w14:textId="77777777" w:rsidR="00192852" w:rsidRDefault="00192852" w:rsidP="000A0418">
            <w:pPr>
              <w:jc w:val="right"/>
              <w:rPr>
                <w:color w:val="000000"/>
                <w:sz w:val="22"/>
                <w:szCs w:val="22"/>
              </w:rPr>
            </w:pPr>
            <w:r>
              <w:rPr>
                <w:color w:val="000000"/>
                <w:sz w:val="22"/>
                <w:szCs w:val="22"/>
              </w:rPr>
              <w:t>535.539</w:t>
            </w:r>
          </w:p>
        </w:tc>
      </w:tr>
      <w:tr w:rsidR="00192852" w14:paraId="612213B2" w14:textId="77777777" w:rsidTr="00F2691D">
        <w:trPr>
          <w:trHeight w:val="283"/>
        </w:trPr>
        <w:tc>
          <w:tcPr>
            <w:tcW w:w="5812" w:type="dxa"/>
            <w:tcBorders>
              <w:top w:val="nil"/>
              <w:left w:val="nil"/>
              <w:bottom w:val="nil"/>
              <w:right w:val="nil"/>
            </w:tcBorders>
            <w:shd w:val="clear" w:color="auto" w:fill="auto"/>
            <w:vAlign w:val="bottom"/>
            <w:hideMark/>
          </w:tcPr>
          <w:p w14:paraId="4D6BAEF9" w14:textId="77777777" w:rsidR="00192852" w:rsidRDefault="00192852" w:rsidP="000A0418">
            <w:pPr>
              <w:rPr>
                <w:color w:val="000000"/>
                <w:sz w:val="22"/>
                <w:szCs w:val="22"/>
              </w:rPr>
            </w:pPr>
            <w:r>
              <w:rPr>
                <w:color w:val="000000"/>
                <w:sz w:val="22"/>
                <w:szCs w:val="22"/>
              </w:rPr>
              <w:t>Resultado (básico y diluido) por acción</w:t>
            </w:r>
          </w:p>
        </w:tc>
        <w:tc>
          <w:tcPr>
            <w:tcW w:w="1520" w:type="dxa"/>
            <w:tcBorders>
              <w:top w:val="nil"/>
              <w:left w:val="nil"/>
              <w:bottom w:val="nil"/>
              <w:right w:val="nil"/>
            </w:tcBorders>
            <w:shd w:val="clear" w:color="auto" w:fill="auto"/>
            <w:noWrap/>
            <w:vAlign w:val="bottom"/>
            <w:hideMark/>
          </w:tcPr>
          <w:p w14:paraId="372458A7" w14:textId="77777777" w:rsidR="00192852" w:rsidRDefault="00192852" w:rsidP="000A0418">
            <w:pPr>
              <w:jc w:val="right"/>
              <w:rPr>
                <w:color w:val="000000"/>
                <w:sz w:val="22"/>
                <w:szCs w:val="22"/>
              </w:rPr>
            </w:pPr>
            <w:r>
              <w:rPr>
                <w:color w:val="000000"/>
                <w:sz w:val="22"/>
                <w:szCs w:val="22"/>
              </w:rPr>
              <w:t>3,33</w:t>
            </w:r>
          </w:p>
        </w:tc>
        <w:tc>
          <w:tcPr>
            <w:tcW w:w="1520" w:type="dxa"/>
            <w:tcBorders>
              <w:top w:val="nil"/>
              <w:left w:val="nil"/>
              <w:bottom w:val="nil"/>
              <w:right w:val="nil"/>
            </w:tcBorders>
            <w:shd w:val="clear" w:color="auto" w:fill="auto"/>
            <w:noWrap/>
            <w:vAlign w:val="bottom"/>
            <w:hideMark/>
          </w:tcPr>
          <w:p w14:paraId="0869E27A" w14:textId="77777777" w:rsidR="00192852" w:rsidRDefault="00192852" w:rsidP="000A0418">
            <w:pPr>
              <w:jc w:val="right"/>
              <w:rPr>
                <w:color w:val="000000"/>
                <w:sz w:val="22"/>
                <w:szCs w:val="22"/>
              </w:rPr>
            </w:pPr>
            <w:r>
              <w:rPr>
                <w:color w:val="000000"/>
                <w:sz w:val="22"/>
                <w:szCs w:val="22"/>
              </w:rPr>
              <w:t>13,39</w:t>
            </w:r>
          </w:p>
        </w:tc>
      </w:tr>
    </w:tbl>
    <w:p w14:paraId="060DA058" w14:textId="77777777" w:rsidR="00DE1CD5" w:rsidRPr="00F2691D" w:rsidRDefault="00DE1CD5" w:rsidP="00DE1CD5">
      <w:pPr>
        <w:jc w:val="both"/>
        <w:rPr>
          <w:rFonts w:eastAsia="MS Mincho"/>
          <w:b/>
          <w:sz w:val="22"/>
        </w:rPr>
      </w:pPr>
    </w:p>
    <w:p w14:paraId="53CD0A30" w14:textId="471282DA" w:rsidR="00DE1CD5" w:rsidRPr="00F2691D" w:rsidRDefault="009856C2" w:rsidP="00DE1CD5">
      <w:pPr>
        <w:jc w:val="both"/>
        <w:rPr>
          <w:rFonts w:eastAsia="MS Mincho"/>
          <w:b/>
          <w:bCs/>
          <w:sz w:val="22"/>
          <w:szCs w:val="22"/>
          <w:lang w:eastAsia="ja-JP"/>
        </w:rPr>
      </w:pPr>
      <w:r w:rsidRPr="00F2691D">
        <w:rPr>
          <w:rFonts w:eastAsia="MS Mincho"/>
          <w:b/>
          <w:bCs/>
          <w:sz w:val="22"/>
          <w:szCs w:val="22"/>
          <w:lang w:eastAsia="ja-JP"/>
        </w:rPr>
        <w:t>2- Estado de situación financiera</w:t>
      </w:r>
    </w:p>
    <w:p w14:paraId="7C0CB271" w14:textId="467F0EBE" w:rsidR="00DE1CD5" w:rsidRDefault="00DE1CD5" w:rsidP="00DE1CD5">
      <w:pPr>
        <w:jc w:val="both"/>
        <w:rPr>
          <w:rFonts w:eastAsia="MS Mincho"/>
          <w:b/>
          <w:bCs/>
          <w:sz w:val="22"/>
          <w:szCs w:val="22"/>
          <w:lang w:eastAsia="ja-JP"/>
        </w:rPr>
      </w:pPr>
    </w:p>
    <w:tbl>
      <w:tblPr>
        <w:tblW w:w="9562" w:type="dxa"/>
        <w:tblCellMar>
          <w:left w:w="70" w:type="dxa"/>
          <w:right w:w="70" w:type="dxa"/>
        </w:tblCellMar>
        <w:tblLook w:val="04A0" w:firstRow="1" w:lastRow="0" w:firstColumn="1" w:lastColumn="0" w:noHBand="0" w:noVBand="1"/>
      </w:tblPr>
      <w:tblGrid>
        <w:gridCol w:w="70"/>
        <w:gridCol w:w="5742"/>
        <w:gridCol w:w="70"/>
        <w:gridCol w:w="1450"/>
        <w:gridCol w:w="1520"/>
        <w:gridCol w:w="710"/>
      </w:tblGrid>
      <w:tr w:rsidR="00192852" w14:paraId="2434B295" w14:textId="77777777" w:rsidTr="00F2691D">
        <w:trPr>
          <w:gridBefore w:val="1"/>
          <w:wBefore w:w="70" w:type="dxa"/>
          <w:trHeight w:val="300"/>
        </w:trPr>
        <w:tc>
          <w:tcPr>
            <w:tcW w:w="5812" w:type="dxa"/>
            <w:gridSpan w:val="2"/>
            <w:tcBorders>
              <w:top w:val="nil"/>
              <w:left w:val="nil"/>
              <w:bottom w:val="nil"/>
              <w:right w:val="nil"/>
            </w:tcBorders>
            <w:shd w:val="clear" w:color="auto" w:fill="auto"/>
            <w:vAlign w:val="center"/>
            <w:hideMark/>
          </w:tcPr>
          <w:p w14:paraId="28A52FAD" w14:textId="77777777" w:rsidR="00192852" w:rsidRPr="00192852" w:rsidRDefault="00192852" w:rsidP="000A0418">
            <w:pPr>
              <w:rPr>
                <w:i/>
                <w:iCs/>
                <w:color w:val="000000"/>
                <w:sz w:val="22"/>
                <w:szCs w:val="22"/>
              </w:rPr>
            </w:pPr>
            <w:r>
              <w:rPr>
                <w:i/>
                <w:iCs/>
                <w:color w:val="000000"/>
                <w:sz w:val="22"/>
                <w:szCs w:val="22"/>
              </w:rPr>
              <w:t>(Cifras expresadas en miles de pesos)</w:t>
            </w:r>
          </w:p>
        </w:tc>
        <w:tc>
          <w:tcPr>
            <w:tcW w:w="3680" w:type="dxa"/>
            <w:gridSpan w:val="3"/>
            <w:tcBorders>
              <w:top w:val="nil"/>
              <w:left w:val="nil"/>
              <w:bottom w:val="nil"/>
              <w:right w:val="nil"/>
            </w:tcBorders>
            <w:shd w:val="clear" w:color="auto" w:fill="auto"/>
            <w:noWrap/>
            <w:vAlign w:val="center"/>
            <w:hideMark/>
          </w:tcPr>
          <w:p w14:paraId="6422C036" w14:textId="77777777" w:rsidR="00192852" w:rsidRDefault="00192852" w:rsidP="000A0418">
            <w:pPr>
              <w:jc w:val="center"/>
              <w:rPr>
                <w:color w:val="000000"/>
                <w:sz w:val="22"/>
                <w:szCs w:val="22"/>
              </w:rPr>
            </w:pPr>
            <w:r>
              <w:rPr>
                <w:color w:val="000000"/>
                <w:sz w:val="22"/>
                <w:szCs w:val="22"/>
              </w:rPr>
              <w:t>Al 31 de diciembre de</w:t>
            </w:r>
          </w:p>
        </w:tc>
      </w:tr>
      <w:tr w:rsidR="00192852" w14:paraId="274BE0C1" w14:textId="77777777" w:rsidTr="00F2691D">
        <w:trPr>
          <w:gridAfter w:val="1"/>
          <w:wAfter w:w="710" w:type="dxa"/>
          <w:trHeight w:val="360"/>
        </w:trPr>
        <w:tc>
          <w:tcPr>
            <w:tcW w:w="5812" w:type="dxa"/>
            <w:gridSpan w:val="2"/>
            <w:tcBorders>
              <w:top w:val="nil"/>
              <w:left w:val="nil"/>
              <w:bottom w:val="nil"/>
              <w:right w:val="nil"/>
            </w:tcBorders>
            <w:vAlign w:val="center"/>
            <w:hideMark/>
          </w:tcPr>
          <w:p w14:paraId="14B3C53D" w14:textId="77777777" w:rsidR="00192852" w:rsidRDefault="00192852" w:rsidP="000A0418">
            <w:pPr>
              <w:rPr>
                <w:i/>
                <w:iCs/>
                <w:color w:val="000000"/>
                <w:sz w:val="22"/>
                <w:szCs w:val="22"/>
              </w:rPr>
            </w:pPr>
          </w:p>
        </w:tc>
        <w:tc>
          <w:tcPr>
            <w:tcW w:w="1520" w:type="dxa"/>
            <w:gridSpan w:val="2"/>
            <w:tcBorders>
              <w:top w:val="nil"/>
              <w:left w:val="nil"/>
              <w:bottom w:val="single" w:sz="4" w:space="0" w:color="auto"/>
              <w:right w:val="nil"/>
            </w:tcBorders>
            <w:shd w:val="clear" w:color="auto" w:fill="auto"/>
            <w:noWrap/>
            <w:vAlign w:val="bottom"/>
            <w:hideMark/>
          </w:tcPr>
          <w:p w14:paraId="4FA27719" w14:textId="77777777" w:rsidR="00192852" w:rsidRDefault="00192852" w:rsidP="000A0418">
            <w:pPr>
              <w:jc w:val="center"/>
              <w:rPr>
                <w:color w:val="000000"/>
                <w:sz w:val="22"/>
                <w:szCs w:val="22"/>
              </w:rPr>
            </w:pPr>
            <w:r>
              <w:rPr>
                <w:color w:val="000000"/>
                <w:sz w:val="22"/>
                <w:szCs w:val="22"/>
              </w:rPr>
              <w:t>2019</w:t>
            </w:r>
          </w:p>
        </w:tc>
        <w:tc>
          <w:tcPr>
            <w:tcW w:w="1520" w:type="dxa"/>
            <w:tcBorders>
              <w:top w:val="nil"/>
              <w:left w:val="nil"/>
              <w:bottom w:val="single" w:sz="4" w:space="0" w:color="auto"/>
              <w:right w:val="nil"/>
            </w:tcBorders>
            <w:shd w:val="clear" w:color="auto" w:fill="auto"/>
            <w:noWrap/>
            <w:vAlign w:val="bottom"/>
            <w:hideMark/>
          </w:tcPr>
          <w:p w14:paraId="26BFCDEE" w14:textId="77777777" w:rsidR="00192852" w:rsidRDefault="00192852" w:rsidP="000A0418">
            <w:pPr>
              <w:jc w:val="center"/>
              <w:rPr>
                <w:color w:val="000000"/>
                <w:sz w:val="22"/>
                <w:szCs w:val="22"/>
              </w:rPr>
            </w:pPr>
            <w:r>
              <w:rPr>
                <w:color w:val="000000"/>
                <w:sz w:val="22"/>
                <w:szCs w:val="22"/>
              </w:rPr>
              <w:t>2018</w:t>
            </w:r>
          </w:p>
        </w:tc>
      </w:tr>
      <w:tr w:rsidR="00192852" w14:paraId="73078DF9"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24FA15EB" w14:textId="77777777" w:rsidR="00192852" w:rsidRDefault="00192852" w:rsidP="000A0418">
            <w:pPr>
              <w:rPr>
                <w:color w:val="000000"/>
                <w:sz w:val="22"/>
                <w:szCs w:val="22"/>
              </w:rPr>
            </w:pPr>
            <w:r>
              <w:rPr>
                <w:color w:val="000000"/>
                <w:sz w:val="22"/>
                <w:szCs w:val="22"/>
              </w:rPr>
              <w:t>Activo no corriente</w:t>
            </w:r>
          </w:p>
        </w:tc>
        <w:tc>
          <w:tcPr>
            <w:tcW w:w="1520" w:type="dxa"/>
            <w:gridSpan w:val="2"/>
            <w:tcBorders>
              <w:top w:val="nil"/>
              <w:left w:val="nil"/>
              <w:bottom w:val="nil"/>
              <w:right w:val="nil"/>
            </w:tcBorders>
            <w:shd w:val="clear" w:color="auto" w:fill="auto"/>
            <w:noWrap/>
            <w:vAlign w:val="bottom"/>
            <w:hideMark/>
          </w:tcPr>
          <w:p w14:paraId="2927AEFD" w14:textId="7FED4772" w:rsidR="00192852" w:rsidRDefault="00247F07" w:rsidP="000A0418">
            <w:pPr>
              <w:jc w:val="right"/>
              <w:rPr>
                <w:color w:val="000000"/>
                <w:sz w:val="22"/>
                <w:szCs w:val="22"/>
              </w:rPr>
            </w:pPr>
            <w:r>
              <w:rPr>
                <w:color w:val="000000"/>
                <w:sz w:val="22"/>
                <w:szCs w:val="22"/>
              </w:rPr>
              <w:t>2.943.474</w:t>
            </w:r>
          </w:p>
        </w:tc>
        <w:tc>
          <w:tcPr>
            <w:tcW w:w="1520" w:type="dxa"/>
            <w:tcBorders>
              <w:top w:val="nil"/>
              <w:left w:val="nil"/>
              <w:bottom w:val="nil"/>
              <w:right w:val="nil"/>
            </w:tcBorders>
            <w:shd w:val="clear" w:color="auto" w:fill="auto"/>
            <w:noWrap/>
            <w:vAlign w:val="bottom"/>
            <w:hideMark/>
          </w:tcPr>
          <w:p w14:paraId="7270F8D9" w14:textId="77777777" w:rsidR="00192852" w:rsidRDefault="00192852" w:rsidP="000A0418">
            <w:pPr>
              <w:jc w:val="right"/>
              <w:rPr>
                <w:color w:val="000000"/>
                <w:sz w:val="22"/>
                <w:szCs w:val="22"/>
              </w:rPr>
            </w:pPr>
            <w:r>
              <w:rPr>
                <w:color w:val="000000"/>
                <w:sz w:val="22"/>
                <w:szCs w:val="22"/>
              </w:rPr>
              <w:t>2.835.530</w:t>
            </w:r>
          </w:p>
        </w:tc>
      </w:tr>
      <w:tr w:rsidR="00192852" w14:paraId="57F0132C"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03DE6E17" w14:textId="77777777" w:rsidR="00192852" w:rsidRDefault="00192852" w:rsidP="000A0418">
            <w:pPr>
              <w:rPr>
                <w:color w:val="000000"/>
                <w:sz w:val="22"/>
                <w:szCs w:val="22"/>
              </w:rPr>
            </w:pPr>
            <w:r>
              <w:rPr>
                <w:color w:val="000000"/>
                <w:sz w:val="22"/>
                <w:szCs w:val="22"/>
              </w:rPr>
              <w:t>Activo corriente</w:t>
            </w:r>
          </w:p>
        </w:tc>
        <w:tc>
          <w:tcPr>
            <w:tcW w:w="1520" w:type="dxa"/>
            <w:gridSpan w:val="2"/>
            <w:tcBorders>
              <w:top w:val="nil"/>
              <w:left w:val="nil"/>
              <w:bottom w:val="nil"/>
              <w:right w:val="nil"/>
            </w:tcBorders>
            <w:shd w:val="clear" w:color="auto" w:fill="auto"/>
            <w:noWrap/>
            <w:vAlign w:val="bottom"/>
            <w:hideMark/>
          </w:tcPr>
          <w:p w14:paraId="073219BD" w14:textId="77777777" w:rsidR="00192852" w:rsidRDefault="00192852" w:rsidP="000A0418">
            <w:pPr>
              <w:jc w:val="right"/>
              <w:rPr>
                <w:color w:val="000000"/>
                <w:sz w:val="22"/>
                <w:szCs w:val="22"/>
              </w:rPr>
            </w:pPr>
            <w:r>
              <w:rPr>
                <w:color w:val="000000"/>
                <w:sz w:val="22"/>
                <w:szCs w:val="22"/>
              </w:rPr>
              <w:t>8.462.165</w:t>
            </w:r>
          </w:p>
        </w:tc>
        <w:tc>
          <w:tcPr>
            <w:tcW w:w="1520" w:type="dxa"/>
            <w:tcBorders>
              <w:top w:val="nil"/>
              <w:left w:val="nil"/>
              <w:bottom w:val="nil"/>
              <w:right w:val="nil"/>
            </w:tcBorders>
            <w:shd w:val="clear" w:color="auto" w:fill="auto"/>
            <w:noWrap/>
            <w:vAlign w:val="bottom"/>
            <w:hideMark/>
          </w:tcPr>
          <w:p w14:paraId="28120FAC" w14:textId="77777777" w:rsidR="00192852" w:rsidRDefault="00192852" w:rsidP="000A0418">
            <w:pPr>
              <w:jc w:val="right"/>
              <w:rPr>
                <w:color w:val="000000"/>
                <w:sz w:val="22"/>
                <w:szCs w:val="22"/>
              </w:rPr>
            </w:pPr>
            <w:r>
              <w:rPr>
                <w:color w:val="000000"/>
                <w:sz w:val="22"/>
                <w:szCs w:val="22"/>
              </w:rPr>
              <w:t>7.185.097</w:t>
            </w:r>
          </w:p>
        </w:tc>
      </w:tr>
      <w:tr w:rsidR="00192852" w14:paraId="51B8CBB9"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301C6916" w14:textId="77777777" w:rsidR="00192852" w:rsidRDefault="00192852" w:rsidP="000A0418">
            <w:pPr>
              <w:rPr>
                <w:b/>
                <w:bCs/>
                <w:color w:val="000000"/>
                <w:sz w:val="22"/>
                <w:szCs w:val="22"/>
              </w:rPr>
            </w:pPr>
            <w:r>
              <w:rPr>
                <w:b/>
                <w:bCs/>
                <w:color w:val="000000"/>
                <w:sz w:val="22"/>
                <w:szCs w:val="22"/>
              </w:rPr>
              <w:t>Total activo</w:t>
            </w:r>
          </w:p>
        </w:tc>
        <w:tc>
          <w:tcPr>
            <w:tcW w:w="1520" w:type="dxa"/>
            <w:gridSpan w:val="2"/>
            <w:tcBorders>
              <w:top w:val="nil"/>
              <w:left w:val="nil"/>
              <w:bottom w:val="nil"/>
              <w:right w:val="nil"/>
            </w:tcBorders>
            <w:shd w:val="clear" w:color="auto" w:fill="auto"/>
            <w:noWrap/>
            <w:vAlign w:val="bottom"/>
            <w:hideMark/>
          </w:tcPr>
          <w:p w14:paraId="4CF82C43" w14:textId="4CDAEF14" w:rsidR="00192852" w:rsidRDefault="00192852" w:rsidP="000A0418">
            <w:pPr>
              <w:jc w:val="right"/>
              <w:rPr>
                <w:b/>
                <w:bCs/>
                <w:color w:val="000000"/>
                <w:sz w:val="22"/>
                <w:szCs w:val="22"/>
              </w:rPr>
            </w:pPr>
            <w:r>
              <w:rPr>
                <w:b/>
                <w:bCs/>
                <w:color w:val="000000"/>
                <w:sz w:val="22"/>
                <w:szCs w:val="22"/>
              </w:rPr>
              <w:t>11.40</w:t>
            </w:r>
            <w:r w:rsidR="00247F07">
              <w:rPr>
                <w:b/>
                <w:bCs/>
                <w:color w:val="000000"/>
                <w:sz w:val="22"/>
                <w:szCs w:val="22"/>
              </w:rPr>
              <w:t>5.639</w:t>
            </w:r>
          </w:p>
        </w:tc>
        <w:tc>
          <w:tcPr>
            <w:tcW w:w="1520" w:type="dxa"/>
            <w:tcBorders>
              <w:top w:val="nil"/>
              <w:left w:val="nil"/>
              <w:bottom w:val="nil"/>
              <w:right w:val="nil"/>
            </w:tcBorders>
            <w:shd w:val="clear" w:color="auto" w:fill="auto"/>
            <w:noWrap/>
            <w:vAlign w:val="bottom"/>
            <w:hideMark/>
          </w:tcPr>
          <w:p w14:paraId="67C6D3D0" w14:textId="77777777" w:rsidR="00192852" w:rsidRDefault="00192852" w:rsidP="000A0418">
            <w:pPr>
              <w:jc w:val="right"/>
              <w:rPr>
                <w:b/>
                <w:bCs/>
                <w:color w:val="000000"/>
                <w:sz w:val="22"/>
                <w:szCs w:val="22"/>
              </w:rPr>
            </w:pPr>
            <w:r>
              <w:rPr>
                <w:b/>
                <w:bCs/>
                <w:color w:val="000000"/>
                <w:sz w:val="22"/>
                <w:szCs w:val="22"/>
              </w:rPr>
              <w:t>10.020.626</w:t>
            </w:r>
          </w:p>
        </w:tc>
      </w:tr>
      <w:tr w:rsidR="00192852" w14:paraId="60762807"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396C4708" w14:textId="77777777" w:rsidR="00192852" w:rsidRDefault="00192852" w:rsidP="000A0418">
            <w:pPr>
              <w:rPr>
                <w:b/>
                <w:bCs/>
                <w:color w:val="000000"/>
                <w:sz w:val="22"/>
                <w:szCs w:val="22"/>
              </w:rPr>
            </w:pPr>
            <w:r>
              <w:rPr>
                <w:b/>
                <w:bCs/>
                <w:color w:val="000000"/>
                <w:sz w:val="22"/>
                <w:szCs w:val="22"/>
              </w:rPr>
              <w:t>Total patrimonio</w:t>
            </w:r>
          </w:p>
        </w:tc>
        <w:tc>
          <w:tcPr>
            <w:tcW w:w="1520" w:type="dxa"/>
            <w:gridSpan w:val="2"/>
            <w:tcBorders>
              <w:top w:val="nil"/>
              <w:left w:val="nil"/>
              <w:bottom w:val="nil"/>
              <w:right w:val="nil"/>
            </w:tcBorders>
            <w:shd w:val="clear" w:color="auto" w:fill="auto"/>
            <w:noWrap/>
            <w:vAlign w:val="bottom"/>
            <w:hideMark/>
          </w:tcPr>
          <w:p w14:paraId="09EDDB0C" w14:textId="77777777" w:rsidR="00192852" w:rsidRDefault="00192852" w:rsidP="000A0418">
            <w:pPr>
              <w:jc w:val="right"/>
              <w:rPr>
                <w:b/>
                <w:bCs/>
                <w:color w:val="000000"/>
                <w:sz w:val="22"/>
                <w:szCs w:val="22"/>
              </w:rPr>
            </w:pPr>
            <w:r>
              <w:rPr>
                <w:b/>
                <w:bCs/>
                <w:color w:val="000000"/>
                <w:sz w:val="22"/>
                <w:szCs w:val="22"/>
              </w:rPr>
              <w:t>2.001.715</w:t>
            </w:r>
          </w:p>
        </w:tc>
        <w:tc>
          <w:tcPr>
            <w:tcW w:w="1520" w:type="dxa"/>
            <w:tcBorders>
              <w:top w:val="nil"/>
              <w:left w:val="nil"/>
              <w:bottom w:val="nil"/>
              <w:right w:val="nil"/>
            </w:tcBorders>
            <w:shd w:val="clear" w:color="auto" w:fill="auto"/>
            <w:noWrap/>
            <w:vAlign w:val="bottom"/>
            <w:hideMark/>
          </w:tcPr>
          <w:p w14:paraId="04F9065F" w14:textId="77777777" w:rsidR="00192852" w:rsidRDefault="00192852" w:rsidP="000A0418">
            <w:pPr>
              <w:jc w:val="right"/>
              <w:rPr>
                <w:b/>
                <w:bCs/>
                <w:color w:val="000000"/>
                <w:sz w:val="22"/>
                <w:szCs w:val="22"/>
              </w:rPr>
            </w:pPr>
            <w:r>
              <w:rPr>
                <w:b/>
                <w:bCs/>
                <w:color w:val="000000"/>
                <w:sz w:val="22"/>
                <w:szCs w:val="22"/>
              </w:rPr>
              <w:t>1.870.650</w:t>
            </w:r>
          </w:p>
        </w:tc>
      </w:tr>
      <w:tr w:rsidR="00192852" w14:paraId="552450B1"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2FEA7341" w14:textId="77777777" w:rsidR="00192852" w:rsidRDefault="00192852" w:rsidP="000A0418">
            <w:pPr>
              <w:rPr>
                <w:color w:val="000000"/>
                <w:sz w:val="22"/>
                <w:szCs w:val="22"/>
              </w:rPr>
            </w:pPr>
            <w:r>
              <w:rPr>
                <w:color w:val="000000"/>
                <w:sz w:val="22"/>
                <w:szCs w:val="22"/>
              </w:rPr>
              <w:t>Pasivo no corriente</w:t>
            </w:r>
          </w:p>
        </w:tc>
        <w:tc>
          <w:tcPr>
            <w:tcW w:w="1520" w:type="dxa"/>
            <w:gridSpan w:val="2"/>
            <w:tcBorders>
              <w:top w:val="nil"/>
              <w:left w:val="nil"/>
              <w:bottom w:val="nil"/>
              <w:right w:val="nil"/>
            </w:tcBorders>
            <w:shd w:val="clear" w:color="auto" w:fill="auto"/>
            <w:noWrap/>
            <w:vAlign w:val="bottom"/>
            <w:hideMark/>
          </w:tcPr>
          <w:p w14:paraId="50544EDE" w14:textId="77777777" w:rsidR="00192852" w:rsidRDefault="00192852" w:rsidP="000A0418">
            <w:pPr>
              <w:jc w:val="right"/>
              <w:rPr>
                <w:color w:val="000000"/>
                <w:sz w:val="22"/>
                <w:szCs w:val="22"/>
              </w:rPr>
            </w:pPr>
            <w:r>
              <w:rPr>
                <w:color w:val="000000"/>
                <w:sz w:val="22"/>
                <w:szCs w:val="22"/>
              </w:rPr>
              <w:t>1.353.213</w:t>
            </w:r>
          </w:p>
        </w:tc>
        <w:tc>
          <w:tcPr>
            <w:tcW w:w="1520" w:type="dxa"/>
            <w:tcBorders>
              <w:top w:val="nil"/>
              <w:left w:val="nil"/>
              <w:bottom w:val="nil"/>
              <w:right w:val="nil"/>
            </w:tcBorders>
            <w:shd w:val="clear" w:color="auto" w:fill="auto"/>
            <w:noWrap/>
            <w:vAlign w:val="bottom"/>
            <w:hideMark/>
          </w:tcPr>
          <w:p w14:paraId="4D6274B6" w14:textId="77777777" w:rsidR="00192852" w:rsidRDefault="00192852" w:rsidP="000A0418">
            <w:pPr>
              <w:jc w:val="right"/>
              <w:rPr>
                <w:color w:val="000000"/>
                <w:sz w:val="22"/>
                <w:szCs w:val="22"/>
              </w:rPr>
            </w:pPr>
            <w:r>
              <w:rPr>
                <w:color w:val="000000"/>
                <w:sz w:val="22"/>
                <w:szCs w:val="22"/>
              </w:rPr>
              <w:t>1.488.054</w:t>
            </w:r>
          </w:p>
        </w:tc>
      </w:tr>
      <w:tr w:rsidR="00192852" w14:paraId="12394152"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6D3889B0" w14:textId="77777777" w:rsidR="00192852" w:rsidRDefault="00192852" w:rsidP="000A0418">
            <w:pPr>
              <w:rPr>
                <w:color w:val="000000"/>
                <w:sz w:val="22"/>
                <w:szCs w:val="22"/>
              </w:rPr>
            </w:pPr>
            <w:r>
              <w:rPr>
                <w:color w:val="000000"/>
                <w:sz w:val="22"/>
                <w:szCs w:val="22"/>
              </w:rPr>
              <w:t>Pasivo corriente</w:t>
            </w:r>
          </w:p>
        </w:tc>
        <w:tc>
          <w:tcPr>
            <w:tcW w:w="1520" w:type="dxa"/>
            <w:gridSpan w:val="2"/>
            <w:tcBorders>
              <w:top w:val="nil"/>
              <w:left w:val="nil"/>
              <w:bottom w:val="nil"/>
              <w:right w:val="nil"/>
            </w:tcBorders>
            <w:shd w:val="clear" w:color="auto" w:fill="auto"/>
            <w:noWrap/>
            <w:vAlign w:val="bottom"/>
            <w:hideMark/>
          </w:tcPr>
          <w:p w14:paraId="2D071AA7" w14:textId="0612A61D" w:rsidR="00192852" w:rsidRDefault="00192852" w:rsidP="000A0418">
            <w:pPr>
              <w:jc w:val="right"/>
              <w:rPr>
                <w:color w:val="000000"/>
                <w:sz w:val="22"/>
                <w:szCs w:val="22"/>
              </w:rPr>
            </w:pPr>
            <w:r>
              <w:rPr>
                <w:color w:val="000000"/>
                <w:sz w:val="22"/>
                <w:szCs w:val="22"/>
              </w:rPr>
              <w:t>8.0</w:t>
            </w:r>
            <w:r w:rsidR="00247F07">
              <w:rPr>
                <w:color w:val="000000"/>
                <w:sz w:val="22"/>
                <w:szCs w:val="22"/>
              </w:rPr>
              <w:t>50.711</w:t>
            </w:r>
          </w:p>
        </w:tc>
        <w:tc>
          <w:tcPr>
            <w:tcW w:w="1520" w:type="dxa"/>
            <w:tcBorders>
              <w:top w:val="nil"/>
              <w:left w:val="nil"/>
              <w:bottom w:val="nil"/>
              <w:right w:val="nil"/>
            </w:tcBorders>
            <w:shd w:val="clear" w:color="auto" w:fill="auto"/>
            <w:noWrap/>
            <w:vAlign w:val="bottom"/>
            <w:hideMark/>
          </w:tcPr>
          <w:p w14:paraId="049639EF" w14:textId="77777777" w:rsidR="00192852" w:rsidRDefault="00192852" w:rsidP="000A0418">
            <w:pPr>
              <w:jc w:val="right"/>
              <w:rPr>
                <w:color w:val="000000"/>
                <w:sz w:val="22"/>
                <w:szCs w:val="22"/>
              </w:rPr>
            </w:pPr>
            <w:r>
              <w:rPr>
                <w:color w:val="000000"/>
                <w:sz w:val="22"/>
                <w:szCs w:val="22"/>
              </w:rPr>
              <w:t>6.661.922</w:t>
            </w:r>
          </w:p>
        </w:tc>
      </w:tr>
      <w:tr w:rsidR="00192852" w14:paraId="5474160B"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398BA2CF" w14:textId="77777777" w:rsidR="00192852" w:rsidRDefault="00192852" w:rsidP="000A0418">
            <w:pPr>
              <w:rPr>
                <w:b/>
                <w:bCs/>
                <w:color w:val="000000"/>
                <w:sz w:val="22"/>
                <w:szCs w:val="22"/>
              </w:rPr>
            </w:pPr>
            <w:r>
              <w:rPr>
                <w:b/>
                <w:bCs/>
                <w:color w:val="000000"/>
                <w:sz w:val="22"/>
                <w:szCs w:val="22"/>
              </w:rPr>
              <w:t>Total pasivo</w:t>
            </w:r>
          </w:p>
        </w:tc>
        <w:tc>
          <w:tcPr>
            <w:tcW w:w="1520" w:type="dxa"/>
            <w:gridSpan w:val="2"/>
            <w:tcBorders>
              <w:top w:val="nil"/>
              <w:left w:val="nil"/>
              <w:bottom w:val="nil"/>
              <w:right w:val="nil"/>
            </w:tcBorders>
            <w:shd w:val="clear" w:color="auto" w:fill="auto"/>
            <w:noWrap/>
            <w:vAlign w:val="bottom"/>
            <w:hideMark/>
          </w:tcPr>
          <w:p w14:paraId="3CF1A5A2" w14:textId="147B63D4" w:rsidR="00192852" w:rsidRDefault="00192852" w:rsidP="000A0418">
            <w:pPr>
              <w:jc w:val="right"/>
              <w:rPr>
                <w:b/>
                <w:bCs/>
                <w:color w:val="000000"/>
                <w:sz w:val="22"/>
                <w:szCs w:val="22"/>
              </w:rPr>
            </w:pPr>
            <w:r>
              <w:rPr>
                <w:b/>
                <w:bCs/>
                <w:color w:val="000000"/>
                <w:sz w:val="22"/>
                <w:szCs w:val="22"/>
              </w:rPr>
              <w:t>9.40</w:t>
            </w:r>
            <w:r w:rsidR="00247F07">
              <w:rPr>
                <w:b/>
                <w:bCs/>
                <w:color w:val="000000"/>
                <w:sz w:val="22"/>
                <w:szCs w:val="22"/>
              </w:rPr>
              <w:t>3.924</w:t>
            </w:r>
          </w:p>
        </w:tc>
        <w:tc>
          <w:tcPr>
            <w:tcW w:w="1520" w:type="dxa"/>
            <w:tcBorders>
              <w:top w:val="nil"/>
              <w:left w:val="nil"/>
              <w:bottom w:val="nil"/>
              <w:right w:val="nil"/>
            </w:tcBorders>
            <w:shd w:val="clear" w:color="auto" w:fill="auto"/>
            <w:noWrap/>
            <w:vAlign w:val="bottom"/>
            <w:hideMark/>
          </w:tcPr>
          <w:p w14:paraId="1D6C07CD" w14:textId="77777777" w:rsidR="00192852" w:rsidRDefault="00192852" w:rsidP="000A0418">
            <w:pPr>
              <w:jc w:val="right"/>
              <w:rPr>
                <w:b/>
                <w:bCs/>
                <w:color w:val="000000"/>
                <w:sz w:val="22"/>
                <w:szCs w:val="22"/>
              </w:rPr>
            </w:pPr>
            <w:r>
              <w:rPr>
                <w:b/>
                <w:bCs/>
                <w:color w:val="000000"/>
                <w:sz w:val="22"/>
                <w:szCs w:val="22"/>
              </w:rPr>
              <w:t>8.149.977</w:t>
            </w:r>
          </w:p>
        </w:tc>
      </w:tr>
      <w:tr w:rsidR="00192852" w14:paraId="19F9D238" w14:textId="77777777" w:rsidTr="00F2691D">
        <w:trPr>
          <w:gridAfter w:val="1"/>
          <w:wAfter w:w="710" w:type="dxa"/>
          <w:trHeight w:val="300"/>
        </w:trPr>
        <w:tc>
          <w:tcPr>
            <w:tcW w:w="5812" w:type="dxa"/>
            <w:gridSpan w:val="2"/>
            <w:tcBorders>
              <w:top w:val="nil"/>
              <w:left w:val="nil"/>
              <w:bottom w:val="nil"/>
              <w:right w:val="nil"/>
            </w:tcBorders>
            <w:shd w:val="clear" w:color="auto" w:fill="auto"/>
            <w:vAlign w:val="bottom"/>
            <w:hideMark/>
          </w:tcPr>
          <w:p w14:paraId="047E8448" w14:textId="77777777" w:rsidR="00192852" w:rsidRDefault="00192852" w:rsidP="000A0418">
            <w:pPr>
              <w:rPr>
                <w:b/>
                <w:bCs/>
                <w:color w:val="000000"/>
                <w:sz w:val="22"/>
                <w:szCs w:val="22"/>
              </w:rPr>
            </w:pPr>
            <w:r>
              <w:rPr>
                <w:b/>
                <w:bCs/>
                <w:color w:val="000000"/>
                <w:sz w:val="22"/>
                <w:szCs w:val="22"/>
              </w:rPr>
              <w:t>Total patrimonio y pasivo</w:t>
            </w:r>
          </w:p>
        </w:tc>
        <w:tc>
          <w:tcPr>
            <w:tcW w:w="1520" w:type="dxa"/>
            <w:gridSpan w:val="2"/>
            <w:tcBorders>
              <w:top w:val="nil"/>
              <w:left w:val="nil"/>
              <w:bottom w:val="nil"/>
              <w:right w:val="nil"/>
            </w:tcBorders>
            <w:shd w:val="clear" w:color="auto" w:fill="auto"/>
            <w:noWrap/>
            <w:vAlign w:val="bottom"/>
            <w:hideMark/>
          </w:tcPr>
          <w:p w14:paraId="04A5814C" w14:textId="21679FE9" w:rsidR="00192852" w:rsidRDefault="00192852" w:rsidP="000A0418">
            <w:pPr>
              <w:jc w:val="right"/>
              <w:rPr>
                <w:b/>
                <w:bCs/>
                <w:color w:val="000000"/>
                <w:sz w:val="22"/>
                <w:szCs w:val="22"/>
              </w:rPr>
            </w:pPr>
            <w:r>
              <w:rPr>
                <w:b/>
                <w:bCs/>
                <w:color w:val="000000"/>
                <w:sz w:val="22"/>
                <w:szCs w:val="22"/>
              </w:rPr>
              <w:t>11.40</w:t>
            </w:r>
            <w:r w:rsidR="00247F07">
              <w:rPr>
                <w:b/>
                <w:bCs/>
                <w:color w:val="000000"/>
                <w:sz w:val="22"/>
                <w:szCs w:val="22"/>
              </w:rPr>
              <w:t>5</w:t>
            </w:r>
            <w:r>
              <w:rPr>
                <w:b/>
                <w:bCs/>
                <w:color w:val="000000"/>
                <w:sz w:val="22"/>
                <w:szCs w:val="22"/>
              </w:rPr>
              <w:t>.</w:t>
            </w:r>
            <w:r w:rsidR="00247F07">
              <w:rPr>
                <w:b/>
                <w:bCs/>
                <w:color w:val="000000"/>
                <w:sz w:val="22"/>
                <w:szCs w:val="22"/>
              </w:rPr>
              <w:t>639</w:t>
            </w:r>
          </w:p>
        </w:tc>
        <w:tc>
          <w:tcPr>
            <w:tcW w:w="1520" w:type="dxa"/>
            <w:tcBorders>
              <w:top w:val="nil"/>
              <w:left w:val="nil"/>
              <w:bottom w:val="nil"/>
              <w:right w:val="nil"/>
            </w:tcBorders>
            <w:shd w:val="clear" w:color="auto" w:fill="auto"/>
            <w:noWrap/>
            <w:vAlign w:val="bottom"/>
            <w:hideMark/>
          </w:tcPr>
          <w:p w14:paraId="5C5DEA7E" w14:textId="77777777" w:rsidR="00192852" w:rsidRDefault="00192852" w:rsidP="000A0418">
            <w:pPr>
              <w:jc w:val="right"/>
              <w:rPr>
                <w:b/>
                <w:bCs/>
                <w:color w:val="000000"/>
                <w:sz w:val="22"/>
                <w:szCs w:val="22"/>
              </w:rPr>
            </w:pPr>
            <w:r>
              <w:rPr>
                <w:b/>
                <w:bCs/>
                <w:color w:val="000000"/>
                <w:sz w:val="22"/>
                <w:szCs w:val="22"/>
              </w:rPr>
              <w:t>10.020.626</w:t>
            </w:r>
          </w:p>
        </w:tc>
      </w:tr>
    </w:tbl>
    <w:p w14:paraId="7EBDCF9B" w14:textId="77777777" w:rsidR="00DE1CD5" w:rsidRPr="00F2691D" w:rsidRDefault="00DE1CD5" w:rsidP="00F3428B">
      <w:pPr>
        <w:jc w:val="center"/>
        <w:outlineLvl w:val="0"/>
        <w:rPr>
          <w:b/>
          <w:sz w:val="22"/>
          <w:szCs w:val="22"/>
          <w:u w:val="single"/>
        </w:rPr>
      </w:pPr>
    </w:p>
    <w:p w14:paraId="52D2711B" w14:textId="77777777" w:rsidR="009856C2" w:rsidRPr="00F2691D" w:rsidRDefault="009856C2" w:rsidP="00F3428B">
      <w:pPr>
        <w:jc w:val="center"/>
        <w:outlineLvl w:val="0"/>
        <w:rPr>
          <w:b/>
          <w:sz w:val="22"/>
          <w:szCs w:val="22"/>
          <w:u w:val="single"/>
        </w:rPr>
      </w:pPr>
    </w:p>
    <w:p w14:paraId="6E4A0620" w14:textId="77777777" w:rsidR="009856C2" w:rsidRPr="00F2691D" w:rsidRDefault="009856C2" w:rsidP="009856C2">
      <w:pPr>
        <w:jc w:val="both"/>
        <w:rPr>
          <w:rFonts w:eastAsia="MS Mincho"/>
          <w:b/>
          <w:bCs/>
          <w:sz w:val="22"/>
          <w:szCs w:val="22"/>
          <w:lang w:eastAsia="ja-JP"/>
        </w:rPr>
      </w:pPr>
      <w:r w:rsidRPr="00F2691D">
        <w:rPr>
          <w:rFonts w:eastAsia="MS Mincho"/>
          <w:b/>
          <w:bCs/>
          <w:sz w:val="22"/>
          <w:szCs w:val="22"/>
          <w:lang w:eastAsia="ja-JP"/>
        </w:rPr>
        <w:t>3- Estado de cambios en el patrimonio</w:t>
      </w:r>
    </w:p>
    <w:p w14:paraId="28D9FA5B" w14:textId="77777777" w:rsidR="009856C2" w:rsidRPr="00F2691D" w:rsidRDefault="009856C2" w:rsidP="005423C9">
      <w:pPr>
        <w:jc w:val="center"/>
        <w:outlineLvl w:val="0"/>
        <w:rPr>
          <w:b/>
          <w:sz w:val="22"/>
          <w:u w:val="single"/>
        </w:rPr>
      </w:pPr>
    </w:p>
    <w:tbl>
      <w:tblPr>
        <w:tblW w:w="12672" w:type="dxa"/>
        <w:tblInd w:w="70" w:type="dxa"/>
        <w:tblCellMar>
          <w:left w:w="70" w:type="dxa"/>
          <w:right w:w="70" w:type="dxa"/>
        </w:tblCellMar>
        <w:tblLook w:val="04A0" w:firstRow="1" w:lastRow="0" w:firstColumn="1" w:lastColumn="0" w:noHBand="0" w:noVBand="1"/>
      </w:tblPr>
      <w:tblGrid>
        <w:gridCol w:w="8992"/>
        <w:gridCol w:w="3680"/>
      </w:tblGrid>
      <w:tr w:rsidR="004F3DBB" w:rsidRPr="00EA6053" w14:paraId="2292F6A5" w14:textId="77777777" w:rsidTr="00F2691D">
        <w:trPr>
          <w:trHeight w:val="300"/>
        </w:trPr>
        <w:tc>
          <w:tcPr>
            <w:tcW w:w="8992" w:type="dxa"/>
            <w:tcBorders>
              <w:top w:val="nil"/>
              <w:left w:val="nil"/>
              <w:bottom w:val="nil"/>
              <w:right w:val="nil"/>
            </w:tcBorders>
            <w:shd w:val="clear" w:color="auto" w:fill="auto"/>
            <w:vAlign w:val="bottom"/>
          </w:tcPr>
          <w:p w14:paraId="03334EB0" w14:textId="77777777" w:rsidR="00192852" w:rsidRDefault="00192852">
            <w:pPr>
              <w:rPr>
                <w:i/>
                <w:iCs/>
                <w:color w:val="000000"/>
                <w:sz w:val="22"/>
                <w:szCs w:val="22"/>
              </w:rPr>
            </w:pPr>
          </w:p>
          <w:tbl>
            <w:tblPr>
              <w:tblW w:w="8852" w:type="dxa"/>
              <w:tblCellMar>
                <w:left w:w="70" w:type="dxa"/>
                <w:right w:w="70" w:type="dxa"/>
              </w:tblCellMar>
              <w:tblLook w:val="04A0" w:firstRow="1" w:lastRow="0" w:firstColumn="1" w:lastColumn="0" w:noHBand="0" w:noVBand="1"/>
            </w:tblPr>
            <w:tblGrid>
              <w:gridCol w:w="5812"/>
              <w:gridCol w:w="1520"/>
              <w:gridCol w:w="1520"/>
            </w:tblGrid>
            <w:tr w:rsidR="00192852" w14:paraId="65927E10" w14:textId="77777777" w:rsidTr="00F2691D">
              <w:trPr>
                <w:trHeight w:val="600"/>
              </w:trPr>
              <w:tc>
                <w:tcPr>
                  <w:tcW w:w="5812" w:type="dxa"/>
                  <w:tcBorders>
                    <w:top w:val="nil"/>
                    <w:left w:val="nil"/>
                    <w:bottom w:val="nil"/>
                    <w:right w:val="nil"/>
                  </w:tcBorders>
                  <w:shd w:val="clear" w:color="auto" w:fill="auto"/>
                  <w:vAlign w:val="bottom"/>
                  <w:hideMark/>
                </w:tcPr>
                <w:p w14:paraId="27A838F3" w14:textId="77777777" w:rsidR="00192852" w:rsidRDefault="00192852" w:rsidP="00192852">
                  <w:pPr>
                    <w:rPr>
                      <w:i/>
                      <w:iCs/>
                      <w:color w:val="000000"/>
                      <w:sz w:val="22"/>
                      <w:szCs w:val="22"/>
                      <w:lang w:val="es-AR" w:eastAsia="es-AR"/>
                    </w:rPr>
                  </w:pPr>
                  <w:r>
                    <w:rPr>
                      <w:i/>
                      <w:iCs/>
                      <w:color w:val="000000"/>
                      <w:sz w:val="22"/>
                      <w:szCs w:val="22"/>
                    </w:rPr>
                    <w:t>(Cifras expresadas en miles de pesos)</w:t>
                  </w:r>
                </w:p>
              </w:tc>
              <w:tc>
                <w:tcPr>
                  <w:tcW w:w="3040" w:type="dxa"/>
                  <w:gridSpan w:val="2"/>
                  <w:tcBorders>
                    <w:top w:val="nil"/>
                    <w:left w:val="nil"/>
                    <w:bottom w:val="single" w:sz="4" w:space="0" w:color="auto"/>
                    <w:right w:val="nil"/>
                  </w:tcBorders>
                  <w:shd w:val="clear" w:color="auto" w:fill="auto"/>
                  <w:vAlign w:val="bottom"/>
                  <w:hideMark/>
                </w:tcPr>
                <w:p w14:paraId="7B9D88B5" w14:textId="77777777" w:rsidR="00192852" w:rsidRDefault="00192852" w:rsidP="00192852">
                  <w:pPr>
                    <w:jc w:val="center"/>
                    <w:rPr>
                      <w:color w:val="000000"/>
                      <w:sz w:val="22"/>
                      <w:szCs w:val="22"/>
                    </w:rPr>
                  </w:pPr>
                  <w:r>
                    <w:rPr>
                      <w:color w:val="000000"/>
                      <w:sz w:val="22"/>
                      <w:szCs w:val="22"/>
                    </w:rPr>
                    <w:t>Período de seis meses finalizado el 31 de diciembre de</w:t>
                  </w:r>
                </w:p>
              </w:tc>
            </w:tr>
            <w:tr w:rsidR="00192852" w14:paraId="0B262437" w14:textId="77777777" w:rsidTr="00F2691D">
              <w:trPr>
                <w:trHeight w:val="360"/>
              </w:trPr>
              <w:tc>
                <w:tcPr>
                  <w:tcW w:w="5812" w:type="dxa"/>
                  <w:tcBorders>
                    <w:top w:val="nil"/>
                    <w:left w:val="nil"/>
                    <w:bottom w:val="nil"/>
                    <w:right w:val="nil"/>
                  </w:tcBorders>
                  <w:shd w:val="clear" w:color="auto" w:fill="auto"/>
                  <w:vAlign w:val="bottom"/>
                  <w:hideMark/>
                </w:tcPr>
                <w:p w14:paraId="3FFB24D2" w14:textId="77777777" w:rsidR="00192852" w:rsidRDefault="00192852" w:rsidP="00192852">
                  <w:pPr>
                    <w:jc w:val="center"/>
                    <w:rPr>
                      <w:color w:val="000000"/>
                      <w:sz w:val="22"/>
                      <w:szCs w:val="22"/>
                    </w:rPr>
                  </w:pPr>
                </w:p>
              </w:tc>
              <w:tc>
                <w:tcPr>
                  <w:tcW w:w="1520" w:type="dxa"/>
                  <w:tcBorders>
                    <w:top w:val="nil"/>
                    <w:left w:val="nil"/>
                    <w:bottom w:val="single" w:sz="4" w:space="0" w:color="auto"/>
                    <w:right w:val="nil"/>
                  </w:tcBorders>
                  <w:shd w:val="clear" w:color="auto" w:fill="auto"/>
                  <w:noWrap/>
                  <w:vAlign w:val="bottom"/>
                  <w:hideMark/>
                </w:tcPr>
                <w:p w14:paraId="20C0738B" w14:textId="77777777" w:rsidR="00192852" w:rsidRDefault="00192852" w:rsidP="00192852">
                  <w:pPr>
                    <w:jc w:val="center"/>
                    <w:rPr>
                      <w:color w:val="000000"/>
                      <w:sz w:val="22"/>
                      <w:szCs w:val="22"/>
                    </w:rPr>
                  </w:pPr>
                  <w:r>
                    <w:rPr>
                      <w:color w:val="000000"/>
                      <w:sz w:val="22"/>
                      <w:szCs w:val="22"/>
                    </w:rPr>
                    <w:t>2019</w:t>
                  </w:r>
                </w:p>
              </w:tc>
              <w:tc>
                <w:tcPr>
                  <w:tcW w:w="1520" w:type="dxa"/>
                  <w:tcBorders>
                    <w:top w:val="nil"/>
                    <w:left w:val="nil"/>
                    <w:bottom w:val="single" w:sz="4" w:space="0" w:color="auto"/>
                    <w:right w:val="nil"/>
                  </w:tcBorders>
                  <w:shd w:val="clear" w:color="auto" w:fill="auto"/>
                  <w:noWrap/>
                  <w:vAlign w:val="bottom"/>
                  <w:hideMark/>
                </w:tcPr>
                <w:p w14:paraId="121D5A84" w14:textId="77777777" w:rsidR="00192852" w:rsidRDefault="00192852" w:rsidP="00192852">
                  <w:pPr>
                    <w:jc w:val="center"/>
                    <w:rPr>
                      <w:color w:val="000000"/>
                      <w:sz w:val="22"/>
                      <w:szCs w:val="22"/>
                    </w:rPr>
                  </w:pPr>
                  <w:r>
                    <w:rPr>
                      <w:color w:val="000000"/>
                      <w:sz w:val="22"/>
                      <w:szCs w:val="22"/>
                    </w:rPr>
                    <w:t>2018</w:t>
                  </w:r>
                </w:p>
              </w:tc>
            </w:tr>
            <w:tr w:rsidR="00192852" w14:paraId="1C3F2D1E" w14:textId="77777777" w:rsidTr="00F2691D">
              <w:trPr>
                <w:trHeight w:val="300"/>
              </w:trPr>
              <w:tc>
                <w:tcPr>
                  <w:tcW w:w="5812" w:type="dxa"/>
                  <w:tcBorders>
                    <w:top w:val="nil"/>
                    <w:left w:val="nil"/>
                    <w:bottom w:val="nil"/>
                    <w:right w:val="nil"/>
                  </w:tcBorders>
                  <w:shd w:val="clear" w:color="auto" w:fill="auto"/>
                  <w:vAlign w:val="bottom"/>
                  <w:hideMark/>
                </w:tcPr>
                <w:p w14:paraId="5148168A" w14:textId="77777777" w:rsidR="00192852" w:rsidRDefault="00192852" w:rsidP="00192852">
                  <w:pPr>
                    <w:rPr>
                      <w:color w:val="000000"/>
                      <w:sz w:val="22"/>
                      <w:szCs w:val="22"/>
                    </w:rPr>
                  </w:pPr>
                  <w:r>
                    <w:rPr>
                      <w:color w:val="000000"/>
                      <w:sz w:val="22"/>
                      <w:szCs w:val="22"/>
                    </w:rPr>
                    <w:lastRenderedPageBreak/>
                    <w:t>Capital social</w:t>
                  </w:r>
                </w:p>
              </w:tc>
              <w:tc>
                <w:tcPr>
                  <w:tcW w:w="1520" w:type="dxa"/>
                  <w:tcBorders>
                    <w:top w:val="nil"/>
                    <w:left w:val="nil"/>
                    <w:bottom w:val="nil"/>
                    <w:right w:val="nil"/>
                  </w:tcBorders>
                  <w:shd w:val="clear" w:color="auto" w:fill="auto"/>
                  <w:noWrap/>
                  <w:vAlign w:val="bottom"/>
                  <w:hideMark/>
                </w:tcPr>
                <w:p w14:paraId="55958DB0" w14:textId="77777777" w:rsidR="00192852" w:rsidRDefault="00192852" w:rsidP="00192852">
                  <w:pPr>
                    <w:jc w:val="right"/>
                    <w:rPr>
                      <w:color w:val="000000"/>
                      <w:sz w:val="22"/>
                      <w:szCs w:val="22"/>
                    </w:rPr>
                  </w:pPr>
                  <w:r>
                    <w:rPr>
                      <w:color w:val="000000"/>
                      <w:sz w:val="22"/>
                      <w:szCs w:val="22"/>
                    </w:rPr>
                    <w:t>40.000</w:t>
                  </w:r>
                </w:p>
              </w:tc>
              <w:tc>
                <w:tcPr>
                  <w:tcW w:w="1520" w:type="dxa"/>
                  <w:tcBorders>
                    <w:top w:val="nil"/>
                    <w:left w:val="nil"/>
                    <w:bottom w:val="nil"/>
                    <w:right w:val="nil"/>
                  </w:tcBorders>
                  <w:shd w:val="clear" w:color="auto" w:fill="auto"/>
                  <w:noWrap/>
                  <w:vAlign w:val="bottom"/>
                  <w:hideMark/>
                </w:tcPr>
                <w:p w14:paraId="656985CE" w14:textId="77777777" w:rsidR="00192852" w:rsidRDefault="00192852" w:rsidP="00192852">
                  <w:pPr>
                    <w:jc w:val="right"/>
                    <w:rPr>
                      <w:color w:val="000000"/>
                      <w:sz w:val="22"/>
                      <w:szCs w:val="22"/>
                    </w:rPr>
                  </w:pPr>
                  <w:r>
                    <w:rPr>
                      <w:color w:val="000000"/>
                      <w:sz w:val="22"/>
                      <w:szCs w:val="22"/>
                    </w:rPr>
                    <w:t>40.000</w:t>
                  </w:r>
                </w:p>
              </w:tc>
            </w:tr>
            <w:tr w:rsidR="00192852" w14:paraId="0FFDBD79" w14:textId="77777777" w:rsidTr="00F2691D">
              <w:trPr>
                <w:trHeight w:val="300"/>
              </w:trPr>
              <w:tc>
                <w:tcPr>
                  <w:tcW w:w="5812" w:type="dxa"/>
                  <w:tcBorders>
                    <w:top w:val="nil"/>
                    <w:left w:val="nil"/>
                    <w:bottom w:val="nil"/>
                    <w:right w:val="nil"/>
                  </w:tcBorders>
                  <w:shd w:val="clear" w:color="auto" w:fill="auto"/>
                  <w:vAlign w:val="bottom"/>
                  <w:hideMark/>
                </w:tcPr>
                <w:p w14:paraId="3EB2A659" w14:textId="77777777" w:rsidR="00192852" w:rsidRDefault="00192852" w:rsidP="00192852">
                  <w:pPr>
                    <w:rPr>
                      <w:color w:val="000000"/>
                      <w:sz w:val="22"/>
                      <w:szCs w:val="22"/>
                    </w:rPr>
                  </w:pPr>
                  <w:r>
                    <w:rPr>
                      <w:color w:val="000000"/>
                      <w:sz w:val="22"/>
                      <w:szCs w:val="22"/>
                    </w:rPr>
                    <w:t>Ajuste de capital y revalúo legal</w:t>
                  </w:r>
                </w:p>
              </w:tc>
              <w:tc>
                <w:tcPr>
                  <w:tcW w:w="1520" w:type="dxa"/>
                  <w:tcBorders>
                    <w:top w:val="nil"/>
                    <w:left w:val="nil"/>
                    <w:bottom w:val="nil"/>
                    <w:right w:val="nil"/>
                  </w:tcBorders>
                  <w:shd w:val="clear" w:color="auto" w:fill="auto"/>
                  <w:noWrap/>
                  <w:vAlign w:val="bottom"/>
                  <w:hideMark/>
                </w:tcPr>
                <w:p w14:paraId="66A484FD" w14:textId="77777777" w:rsidR="00192852" w:rsidRDefault="00192852" w:rsidP="00192852">
                  <w:pPr>
                    <w:jc w:val="right"/>
                    <w:rPr>
                      <w:color w:val="000000"/>
                      <w:sz w:val="22"/>
                      <w:szCs w:val="22"/>
                    </w:rPr>
                  </w:pPr>
                  <w:r>
                    <w:rPr>
                      <w:color w:val="000000"/>
                      <w:sz w:val="22"/>
                      <w:szCs w:val="22"/>
                    </w:rPr>
                    <w:t>234.362</w:t>
                  </w:r>
                </w:p>
              </w:tc>
              <w:tc>
                <w:tcPr>
                  <w:tcW w:w="1520" w:type="dxa"/>
                  <w:tcBorders>
                    <w:top w:val="nil"/>
                    <w:left w:val="nil"/>
                    <w:bottom w:val="nil"/>
                    <w:right w:val="nil"/>
                  </w:tcBorders>
                  <w:shd w:val="clear" w:color="auto" w:fill="auto"/>
                  <w:noWrap/>
                  <w:vAlign w:val="bottom"/>
                  <w:hideMark/>
                </w:tcPr>
                <w:p w14:paraId="508EC3E3" w14:textId="77777777" w:rsidR="00192852" w:rsidRDefault="00192852" w:rsidP="00192852">
                  <w:pPr>
                    <w:jc w:val="right"/>
                    <w:rPr>
                      <w:color w:val="000000"/>
                      <w:sz w:val="22"/>
                      <w:szCs w:val="22"/>
                    </w:rPr>
                  </w:pPr>
                  <w:r>
                    <w:rPr>
                      <w:color w:val="000000"/>
                      <w:sz w:val="22"/>
                      <w:szCs w:val="22"/>
                    </w:rPr>
                    <w:t>234.362</w:t>
                  </w:r>
                </w:p>
              </w:tc>
            </w:tr>
            <w:tr w:rsidR="00192852" w14:paraId="35A368AD" w14:textId="77777777" w:rsidTr="00F2691D">
              <w:trPr>
                <w:trHeight w:val="300"/>
              </w:trPr>
              <w:tc>
                <w:tcPr>
                  <w:tcW w:w="5812" w:type="dxa"/>
                  <w:tcBorders>
                    <w:top w:val="nil"/>
                    <w:left w:val="nil"/>
                    <w:bottom w:val="nil"/>
                    <w:right w:val="nil"/>
                  </w:tcBorders>
                  <w:shd w:val="clear" w:color="auto" w:fill="auto"/>
                  <w:vAlign w:val="bottom"/>
                  <w:hideMark/>
                </w:tcPr>
                <w:p w14:paraId="145A94EA" w14:textId="77777777" w:rsidR="00192852" w:rsidRDefault="00192852" w:rsidP="00192852">
                  <w:pPr>
                    <w:rPr>
                      <w:color w:val="000000"/>
                      <w:sz w:val="22"/>
                      <w:szCs w:val="22"/>
                    </w:rPr>
                  </w:pPr>
                  <w:r>
                    <w:rPr>
                      <w:color w:val="000000"/>
                      <w:sz w:val="22"/>
                      <w:szCs w:val="22"/>
                    </w:rPr>
                    <w:t>Total reservas</w:t>
                  </w:r>
                </w:p>
              </w:tc>
              <w:tc>
                <w:tcPr>
                  <w:tcW w:w="1520" w:type="dxa"/>
                  <w:tcBorders>
                    <w:top w:val="nil"/>
                    <w:left w:val="nil"/>
                    <w:bottom w:val="nil"/>
                    <w:right w:val="nil"/>
                  </w:tcBorders>
                  <w:shd w:val="clear" w:color="auto" w:fill="auto"/>
                  <w:noWrap/>
                  <w:vAlign w:val="bottom"/>
                  <w:hideMark/>
                </w:tcPr>
                <w:p w14:paraId="720F9332" w14:textId="77777777" w:rsidR="00192852" w:rsidRDefault="00192852" w:rsidP="00192852">
                  <w:pPr>
                    <w:jc w:val="right"/>
                    <w:rPr>
                      <w:color w:val="000000"/>
                      <w:sz w:val="22"/>
                      <w:szCs w:val="22"/>
                    </w:rPr>
                  </w:pPr>
                  <w:r>
                    <w:rPr>
                      <w:color w:val="000000"/>
                      <w:sz w:val="22"/>
                      <w:szCs w:val="22"/>
                    </w:rPr>
                    <w:t>874.733</w:t>
                  </w:r>
                </w:p>
              </w:tc>
              <w:tc>
                <w:tcPr>
                  <w:tcW w:w="1520" w:type="dxa"/>
                  <w:tcBorders>
                    <w:top w:val="nil"/>
                    <w:left w:val="nil"/>
                    <w:bottom w:val="nil"/>
                    <w:right w:val="nil"/>
                  </w:tcBorders>
                  <w:shd w:val="clear" w:color="auto" w:fill="auto"/>
                  <w:noWrap/>
                  <w:vAlign w:val="bottom"/>
                  <w:hideMark/>
                </w:tcPr>
                <w:p w14:paraId="5A8EDC39" w14:textId="77777777" w:rsidR="00192852" w:rsidRDefault="00192852" w:rsidP="00192852">
                  <w:pPr>
                    <w:jc w:val="right"/>
                    <w:rPr>
                      <w:color w:val="000000"/>
                      <w:sz w:val="22"/>
                      <w:szCs w:val="22"/>
                    </w:rPr>
                  </w:pPr>
                  <w:r>
                    <w:rPr>
                      <w:color w:val="000000"/>
                      <w:sz w:val="22"/>
                      <w:szCs w:val="22"/>
                    </w:rPr>
                    <w:t>513.968</w:t>
                  </w:r>
                </w:p>
              </w:tc>
            </w:tr>
            <w:tr w:rsidR="00192852" w14:paraId="6DE049CF" w14:textId="77777777" w:rsidTr="00F2691D">
              <w:trPr>
                <w:trHeight w:val="300"/>
              </w:trPr>
              <w:tc>
                <w:tcPr>
                  <w:tcW w:w="5812" w:type="dxa"/>
                  <w:tcBorders>
                    <w:top w:val="nil"/>
                    <w:left w:val="nil"/>
                    <w:bottom w:val="nil"/>
                    <w:right w:val="nil"/>
                  </w:tcBorders>
                  <w:shd w:val="clear" w:color="auto" w:fill="auto"/>
                  <w:vAlign w:val="bottom"/>
                  <w:hideMark/>
                </w:tcPr>
                <w:p w14:paraId="58F372E3" w14:textId="77777777" w:rsidR="00192852" w:rsidRDefault="00192852" w:rsidP="00192852">
                  <w:pPr>
                    <w:rPr>
                      <w:color w:val="000000"/>
                      <w:sz w:val="22"/>
                      <w:szCs w:val="22"/>
                    </w:rPr>
                  </w:pPr>
                  <w:r>
                    <w:rPr>
                      <w:color w:val="000000"/>
                      <w:sz w:val="22"/>
                      <w:szCs w:val="22"/>
                    </w:rPr>
                    <w:t>Total de resultados no asignados</w:t>
                  </w:r>
                </w:p>
              </w:tc>
              <w:tc>
                <w:tcPr>
                  <w:tcW w:w="1520" w:type="dxa"/>
                  <w:tcBorders>
                    <w:top w:val="nil"/>
                    <w:left w:val="nil"/>
                    <w:bottom w:val="nil"/>
                    <w:right w:val="nil"/>
                  </w:tcBorders>
                  <w:shd w:val="clear" w:color="auto" w:fill="auto"/>
                  <w:noWrap/>
                  <w:vAlign w:val="bottom"/>
                  <w:hideMark/>
                </w:tcPr>
                <w:p w14:paraId="0E8B5798" w14:textId="77777777" w:rsidR="00192852" w:rsidRDefault="00192852" w:rsidP="00192852">
                  <w:pPr>
                    <w:jc w:val="right"/>
                    <w:rPr>
                      <w:color w:val="000000"/>
                      <w:sz w:val="22"/>
                      <w:szCs w:val="22"/>
                    </w:rPr>
                  </w:pPr>
                  <w:r>
                    <w:rPr>
                      <w:color w:val="000000"/>
                      <w:sz w:val="22"/>
                      <w:szCs w:val="22"/>
                    </w:rPr>
                    <w:t>133.133</w:t>
                  </w:r>
                </w:p>
              </w:tc>
              <w:tc>
                <w:tcPr>
                  <w:tcW w:w="1520" w:type="dxa"/>
                  <w:tcBorders>
                    <w:top w:val="nil"/>
                    <w:left w:val="nil"/>
                    <w:bottom w:val="nil"/>
                    <w:right w:val="nil"/>
                  </w:tcBorders>
                  <w:shd w:val="clear" w:color="auto" w:fill="auto"/>
                  <w:noWrap/>
                  <w:vAlign w:val="bottom"/>
                  <w:hideMark/>
                </w:tcPr>
                <w:p w14:paraId="12AC0FA1" w14:textId="77777777" w:rsidR="00192852" w:rsidRDefault="00192852" w:rsidP="00192852">
                  <w:pPr>
                    <w:jc w:val="right"/>
                    <w:rPr>
                      <w:color w:val="000000"/>
                      <w:sz w:val="22"/>
                      <w:szCs w:val="22"/>
                    </w:rPr>
                  </w:pPr>
                  <w:r>
                    <w:rPr>
                      <w:color w:val="000000"/>
                      <w:sz w:val="22"/>
                      <w:szCs w:val="22"/>
                    </w:rPr>
                    <w:t>528.111</w:t>
                  </w:r>
                </w:p>
              </w:tc>
            </w:tr>
            <w:tr w:rsidR="00192852" w14:paraId="0F3B9760" w14:textId="77777777" w:rsidTr="00F2691D">
              <w:trPr>
                <w:trHeight w:val="300"/>
              </w:trPr>
              <w:tc>
                <w:tcPr>
                  <w:tcW w:w="5812" w:type="dxa"/>
                  <w:tcBorders>
                    <w:top w:val="nil"/>
                    <w:left w:val="nil"/>
                    <w:bottom w:val="nil"/>
                    <w:right w:val="nil"/>
                  </w:tcBorders>
                  <w:shd w:val="clear" w:color="auto" w:fill="auto"/>
                  <w:vAlign w:val="bottom"/>
                  <w:hideMark/>
                </w:tcPr>
                <w:p w14:paraId="507C7E7D" w14:textId="77777777" w:rsidR="00192852" w:rsidRDefault="00192852" w:rsidP="00192852">
                  <w:pPr>
                    <w:rPr>
                      <w:color w:val="000000"/>
                      <w:sz w:val="22"/>
                      <w:szCs w:val="22"/>
                    </w:rPr>
                  </w:pPr>
                  <w:r>
                    <w:rPr>
                      <w:color w:val="000000"/>
                      <w:sz w:val="22"/>
                      <w:szCs w:val="22"/>
                    </w:rPr>
                    <w:t>Otros resultados integrales</w:t>
                  </w:r>
                </w:p>
              </w:tc>
              <w:tc>
                <w:tcPr>
                  <w:tcW w:w="1520" w:type="dxa"/>
                  <w:tcBorders>
                    <w:top w:val="nil"/>
                    <w:left w:val="nil"/>
                    <w:bottom w:val="nil"/>
                    <w:right w:val="nil"/>
                  </w:tcBorders>
                  <w:shd w:val="clear" w:color="auto" w:fill="auto"/>
                  <w:noWrap/>
                  <w:vAlign w:val="bottom"/>
                  <w:hideMark/>
                </w:tcPr>
                <w:p w14:paraId="530D57A7" w14:textId="77777777" w:rsidR="00192852" w:rsidRDefault="00192852" w:rsidP="00192852">
                  <w:pPr>
                    <w:jc w:val="right"/>
                    <w:rPr>
                      <w:color w:val="000000"/>
                      <w:sz w:val="22"/>
                      <w:szCs w:val="22"/>
                    </w:rPr>
                  </w:pPr>
                  <w:r>
                    <w:rPr>
                      <w:color w:val="000000"/>
                      <w:sz w:val="22"/>
                      <w:szCs w:val="22"/>
                    </w:rPr>
                    <w:t>719.509</w:t>
                  </w:r>
                </w:p>
              </w:tc>
              <w:tc>
                <w:tcPr>
                  <w:tcW w:w="1520" w:type="dxa"/>
                  <w:tcBorders>
                    <w:top w:val="nil"/>
                    <w:left w:val="nil"/>
                    <w:bottom w:val="nil"/>
                    <w:right w:val="nil"/>
                  </w:tcBorders>
                  <w:shd w:val="clear" w:color="auto" w:fill="auto"/>
                  <w:noWrap/>
                  <w:vAlign w:val="bottom"/>
                  <w:hideMark/>
                </w:tcPr>
                <w:p w14:paraId="41E87E21" w14:textId="77777777" w:rsidR="00192852" w:rsidRDefault="00192852" w:rsidP="00192852">
                  <w:pPr>
                    <w:jc w:val="right"/>
                    <w:rPr>
                      <w:color w:val="000000"/>
                      <w:sz w:val="22"/>
                      <w:szCs w:val="22"/>
                    </w:rPr>
                  </w:pPr>
                  <w:r>
                    <w:rPr>
                      <w:color w:val="000000"/>
                      <w:sz w:val="22"/>
                      <w:szCs w:val="22"/>
                    </w:rPr>
                    <w:t>554.221</w:t>
                  </w:r>
                </w:p>
              </w:tc>
            </w:tr>
            <w:tr w:rsidR="00192852" w14:paraId="76A3C9F3" w14:textId="77777777" w:rsidTr="00F2691D">
              <w:trPr>
                <w:trHeight w:val="300"/>
              </w:trPr>
              <w:tc>
                <w:tcPr>
                  <w:tcW w:w="5812" w:type="dxa"/>
                  <w:tcBorders>
                    <w:top w:val="nil"/>
                    <w:left w:val="nil"/>
                    <w:bottom w:val="nil"/>
                    <w:right w:val="nil"/>
                  </w:tcBorders>
                  <w:shd w:val="clear" w:color="auto" w:fill="auto"/>
                  <w:vAlign w:val="bottom"/>
                  <w:hideMark/>
                </w:tcPr>
                <w:p w14:paraId="7C2AFA1D" w14:textId="77777777" w:rsidR="00192852" w:rsidRDefault="00192852" w:rsidP="00192852">
                  <w:pPr>
                    <w:rPr>
                      <w:color w:val="000000"/>
                      <w:sz w:val="22"/>
                      <w:szCs w:val="22"/>
                    </w:rPr>
                  </w:pPr>
                  <w:r>
                    <w:rPr>
                      <w:color w:val="000000"/>
                      <w:sz w:val="22"/>
                      <w:szCs w:val="22"/>
                    </w:rPr>
                    <w:t>Participaciones no controladas</w:t>
                  </w:r>
                </w:p>
              </w:tc>
              <w:tc>
                <w:tcPr>
                  <w:tcW w:w="1520" w:type="dxa"/>
                  <w:tcBorders>
                    <w:top w:val="nil"/>
                    <w:left w:val="nil"/>
                    <w:bottom w:val="nil"/>
                    <w:right w:val="nil"/>
                  </w:tcBorders>
                  <w:shd w:val="clear" w:color="auto" w:fill="auto"/>
                  <w:noWrap/>
                  <w:vAlign w:val="bottom"/>
                  <w:hideMark/>
                </w:tcPr>
                <w:p w14:paraId="17CA2C3D" w14:textId="77777777" w:rsidR="00192852" w:rsidRDefault="00192852" w:rsidP="00192852">
                  <w:pPr>
                    <w:jc w:val="right"/>
                    <w:rPr>
                      <w:color w:val="000000"/>
                      <w:sz w:val="22"/>
                      <w:szCs w:val="22"/>
                    </w:rPr>
                  </w:pPr>
                  <w:r>
                    <w:rPr>
                      <w:color w:val="000000"/>
                      <w:sz w:val="22"/>
                      <w:szCs w:val="22"/>
                    </w:rPr>
                    <w:t>(23)</w:t>
                  </w:r>
                </w:p>
              </w:tc>
              <w:tc>
                <w:tcPr>
                  <w:tcW w:w="1520" w:type="dxa"/>
                  <w:tcBorders>
                    <w:top w:val="nil"/>
                    <w:left w:val="nil"/>
                    <w:bottom w:val="nil"/>
                    <w:right w:val="nil"/>
                  </w:tcBorders>
                  <w:shd w:val="clear" w:color="auto" w:fill="auto"/>
                  <w:noWrap/>
                  <w:vAlign w:val="bottom"/>
                  <w:hideMark/>
                </w:tcPr>
                <w:p w14:paraId="420FE3D2" w14:textId="77777777" w:rsidR="00192852" w:rsidRDefault="00192852" w:rsidP="00192852">
                  <w:pPr>
                    <w:jc w:val="right"/>
                    <w:rPr>
                      <w:color w:val="000000"/>
                      <w:sz w:val="22"/>
                      <w:szCs w:val="22"/>
                    </w:rPr>
                  </w:pPr>
                  <w:r>
                    <w:rPr>
                      <w:color w:val="000000"/>
                      <w:sz w:val="22"/>
                      <w:szCs w:val="22"/>
                    </w:rPr>
                    <w:t>(11)</w:t>
                  </w:r>
                </w:p>
              </w:tc>
            </w:tr>
            <w:tr w:rsidR="00192852" w14:paraId="65C77496" w14:textId="77777777" w:rsidTr="00F2691D">
              <w:trPr>
                <w:trHeight w:val="300"/>
              </w:trPr>
              <w:tc>
                <w:tcPr>
                  <w:tcW w:w="5812" w:type="dxa"/>
                  <w:tcBorders>
                    <w:top w:val="nil"/>
                    <w:left w:val="nil"/>
                    <w:bottom w:val="nil"/>
                    <w:right w:val="nil"/>
                  </w:tcBorders>
                  <w:shd w:val="clear" w:color="auto" w:fill="auto"/>
                  <w:vAlign w:val="bottom"/>
                  <w:hideMark/>
                </w:tcPr>
                <w:p w14:paraId="0487673E" w14:textId="77777777" w:rsidR="00192852" w:rsidRDefault="00192852" w:rsidP="00192852">
                  <w:pPr>
                    <w:rPr>
                      <w:color w:val="000000"/>
                      <w:sz w:val="22"/>
                      <w:szCs w:val="22"/>
                    </w:rPr>
                  </w:pPr>
                  <w:r>
                    <w:rPr>
                      <w:color w:val="000000"/>
                      <w:sz w:val="22"/>
                      <w:szCs w:val="22"/>
                    </w:rPr>
                    <w:t>Total de Patrimonio neto</w:t>
                  </w:r>
                </w:p>
              </w:tc>
              <w:tc>
                <w:tcPr>
                  <w:tcW w:w="1520" w:type="dxa"/>
                  <w:tcBorders>
                    <w:top w:val="nil"/>
                    <w:left w:val="nil"/>
                    <w:bottom w:val="nil"/>
                    <w:right w:val="nil"/>
                  </w:tcBorders>
                  <w:shd w:val="clear" w:color="auto" w:fill="auto"/>
                  <w:noWrap/>
                  <w:vAlign w:val="bottom"/>
                  <w:hideMark/>
                </w:tcPr>
                <w:p w14:paraId="599061A8" w14:textId="77777777" w:rsidR="00192852" w:rsidRDefault="00192852" w:rsidP="00192852">
                  <w:pPr>
                    <w:jc w:val="right"/>
                    <w:rPr>
                      <w:color w:val="000000"/>
                      <w:sz w:val="22"/>
                      <w:szCs w:val="22"/>
                    </w:rPr>
                  </w:pPr>
                  <w:r>
                    <w:rPr>
                      <w:color w:val="000000"/>
                      <w:sz w:val="22"/>
                      <w:szCs w:val="22"/>
                    </w:rPr>
                    <w:t>2.001.715</w:t>
                  </w:r>
                </w:p>
              </w:tc>
              <w:tc>
                <w:tcPr>
                  <w:tcW w:w="1520" w:type="dxa"/>
                  <w:tcBorders>
                    <w:top w:val="nil"/>
                    <w:left w:val="nil"/>
                    <w:bottom w:val="nil"/>
                    <w:right w:val="nil"/>
                  </w:tcBorders>
                  <w:shd w:val="clear" w:color="auto" w:fill="auto"/>
                  <w:noWrap/>
                  <w:vAlign w:val="bottom"/>
                  <w:hideMark/>
                </w:tcPr>
                <w:p w14:paraId="12FF4359" w14:textId="77777777" w:rsidR="00192852" w:rsidRDefault="00192852" w:rsidP="00192852">
                  <w:pPr>
                    <w:jc w:val="right"/>
                    <w:rPr>
                      <w:color w:val="000000"/>
                      <w:sz w:val="22"/>
                      <w:szCs w:val="22"/>
                    </w:rPr>
                  </w:pPr>
                  <w:r>
                    <w:rPr>
                      <w:color w:val="000000"/>
                      <w:sz w:val="22"/>
                      <w:szCs w:val="22"/>
                    </w:rPr>
                    <w:t>1.870.650</w:t>
                  </w:r>
                </w:p>
              </w:tc>
            </w:tr>
          </w:tbl>
          <w:p w14:paraId="2FD094BB" w14:textId="77777777" w:rsidR="00192852" w:rsidRDefault="00192852" w:rsidP="00192852">
            <w:pPr>
              <w:outlineLvl w:val="0"/>
              <w:rPr>
                <w:b/>
                <w:sz w:val="22"/>
                <w:szCs w:val="22"/>
                <w:u w:val="single"/>
              </w:rPr>
            </w:pPr>
          </w:p>
          <w:p w14:paraId="73F53B34" w14:textId="3D3C167C" w:rsidR="004F3DBB" w:rsidRPr="00F2691D" w:rsidRDefault="00192852" w:rsidP="00192852">
            <w:pPr>
              <w:rPr>
                <w:i/>
                <w:iCs/>
                <w:color w:val="000000"/>
                <w:sz w:val="22"/>
                <w:szCs w:val="22"/>
                <w:lang w:val="es-AR" w:eastAsia="es-AR"/>
              </w:rPr>
            </w:pPr>
            <w:r w:rsidRPr="00192852" w:rsidDel="00192852">
              <w:rPr>
                <w:i/>
                <w:iCs/>
                <w:color w:val="000000"/>
                <w:sz w:val="22"/>
                <w:szCs w:val="22"/>
              </w:rPr>
              <w:t xml:space="preserve"> </w:t>
            </w:r>
          </w:p>
        </w:tc>
        <w:tc>
          <w:tcPr>
            <w:tcW w:w="3680" w:type="dxa"/>
            <w:tcBorders>
              <w:top w:val="nil"/>
              <w:left w:val="nil"/>
              <w:bottom w:val="single" w:sz="4" w:space="0" w:color="auto"/>
              <w:right w:val="nil"/>
            </w:tcBorders>
            <w:shd w:val="clear" w:color="auto" w:fill="auto"/>
            <w:vAlign w:val="bottom"/>
          </w:tcPr>
          <w:p w14:paraId="21ED2AE2" w14:textId="453765B1" w:rsidR="004F3DBB" w:rsidRPr="00F2691D" w:rsidRDefault="004F3DBB">
            <w:pPr>
              <w:jc w:val="center"/>
              <w:rPr>
                <w:color w:val="000000"/>
                <w:sz w:val="22"/>
                <w:szCs w:val="22"/>
              </w:rPr>
            </w:pPr>
          </w:p>
        </w:tc>
      </w:tr>
    </w:tbl>
    <w:p w14:paraId="47E8AE4E" w14:textId="77777777" w:rsidR="003C03AE" w:rsidRPr="00EA6053" w:rsidRDefault="003C03AE" w:rsidP="00F3428B">
      <w:pPr>
        <w:jc w:val="center"/>
        <w:outlineLvl w:val="0"/>
        <w:rPr>
          <w:b/>
          <w:sz w:val="22"/>
          <w:szCs w:val="22"/>
          <w:u w:val="single"/>
        </w:rPr>
      </w:pPr>
    </w:p>
    <w:p w14:paraId="4473D468" w14:textId="1DCB39D6" w:rsidR="009856C2" w:rsidRDefault="009856C2" w:rsidP="009856C2">
      <w:pPr>
        <w:jc w:val="both"/>
        <w:rPr>
          <w:rFonts w:eastAsia="MS Mincho"/>
          <w:b/>
          <w:bCs/>
          <w:sz w:val="22"/>
          <w:szCs w:val="22"/>
          <w:lang w:eastAsia="ja-JP"/>
        </w:rPr>
      </w:pPr>
      <w:r w:rsidRPr="00F2691D">
        <w:rPr>
          <w:rFonts w:eastAsia="MS Mincho"/>
          <w:b/>
          <w:bCs/>
          <w:sz w:val="22"/>
          <w:szCs w:val="22"/>
          <w:lang w:eastAsia="ja-JP"/>
        </w:rPr>
        <w:t>3- Estado de flujo de efectivo</w:t>
      </w:r>
    </w:p>
    <w:p w14:paraId="187680BD" w14:textId="6F8887D3" w:rsidR="00192852" w:rsidRDefault="00192852" w:rsidP="009856C2">
      <w:pPr>
        <w:jc w:val="both"/>
        <w:rPr>
          <w:rFonts w:eastAsia="MS Mincho"/>
          <w:b/>
          <w:bCs/>
          <w:sz w:val="22"/>
          <w:szCs w:val="22"/>
          <w:lang w:eastAsia="ja-JP"/>
        </w:rPr>
      </w:pPr>
    </w:p>
    <w:tbl>
      <w:tblPr>
        <w:tblW w:w="8854" w:type="dxa"/>
        <w:tblCellMar>
          <w:left w:w="70" w:type="dxa"/>
          <w:right w:w="70" w:type="dxa"/>
        </w:tblCellMar>
        <w:tblLook w:val="04A0" w:firstRow="1" w:lastRow="0" w:firstColumn="1" w:lastColumn="0" w:noHBand="0" w:noVBand="1"/>
      </w:tblPr>
      <w:tblGrid>
        <w:gridCol w:w="5812"/>
        <w:gridCol w:w="1651"/>
        <w:gridCol w:w="1391"/>
      </w:tblGrid>
      <w:tr w:rsidR="00192852" w14:paraId="0D33186C" w14:textId="77777777" w:rsidTr="000A0418">
        <w:trPr>
          <w:trHeight w:val="600"/>
        </w:trPr>
        <w:tc>
          <w:tcPr>
            <w:tcW w:w="5812" w:type="dxa"/>
            <w:tcBorders>
              <w:top w:val="nil"/>
              <w:left w:val="nil"/>
              <w:bottom w:val="nil"/>
              <w:right w:val="nil"/>
            </w:tcBorders>
            <w:shd w:val="clear" w:color="auto" w:fill="auto"/>
            <w:vAlign w:val="bottom"/>
            <w:hideMark/>
          </w:tcPr>
          <w:p w14:paraId="1AB8CCFA" w14:textId="77777777" w:rsidR="00192852" w:rsidRDefault="00192852" w:rsidP="000A0418">
            <w:pPr>
              <w:rPr>
                <w:i/>
                <w:iCs/>
                <w:color w:val="000000"/>
                <w:sz w:val="22"/>
                <w:szCs w:val="22"/>
                <w:lang w:val="es-AR" w:eastAsia="es-AR"/>
              </w:rPr>
            </w:pPr>
            <w:r>
              <w:rPr>
                <w:i/>
                <w:iCs/>
                <w:color w:val="000000"/>
                <w:sz w:val="22"/>
                <w:szCs w:val="22"/>
              </w:rPr>
              <w:t>(Cifras expresadas en miles de pesos)</w:t>
            </w:r>
          </w:p>
        </w:tc>
        <w:tc>
          <w:tcPr>
            <w:tcW w:w="3042" w:type="dxa"/>
            <w:gridSpan w:val="2"/>
            <w:tcBorders>
              <w:top w:val="nil"/>
              <w:left w:val="nil"/>
              <w:bottom w:val="single" w:sz="4" w:space="0" w:color="auto"/>
              <w:right w:val="nil"/>
            </w:tcBorders>
            <w:shd w:val="clear" w:color="auto" w:fill="auto"/>
            <w:vAlign w:val="bottom"/>
            <w:hideMark/>
          </w:tcPr>
          <w:p w14:paraId="3E9C4C97" w14:textId="77777777" w:rsidR="00192852" w:rsidRDefault="00192852" w:rsidP="000A0418">
            <w:pPr>
              <w:jc w:val="center"/>
              <w:rPr>
                <w:color w:val="000000"/>
                <w:sz w:val="22"/>
                <w:szCs w:val="22"/>
              </w:rPr>
            </w:pPr>
            <w:r>
              <w:rPr>
                <w:color w:val="000000"/>
                <w:sz w:val="22"/>
                <w:szCs w:val="22"/>
              </w:rPr>
              <w:t>Período de seis meses finalizado el 31 de diciembre de</w:t>
            </w:r>
          </w:p>
        </w:tc>
      </w:tr>
      <w:tr w:rsidR="00192852" w14:paraId="6CDECD81" w14:textId="77777777" w:rsidTr="000A0418">
        <w:trPr>
          <w:trHeight w:val="360"/>
        </w:trPr>
        <w:tc>
          <w:tcPr>
            <w:tcW w:w="5812" w:type="dxa"/>
            <w:tcBorders>
              <w:top w:val="nil"/>
              <w:left w:val="nil"/>
              <w:bottom w:val="nil"/>
              <w:right w:val="nil"/>
            </w:tcBorders>
            <w:shd w:val="clear" w:color="auto" w:fill="auto"/>
            <w:vAlign w:val="bottom"/>
            <w:hideMark/>
          </w:tcPr>
          <w:p w14:paraId="7C3C995C" w14:textId="77777777" w:rsidR="00192852" w:rsidRDefault="00192852" w:rsidP="000A0418">
            <w:pPr>
              <w:jc w:val="center"/>
              <w:rPr>
                <w:color w:val="000000"/>
                <w:sz w:val="22"/>
                <w:szCs w:val="22"/>
              </w:rPr>
            </w:pPr>
          </w:p>
        </w:tc>
        <w:tc>
          <w:tcPr>
            <w:tcW w:w="1651" w:type="dxa"/>
            <w:tcBorders>
              <w:top w:val="nil"/>
              <w:left w:val="nil"/>
              <w:bottom w:val="single" w:sz="4" w:space="0" w:color="auto"/>
              <w:right w:val="nil"/>
            </w:tcBorders>
            <w:shd w:val="clear" w:color="auto" w:fill="auto"/>
            <w:noWrap/>
            <w:vAlign w:val="bottom"/>
            <w:hideMark/>
          </w:tcPr>
          <w:p w14:paraId="3BD44C1E" w14:textId="77777777" w:rsidR="00192852" w:rsidRDefault="00192852" w:rsidP="000A0418">
            <w:pPr>
              <w:jc w:val="center"/>
              <w:rPr>
                <w:color w:val="000000"/>
                <w:sz w:val="22"/>
                <w:szCs w:val="22"/>
              </w:rPr>
            </w:pPr>
            <w:r>
              <w:rPr>
                <w:color w:val="000000"/>
                <w:sz w:val="22"/>
                <w:szCs w:val="22"/>
              </w:rPr>
              <w:t>2019</w:t>
            </w:r>
          </w:p>
        </w:tc>
        <w:tc>
          <w:tcPr>
            <w:tcW w:w="1391" w:type="dxa"/>
            <w:tcBorders>
              <w:top w:val="nil"/>
              <w:left w:val="nil"/>
              <w:bottom w:val="single" w:sz="4" w:space="0" w:color="auto"/>
              <w:right w:val="nil"/>
            </w:tcBorders>
            <w:shd w:val="clear" w:color="auto" w:fill="auto"/>
            <w:noWrap/>
            <w:vAlign w:val="bottom"/>
            <w:hideMark/>
          </w:tcPr>
          <w:p w14:paraId="5A78F1BD" w14:textId="77777777" w:rsidR="00192852" w:rsidRDefault="00192852" w:rsidP="000A0418">
            <w:pPr>
              <w:jc w:val="center"/>
              <w:rPr>
                <w:color w:val="000000"/>
                <w:sz w:val="22"/>
                <w:szCs w:val="22"/>
              </w:rPr>
            </w:pPr>
            <w:r>
              <w:rPr>
                <w:color w:val="000000"/>
                <w:sz w:val="22"/>
                <w:szCs w:val="22"/>
              </w:rPr>
              <w:t>2018</w:t>
            </w:r>
          </w:p>
        </w:tc>
      </w:tr>
      <w:tr w:rsidR="00192852" w14:paraId="66D3499C" w14:textId="77777777" w:rsidTr="000A0418">
        <w:trPr>
          <w:trHeight w:val="300"/>
        </w:trPr>
        <w:tc>
          <w:tcPr>
            <w:tcW w:w="5812" w:type="dxa"/>
            <w:tcBorders>
              <w:top w:val="nil"/>
              <w:left w:val="nil"/>
              <w:bottom w:val="nil"/>
              <w:right w:val="nil"/>
            </w:tcBorders>
            <w:shd w:val="clear" w:color="auto" w:fill="auto"/>
            <w:vAlign w:val="bottom"/>
            <w:hideMark/>
          </w:tcPr>
          <w:p w14:paraId="3A7EB2A4" w14:textId="77777777" w:rsidR="00192852" w:rsidRDefault="00192852" w:rsidP="000A0418">
            <w:pPr>
              <w:rPr>
                <w:color w:val="000000"/>
                <w:sz w:val="22"/>
                <w:szCs w:val="22"/>
              </w:rPr>
            </w:pPr>
            <w:r>
              <w:rPr>
                <w:color w:val="000000"/>
                <w:sz w:val="22"/>
                <w:szCs w:val="22"/>
              </w:rPr>
              <w:t>Causas de las variaciones de fondos:</w:t>
            </w:r>
          </w:p>
        </w:tc>
        <w:tc>
          <w:tcPr>
            <w:tcW w:w="1651" w:type="dxa"/>
            <w:tcBorders>
              <w:top w:val="nil"/>
              <w:left w:val="nil"/>
              <w:bottom w:val="nil"/>
              <w:right w:val="nil"/>
            </w:tcBorders>
            <w:shd w:val="clear" w:color="auto" w:fill="auto"/>
            <w:noWrap/>
            <w:vAlign w:val="bottom"/>
            <w:hideMark/>
          </w:tcPr>
          <w:p w14:paraId="29982342" w14:textId="77777777" w:rsidR="00192852" w:rsidRDefault="00192852" w:rsidP="000A0418">
            <w:pPr>
              <w:rPr>
                <w:color w:val="000000"/>
                <w:sz w:val="22"/>
                <w:szCs w:val="22"/>
              </w:rPr>
            </w:pPr>
          </w:p>
        </w:tc>
        <w:tc>
          <w:tcPr>
            <w:tcW w:w="1391" w:type="dxa"/>
            <w:tcBorders>
              <w:top w:val="nil"/>
              <w:left w:val="nil"/>
              <w:bottom w:val="nil"/>
              <w:right w:val="nil"/>
            </w:tcBorders>
            <w:shd w:val="clear" w:color="auto" w:fill="auto"/>
            <w:noWrap/>
            <w:vAlign w:val="bottom"/>
            <w:hideMark/>
          </w:tcPr>
          <w:p w14:paraId="4C8D611C" w14:textId="77777777" w:rsidR="00192852" w:rsidRDefault="00192852" w:rsidP="000A0418">
            <w:pPr>
              <w:rPr>
                <w:sz w:val="20"/>
                <w:szCs w:val="20"/>
              </w:rPr>
            </w:pPr>
          </w:p>
        </w:tc>
      </w:tr>
      <w:tr w:rsidR="00192852" w14:paraId="3419DA1A" w14:textId="77777777" w:rsidTr="000A0418">
        <w:trPr>
          <w:trHeight w:val="300"/>
        </w:trPr>
        <w:tc>
          <w:tcPr>
            <w:tcW w:w="5812" w:type="dxa"/>
            <w:tcBorders>
              <w:top w:val="nil"/>
              <w:left w:val="nil"/>
              <w:bottom w:val="nil"/>
              <w:right w:val="nil"/>
            </w:tcBorders>
            <w:shd w:val="clear" w:color="auto" w:fill="auto"/>
            <w:vAlign w:val="bottom"/>
            <w:hideMark/>
          </w:tcPr>
          <w:p w14:paraId="52BBC8BA" w14:textId="77777777" w:rsidR="00192852" w:rsidRDefault="00192852" w:rsidP="000A0418">
            <w:pPr>
              <w:rPr>
                <w:color w:val="000000"/>
                <w:sz w:val="22"/>
                <w:szCs w:val="22"/>
              </w:rPr>
            </w:pPr>
            <w:r>
              <w:rPr>
                <w:color w:val="000000"/>
                <w:sz w:val="22"/>
                <w:szCs w:val="22"/>
              </w:rPr>
              <w:t xml:space="preserve"> Por actividades operativas</w:t>
            </w:r>
          </w:p>
        </w:tc>
        <w:tc>
          <w:tcPr>
            <w:tcW w:w="1651" w:type="dxa"/>
            <w:tcBorders>
              <w:top w:val="nil"/>
              <w:left w:val="nil"/>
              <w:bottom w:val="nil"/>
              <w:right w:val="nil"/>
            </w:tcBorders>
            <w:shd w:val="clear" w:color="auto" w:fill="auto"/>
            <w:noWrap/>
            <w:vAlign w:val="bottom"/>
            <w:hideMark/>
          </w:tcPr>
          <w:p w14:paraId="0910665C" w14:textId="77777777" w:rsidR="00192852" w:rsidRDefault="00192852" w:rsidP="000A0418">
            <w:pPr>
              <w:jc w:val="right"/>
              <w:rPr>
                <w:color w:val="000000"/>
                <w:sz w:val="22"/>
                <w:szCs w:val="22"/>
              </w:rPr>
            </w:pPr>
            <w:r>
              <w:rPr>
                <w:color w:val="000000"/>
                <w:sz w:val="22"/>
                <w:szCs w:val="22"/>
              </w:rPr>
              <w:t>1.182.418</w:t>
            </w:r>
          </w:p>
        </w:tc>
        <w:tc>
          <w:tcPr>
            <w:tcW w:w="1391" w:type="dxa"/>
            <w:tcBorders>
              <w:top w:val="nil"/>
              <w:left w:val="nil"/>
              <w:bottom w:val="nil"/>
              <w:right w:val="nil"/>
            </w:tcBorders>
            <w:shd w:val="clear" w:color="auto" w:fill="auto"/>
            <w:noWrap/>
            <w:vAlign w:val="bottom"/>
            <w:hideMark/>
          </w:tcPr>
          <w:p w14:paraId="55338248" w14:textId="77777777" w:rsidR="00192852" w:rsidRDefault="00192852" w:rsidP="000A0418">
            <w:pPr>
              <w:jc w:val="right"/>
              <w:rPr>
                <w:color w:val="000000"/>
                <w:sz w:val="22"/>
                <w:szCs w:val="22"/>
              </w:rPr>
            </w:pPr>
            <w:r w:rsidRPr="00AD19CF">
              <w:rPr>
                <w:color w:val="000000"/>
                <w:sz w:val="22"/>
                <w:szCs w:val="22"/>
              </w:rPr>
              <w:t>770.693</w:t>
            </w:r>
          </w:p>
        </w:tc>
      </w:tr>
      <w:tr w:rsidR="00192852" w14:paraId="607865B1" w14:textId="77777777" w:rsidTr="000A0418">
        <w:trPr>
          <w:trHeight w:val="300"/>
        </w:trPr>
        <w:tc>
          <w:tcPr>
            <w:tcW w:w="5812" w:type="dxa"/>
            <w:tcBorders>
              <w:top w:val="nil"/>
              <w:left w:val="nil"/>
              <w:bottom w:val="nil"/>
              <w:right w:val="nil"/>
            </w:tcBorders>
            <w:shd w:val="clear" w:color="auto" w:fill="auto"/>
            <w:vAlign w:val="bottom"/>
            <w:hideMark/>
          </w:tcPr>
          <w:p w14:paraId="5ED0D808" w14:textId="77777777" w:rsidR="00192852" w:rsidRDefault="00192852" w:rsidP="000A0418">
            <w:pPr>
              <w:rPr>
                <w:color w:val="000000"/>
                <w:sz w:val="22"/>
                <w:szCs w:val="22"/>
              </w:rPr>
            </w:pPr>
            <w:r>
              <w:rPr>
                <w:color w:val="000000"/>
                <w:sz w:val="22"/>
                <w:szCs w:val="22"/>
              </w:rPr>
              <w:t xml:space="preserve"> Por actividades de inversión</w:t>
            </w:r>
          </w:p>
        </w:tc>
        <w:tc>
          <w:tcPr>
            <w:tcW w:w="1651" w:type="dxa"/>
            <w:tcBorders>
              <w:top w:val="nil"/>
              <w:left w:val="nil"/>
              <w:bottom w:val="nil"/>
              <w:right w:val="nil"/>
            </w:tcBorders>
            <w:shd w:val="clear" w:color="auto" w:fill="auto"/>
            <w:noWrap/>
            <w:vAlign w:val="bottom"/>
            <w:hideMark/>
          </w:tcPr>
          <w:p w14:paraId="0CFC9AC7" w14:textId="77777777" w:rsidR="00192852" w:rsidRDefault="00192852" w:rsidP="000A0418">
            <w:pPr>
              <w:jc w:val="right"/>
              <w:rPr>
                <w:color w:val="000000"/>
                <w:sz w:val="22"/>
                <w:szCs w:val="22"/>
              </w:rPr>
            </w:pPr>
            <w:r>
              <w:rPr>
                <w:color w:val="000000"/>
                <w:sz w:val="22"/>
                <w:szCs w:val="22"/>
              </w:rPr>
              <w:t>(70.548)</w:t>
            </w:r>
          </w:p>
        </w:tc>
        <w:tc>
          <w:tcPr>
            <w:tcW w:w="1391" w:type="dxa"/>
            <w:tcBorders>
              <w:top w:val="nil"/>
              <w:left w:val="nil"/>
              <w:bottom w:val="nil"/>
              <w:right w:val="nil"/>
            </w:tcBorders>
            <w:shd w:val="clear" w:color="auto" w:fill="auto"/>
            <w:noWrap/>
            <w:vAlign w:val="bottom"/>
            <w:hideMark/>
          </w:tcPr>
          <w:p w14:paraId="51CA7F09" w14:textId="77777777" w:rsidR="00192852" w:rsidRDefault="00192852" w:rsidP="000A0418">
            <w:pPr>
              <w:jc w:val="right"/>
              <w:rPr>
                <w:color w:val="000000"/>
                <w:sz w:val="22"/>
                <w:szCs w:val="22"/>
              </w:rPr>
            </w:pPr>
            <w:r>
              <w:rPr>
                <w:color w:val="000000"/>
                <w:sz w:val="22"/>
                <w:szCs w:val="22"/>
              </w:rPr>
              <w:t>(381.961)</w:t>
            </w:r>
          </w:p>
        </w:tc>
      </w:tr>
      <w:tr w:rsidR="00192852" w14:paraId="2166DC4F" w14:textId="77777777" w:rsidTr="000A0418">
        <w:trPr>
          <w:trHeight w:val="300"/>
        </w:trPr>
        <w:tc>
          <w:tcPr>
            <w:tcW w:w="5812" w:type="dxa"/>
            <w:tcBorders>
              <w:top w:val="nil"/>
              <w:left w:val="nil"/>
              <w:bottom w:val="nil"/>
              <w:right w:val="nil"/>
            </w:tcBorders>
            <w:shd w:val="clear" w:color="auto" w:fill="auto"/>
            <w:vAlign w:val="bottom"/>
            <w:hideMark/>
          </w:tcPr>
          <w:p w14:paraId="05E226F3" w14:textId="77777777" w:rsidR="00192852" w:rsidRDefault="00192852" w:rsidP="000A0418">
            <w:pPr>
              <w:rPr>
                <w:color w:val="000000"/>
                <w:sz w:val="22"/>
                <w:szCs w:val="22"/>
              </w:rPr>
            </w:pPr>
            <w:r>
              <w:rPr>
                <w:color w:val="000000"/>
                <w:sz w:val="22"/>
                <w:szCs w:val="22"/>
              </w:rPr>
              <w:t xml:space="preserve"> Por actividades de financiación</w:t>
            </w:r>
          </w:p>
        </w:tc>
        <w:tc>
          <w:tcPr>
            <w:tcW w:w="1651" w:type="dxa"/>
            <w:tcBorders>
              <w:top w:val="nil"/>
              <w:left w:val="nil"/>
              <w:bottom w:val="nil"/>
              <w:right w:val="nil"/>
            </w:tcBorders>
            <w:shd w:val="clear" w:color="auto" w:fill="auto"/>
            <w:noWrap/>
            <w:vAlign w:val="bottom"/>
            <w:hideMark/>
          </w:tcPr>
          <w:p w14:paraId="4FFCDE1E" w14:textId="77777777" w:rsidR="00192852" w:rsidRDefault="00192852" w:rsidP="000A0418">
            <w:pPr>
              <w:jc w:val="right"/>
              <w:rPr>
                <w:color w:val="000000"/>
                <w:sz w:val="22"/>
                <w:szCs w:val="22"/>
              </w:rPr>
            </w:pPr>
            <w:r>
              <w:rPr>
                <w:color w:val="000000"/>
                <w:sz w:val="22"/>
                <w:szCs w:val="22"/>
              </w:rPr>
              <w:t>(1.011.706)</w:t>
            </w:r>
          </w:p>
        </w:tc>
        <w:tc>
          <w:tcPr>
            <w:tcW w:w="1391" w:type="dxa"/>
            <w:tcBorders>
              <w:top w:val="nil"/>
              <w:left w:val="nil"/>
              <w:bottom w:val="nil"/>
              <w:right w:val="nil"/>
            </w:tcBorders>
            <w:shd w:val="clear" w:color="auto" w:fill="auto"/>
            <w:noWrap/>
            <w:vAlign w:val="bottom"/>
            <w:hideMark/>
          </w:tcPr>
          <w:p w14:paraId="32E1F453" w14:textId="77777777" w:rsidR="00192852" w:rsidRDefault="00192852" w:rsidP="000A0418">
            <w:pPr>
              <w:jc w:val="right"/>
              <w:rPr>
                <w:color w:val="000000"/>
                <w:sz w:val="22"/>
                <w:szCs w:val="22"/>
              </w:rPr>
            </w:pPr>
            <w:r w:rsidRPr="00AD19CF">
              <w:rPr>
                <w:color w:val="000000"/>
                <w:sz w:val="22"/>
                <w:szCs w:val="22"/>
              </w:rPr>
              <w:t>(271.987)</w:t>
            </w:r>
          </w:p>
        </w:tc>
      </w:tr>
      <w:tr w:rsidR="00192852" w14:paraId="4197590F" w14:textId="77777777" w:rsidTr="000A0418">
        <w:trPr>
          <w:trHeight w:val="296"/>
        </w:trPr>
        <w:tc>
          <w:tcPr>
            <w:tcW w:w="5812" w:type="dxa"/>
            <w:tcBorders>
              <w:top w:val="nil"/>
              <w:left w:val="nil"/>
              <w:bottom w:val="nil"/>
              <w:right w:val="nil"/>
            </w:tcBorders>
            <w:shd w:val="clear" w:color="auto" w:fill="auto"/>
            <w:vAlign w:val="bottom"/>
            <w:hideMark/>
          </w:tcPr>
          <w:p w14:paraId="021E9978" w14:textId="77777777" w:rsidR="00192852" w:rsidRDefault="00192852" w:rsidP="000A0418">
            <w:pPr>
              <w:rPr>
                <w:color w:val="000000"/>
                <w:sz w:val="22"/>
                <w:szCs w:val="22"/>
              </w:rPr>
            </w:pPr>
            <w:r>
              <w:rPr>
                <w:color w:val="000000"/>
                <w:sz w:val="22"/>
                <w:szCs w:val="22"/>
              </w:rPr>
              <w:t>Efecto del REI sobre el efectivo y equivalente de efectivo</w:t>
            </w:r>
          </w:p>
        </w:tc>
        <w:tc>
          <w:tcPr>
            <w:tcW w:w="1651" w:type="dxa"/>
            <w:tcBorders>
              <w:top w:val="nil"/>
              <w:left w:val="nil"/>
              <w:bottom w:val="nil"/>
              <w:right w:val="nil"/>
            </w:tcBorders>
            <w:shd w:val="clear" w:color="auto" w:fill="auto"/>
            <w:noWrap/>
            <w:vAlign w:val="bottom"/>
            <w:hideMark/>
          </w:tcPr>
          <w:p w14:paraId="6AF2511B" w14:textId="77777777" w:rsidR="00192852" w:rsidRDefault="00192852" w:rsidP="000A0418">
            <w:pPr>
              <w:jc w:val="right"/>
              <w:rPr>
                <w:color w:val="000000"/>
                <w:sz w:val="22"/>
                <w:szCs w:val="22"/>
              </w:rPr>
            </w:pPr>
            <w:r>
              <w:rPr>
                <w:color w:val="000000"/>
                <w:sz w:val="22"/>
                <w:szCs w:val="22"/>
              </w:rPr>
              <w:t>(5.952)</w:t>
            </w:r>
          </w:p>
        </w:tc>
        <w:tc>
          <w:tcPr>
            <w:tcW w:w="1391" w:type="dxa"/>
            <w:tcBorders>
              <w:top w:val="nil"/>
              <w:left w:val="nil"/>
              <w:bottom w:val="nil"/>
              <w:right w:val="nil"/>
            </w:tcBorders>
            <w:shd w:val="clear" w:color="auto" w:fill="auto"/>
            <w:noWrap/>
            <w:vAlign w:val="bottom"/>
            <w:hideMark/>
          </w:tcPr>
          <w:p w14:paraId="6D1E61B5" w14:textId="77777777" w:rsidR="00192852" w:rsidRDefault="00192852" w:rsidP="000A0418">
            <w:pPr>
              <w:jc w:val="right"/>
              <w:rPr>
                <w:color w:val="000000"/>
                <w:sz w:val="22"/>
                <w:szCs w:val="22"/>
              </w:rPr>
            </w:pPr>
            <w:r>
              <w:rPr>
                <w:color w:val="000000"/>
                <w:sz w:val="22"/>
                <w:szCs w:val="22"/>
              </w:rPr>
              <w:t>(17.526)</w:t>
            </w:r>
          </w:p>
        </w:tc>
      </w:tr>
      <w:tr w:rsidR="00192852" w14:paraId="4F0E56BB" w14:textId="77777777" w:rsidTr="000A0418">
        <w:trPr>
          <w:trHeight w:val="300"/>
        </w:trPr>
        <w:tc>
          <w:tcPr>
            <w:tcW w:w="5812" w:type="dxa"/>
            <w:tcBorders>
              <w:top w:val="nil"/>
              <w:left w:val="nil"/>
              <w:bottom w:val="nil"/>
              <w:right w:val="nil"/>
            </w:tcBorders>
            <w:shd w:val="clear" w:color="auto" w:fill="auto"/>
            <w:vAlign w:val="bottom"/>
            <w:hideMark/>
          </w:tcPr>
          <w:p w14:paraId="66407B79" w14:textId="77777777" w:rsidR="00192852" w:rsidRDefault="00192852" w:rsidP="000A0418">
            <w:pPr>
              <w:rPr>
                <w:color w:val="000000"/>
                <w:sz w:val="22"/>
                <w:szCs w:val="22"/>
              </w:rPr>
            </w:pPr>
            <w:r>
              <w:rPr>
                <w:color w:val="000000"/>
                <w:sz w:val="22"/>
                <w:szCs w:val="22"/>
              </w:rPr>
              <w:t>Aumento neto del efectivo</w:t>
            </w:r>
          </w:p>
        </w:tc>
        <w:tc>
          <w:tcPr>
            <w:tcW w:w="1651" w:type="dxa"/>
            <w:tcBorders>
              <w:top w:val="nil"/>
              <w:left w:val="nil"/>
              <w:bottom w:val="nil"/>
              <w:right w:val="nil"/>
            </w:tcBorders>
            <w:shd w:val="clear" w:color="auto" w:fill="auto"/>
            <w:noWrap/>
            <w:vAlign w:val="bottom"/>
            <w:hideMark/>
          </w:tcPr>
          <w:p w14:paraId="52CDC7CB" w14:textId="77777777" w:rsidR="00192852" w:rsidRDefault="00192852" w:rsidP="000A0418">
            <w:pPr>
              <w:jc w:val="right"/>
              <w:rPr>
                <w:color w:val="000000"/>
                <w:sz w:val="22"/>
                <w:szCs w:val="22"/>
              </w:rPr>
            </w:pPr>
            <w:r>
              <w:rPr>
                <w:color w:val="000000"/>
                <w:sz w:val="22"/>
                <w:szCs w:val="22"/>
              </w:rPr>
              <w:t>94.212</w:t>
            </w:r>
          </w:p>
        </w:tc>
        <w:tc>
          <w:tcPr>
            <w:tcW w:w="1391" w:type="dxa"/>
            <w:tcBorders>
              <w:top w:val="nil"/>
              <w:left w:val="nil"/>
              <w:bottom w:val="nil"/>
              <w:right w:val="nil"/>
            </w:tcBorders>
            <w:shd w:val="clear" w:color="auto" w:fill="auto"/>
            <w:noWrap/>
            <w:vAlign w:val="bottom"/>
            <w:hideMark/>
          </w:tcPr>
          <w:p w14:paraId="3B7693BC" w14:textId="77777777" w:rsidR="00192852" w:rsidRDefault="00192852" w:rsidP="000A0418">
            <w:pPr>
              <w:jc w:val="right"/>
              <w:rPr>
                <w:color w:val="000000"/>
                <w:sz w:val="22"/>
                <w:szCs w:val="22"/>
              </w:rPr>
            </w:pPr>
            <w:r>
              <w:rPr>
                <w:color w:val="000000"/>
                <w:sz w:val="22"/>
                <w:szCs w:val="22"/>
              </w:rPr>
              <w:t>99.219</w:t>
            </w:r>
          </w:p>
        </w:tc>
      </w:tr>
    </w:tbl>
    <w:p w14:paraId="63CFAD26" w14:textId="77777777" w:rsidR="00192852" w:rsidRPr="00F2691D" w:rsidRDefault="00192852" w:rsidP="009856C2">
      <w:pPr>
        <w:jc w:val="both"/>
        <w:rPr>
          <w:rFonts w:eastAsia="MS Mincho"/>
          <w:b/>
          <w:bCs/>
          <w:sz w:val="22"/>
          <w:szCs w:val="22"/>
          <w:lang w:eastAsia="ja-JP"/>
        </w:rPr>
      </w:pPr>
    </w:p>
    <w:p w14:paraId="04EF1E43" w14:textId="77777777" w:rsidR="009856C2" w:rsidRPr="00F2691D" w:rsidRDefault="009856C2" w:rsidP="005423C9">
      <w:pPr>
        <w:jc w:val="center"/>
        <w:outlineLvl w:val="0"/>
        <w:rPr>
          <w:b/>
          <w:sz w:val="22"/>
          <w:szCs w:val="22"/>
          <w:u w:val="single"/>
        </w:rPr>
      </w:pPr>
    </w:p>
    <w:p w14:paraId="6468B486" w14:textId="77777777" w:rsidR="00A96841" w:rsidRPr="00F2691D" w:rsidRDefault="00A96841" w:rsidP="00F3428B">
      <w:pPr>
        <w:jc w:val="center"/>
        <w:outlineLvl w:val="0"/>
        <w:rPr>
          <w:b/>
          <w:sz w:val="22"/>
          <w:szCs w:val="22"/>
          <w:u w:val="single"/>
        </w:rPr>
      </w:pPr>
    </w:p>
    <w:p w14:paraId="1FE25DC3" w14:textId="1FAFE45A" w:rsidR="003027E9" w:rsidRDefault="003027E9" w:rsidP="003027E9">
      <w:pPr>
        <w:jc w:val="both"/>
        <w:rPr>
          <w:rFonts w:eastAsia="Lucida Sans Unicode"/>
          <w:b/>
          <w:bCs/>
          <w:kern w:val="1"/>
          <w:sz w:val="22"/>
          <w:szCs w:val="22"/>
          <w:lang w:eastAsia="ja-JP"/>
        </w:rPr>
      </w:pPr>
      <w:r w:rsidRPr="00F2691D">
        <w:rPr>
          <w:rFonts w:eastAsia="Lucida Sans Unicode"/>
          <w:b/>
          <w:kern w:val="1"/>
          <w:sz w:val="22"/>
        </w:rPr>
        <w:t xml:space="preserve">b) Indicadores </w:t>
      </w:r>
      <w:r w:rsidRPr="00F2691D">
        <w:rPr>
          <w:rFonts w:eastAsia="Lucida Sans Unicode"/>
          <w:b/>
          <w:bCs/>
          <w:kern w:val="1"/>
          <w:sz w:val="22"/>
          <w:szCs w:val="22"/>
          <w:lang w:eastAsia="ja-JP"/>
        </w:rPr>
        <w:t>financieros</w:t>
      </w:r>
    </w:p>
    <w:p w14:paraId="39D80179" w14:textId="60EEB91B" w:rsidR="00192852" w:rsidRDefault="00192852" w:rsidP="003027E9">
      <w:pPr>
        <w:jc w:val="both"/>
        <w:rPr>
          <w:rFonts w:eastAsia="Lucida Sans Unicode"/>
          <w:b/>
          <w:bCs/>
          <w:kern w:val="1"/>
          <w:sz w:val="22"/>
          <w:szCs w:val="22"/>
          <w:lang w:eastAsia="ja-JP"/>
        </w:rPr>
      </w:pPr>
    </w:p>
    <w:p w14:paraId="41402AFB" w14:textId="43354208" w:rsidR="00192852" w:rsidRDefault="00192852" w:rsidP="003027E9">
      <w:pPr>
        <w:jc w:val="both"/>
        <w:rPr>
          <w:rFonts w:eastAsia="Lucida Sans Unicode"/>
          <w:b/>
          <w:bCs/>
          <w:kern w:val="1"/>
          <w:sz w:val="22"/>
          <w:szCs w:val="22"/>
          <w:lang w:eastAsia="ja-JP"/>
        </w:rPr>
      </w:pPr>
    </w:p>
    <w:tbl>
      <w:tblPr>
        <w:tblW w:w="9533" w:type="dxa"/>
        <w:tblCellMar>
          <w:left w:w="70" w:type="dxa"/>
          <w:right w:w="70" w:type="dxa"/>
        </w:tblCellMar>
        <w:tblLook w:val="04A0" w:firstRow="1" w:lastRow="0" w:firstColumn="1" w:lastColumn="0" w:noHBand="0" w:noVBand="1"/>
      </w:tblPr>
      <w:tblGrid>
        <w:gridCol w:w="70"/>
        <w:gridCol w:w="5783"/>
        <w:gridCol w:w="213"/>
        <w:gridCol w:w="1520"/>
        <w:gridCol w:w="1520"/>
        <w:gridCol w:w="427"/>
      </w:tblGrid>
      <w:tr w:rsidR="00192852" w14:paraId="5600CD7C" w14:textId="77777777" w:rsidTr="00192852">
        <w:trPr>
          <w:gridBefore w:val="1"/>
          <w:wBefore w:w="70" w:type="dxa"/>
          <w:trHeight w:val="300"/>
        </w:trPr>
        <w:tc>
          <w:tcPr>
            <w:tcW w:w="5783" w:type="dxa"/>
            <w:tcBorders>
              <w:top w:val="nil"/>
              <w:left w:val="nil"/>
              <w:bottom w:val="nil"/>
              <w:right w:val="nil"/>
            </w:tcBorders>
            <w:shd w:val="clear" w:color="auto" w:fill="auto"/>
            <w:vAlign w:val="bottom"/>
          </w:tcPr>
          <w:p w14:paraId="7AC55C0A" w14:textId="77777777" w:rsidR="00192852" w:rsidRDefault="00192852" w:rsidP="000A0418">
            <w:pPr>
              <w:rPr>
                <w:sz w:val="20"/>
                <w:szCs w:val="20"/>
                <w:lang w:val="es-AR" w:eastAsia="es-AR"/>
              </w:rPr>
            </w:pPr>
          </w:p>
        </w:tc>
        <w:tc>
          <w:tcPr>
            <w:tcW w:w="3680" w:type="dxa"/>
            <w:gridSpan w:val="4"/>
            <w:tcBorders>
              <w:top w:val="nil"/>
              <w:left w:val="nil"/>
              <w:bottom w:val="single" w:sz="4" w:space="0" w:color="auto"/>
              <w:right w:val="nil"/>
            </w:tcBorders>
            <w:shd w:val="clear" w:color="auto" w:fill="auto"/>
            <w:vAlign w:val="bottom"/>
          </w:tcPr>
          <w:p w14:paraId="0068F80D" w14:textId="77777777" w:rsidR="00192852" w:rsidRDefault="00192852" w:rsidP="000A0418">
            <w:pPr>
              <w:jc w:val="center"/>
              <w:rPr>
                <w:color w:val="000000"/>
                <w:sz w:val="22"/>
                <w:szCs w:val="22"/>
              </w:rPr>
            </w:pPr>
            <w:r>
              <w:rPr>
                <w:color w:val="000000"/>
                <w:sz w:val="22"/>
                <w:szCs w:val="22"/>
              </w:rPr>
              <w:t>Período de seis meses finalizado el 31 de diciembre de</w:t>
            </w:r>
          </w:p>
        </w:tc>
      </w:tr>
      <w:tr w:rsidR="00192852" w14:paraId="4854057D" w14:textId="77777777" w:rsidTr="00192852">
        <w:tblPrEx>
          <w:jc w:val="right"/>
        </w:tblPrEx>
        <w:trPr>
          <w:gridAfter w:val="1"/>
          <w:wAfter w:w="427" w:type="dxa"/>
          <w:trHeight w:val="360"/>
          <w:jc w:val="right"/>
        </w:trPr>
        <w:tc>
          <w:tcPr>
            <w:tcW w:w="6066" w:type="dxa"/>
            <w:gridSpan w:val="3"/>
            <w:tcBorders>
              <w:top w:val="nil"/>
              <w:left w:val="nil"/>
              <w:bottom w:val="nil"/>
              <w:right w:val="nil"/>
            </w:tcBorders>
            <w:shd w:val="clear" w:color="auto" w:fill="auto"/>
            <w:vAlign w:val="bottom"/>
            <w:hideMark/>
          </w:tcPr>
          <w:p w14:paraId="77D7E1D1" w14:textId="77777777" w:rsidR="00192852" w:rsidRDefault="00192852" w:rsidP="000A0418">
            <w:pPr>
              <w:jc w:val="center"/>
              <w:rPr>
                <w:color w:val="000000"/>
                <w:sz w:val="22"/>
                <w:szCs w:val="22"/>
              </w:rPr>
            </w:pPr>
          </w:p>
        </w:tc>
        <w:tc>
          <w:tcPr>
            <w:tcW w:w="1520" w:type="dxa"/>
            <w:tcBorders>
              <w:top w:val="nil"/>
              <w:left w:val="nil"/>
              <w:bottom w:val="single" w:sz="4" w:space="0" w:color="auto"/>
              <w:right w:val="nil"/>
            </w:tcBorders>
            <w:shd w:val="clear" w:color="auto" w:fill="auto"/>
            <w:noWrap/>
            <w:vAlign w:val="bottom"/>
            <w:hideMark/>
          </w:tcPr>
          <w:p w14:paraId="2FFEFA00" w14:textId="77777777" w:rsidR="00192852" w:rsidRDefault="00192852" w:rsidP="000A0418">
            <w:pPr>
              <w:jc w:val="center"/>
              <w:rPr>
                <w:color w:val="000000"/>
                <w:sz w:val="22"/>
                <w:szCs w:val="22"/>
              </w:rPr>
            </w:pPr>
            <w:r>
              <w:rPr>
                <w:color w:val="000000"/>
                <w:sz w:val="22"/>
                <w:szCs w:val="22"/>
              </w:rPr>
              <w:t>2019</w:t>
            </w:r>
          </w:p>
        </w:tc>
        <w:tc>
          <w:tcPr>
            <w:tcW w:w="1520" w:type="dxa"/>
            <w:tcBorders>
              <w:top w:val="nil"/>
              <w:left w:val="nil"/>
              <w:bottom w:val="single" w:sz="4" w:space="0" w:color="auto"/>
              <w:right w:val="nil"/>
            </w:tcBorders>
            <w:shd w:val="clear" w:color="auto" w:fill="auto"/>
            <w:noWrap/>
            <w:vAlign w:val="bottom"/>
            <w:hideMark/>
          </w:tcPr>
          <w:p w14:paraId="63C99B34" w14:textId="77777777" w:rsidR="00192852" w:rsidRDefault="00192852" w:rsidP="000A0418">
            <w:pPr>
              <w:jc w:val="center"/>
              <w:rPr>
                <w:color w:val="000000"/>
                <w:sz w:val="22"/>
                <w:szCs w:val="22"/>
              </w:rPr>
            </w:pPr>
            <w:r>
              <w:rPr>
                <w:color w:val="000000"/>
                <w:sz w:val="22"/>
                <w:szCs w:val="22"/>
              </w:rPr>
              <w:t>2018</w:t>
            </w:r>
          </w:p>
        </w:tc>
      </w:tr>
      <w:tr w:rsidR="00192852" w14:paraId="73B5E9D1" w14:textId="77777777" w:rsidTr="00192852">
        <w:tblPrEx>
          <w:jc w:val="right"/>
        </w:tblPrEx>
        <w:trPr>
          <w:gridAfter w:val="1"/>
          <w:wAfter w:w="427" w:type="dxa"/>
          <w:trHeight w:val="300"/>
          <w:jc w:val="right"/>
        </w:trPr>
        <w:tc>
          <w:tcPr>
            <w:tcW w:w="6066" w:type="dxa"/>
            <w:gridSpan w:val="3"/>
            <w:tcBorders>
              <w:top w:val="nil"/>
              <w:left w:val="nil"/>
              <w:bottom w:val="nil"/>
              <w:right w:val="nil"/>
            </w:tcBorders>
            <w:shd w:val="clear" w:color="auto" w:fill="auto"/>
            <w:vAlign w:val="bottom"/>
            <w:hideMark/>
          </w:tcPr>
          <w:p w14:paraId="5A635FF4" w14:textId="77777777" w:rsidR="00192852" w:rsidRDefault="00192852" w:rsidP="000A0418">
            <w:pPr>
              <w:rPr>
                <w:color w:val="000000"/>
                <w:sz w:val="22"/>
                <w:szCs w:val="22"/>
              </w:rPr>
            </w:pPr>
            <w:r>
              <w:rPr>
                <w:color w:val="000000"/>
                <w:sz w:val="22"/>
                <w:szCs w:val="22"/>
              </w:rPr>
              <w:t>Liquidez</w:t>
            </w:r>
          </w:p>
        </w:tc>
        <w:tc>
          <w:tcPr>
            <w:tcW w:w="1520" w:type="dxa"/>
            <w:tcBorders>
              <w:top w:val="nil"/>
              <w:left w:val="nil"/>
              <w:bottom w:val="nil"/>
              <w:right w:val="nil"/>
            </w:tcBorders>
            <w:shd w:val="clear" w:color="auto" w:fill="auto"/>
            <w:noWrap/>
            <w:vAlign w:val="bottom"/>
            <w:hideMark/>
          </w:tcPr>
          <w:p w14:paraId="316501C9" w14:textId="77777777" w:rsidR="00192852" w:rsidRDefault="00192852" w:rsidP="000A0418">
            <w:pPr>
              <w:jc w:val="right"/>
              <w:rPr>
                <w:color w:val="000000"/>
                <w:sz w:val="22"/>
                <w:szCs w:val="22"/>
              </w:rPr>
            </w:pPr>
            <w:r>
              <w:rPr>
                <w:color w:val="000000"/>
                <w:sz w:val="22"/>
                <w:szCs w:val="22"/>
              </w:rPr>
              <w:t>1,05</w:t>
            </w:r>
          </w:p>
        </w:tc>
        <w:tc>
          <w:tcPr>
            <w:tcW w:w="1520" w:type="dxa"/>
            <w:tcBorders>
              <w:top w:val="nil"/>
              <w:left w:val="nil"/>
              <w:bottom w:val="nil"/>
              <w:right w:val="nil"/>
            </w:tcBorders>
            <w:shd w:val="clear" w:color="auto" w:fill="auto"/>
            <w:noWrap/>
            <w:vAlign w:val="bottom"/>
            <w:hideMark/>
          </w:tcPr>
          <w:p w14:paraId="0B025650" w14:textId="77777777" w:rsidR="00192852" w:rsidRDefault="00192852" w:rsidP="000A0418">
            <w:pPr>
              <w:jc w:val="right"/>
              <w:rPr>
                <w:color w:val="000000"/>
                <w:sz w:val="22"/>
                <w:szCs w:val="22"/>
              </w:rPr>
            </w:pPr>
            <w:r>
              <w:rPr>
                <w:color w:val="000000"/>
                <w:sz w:val="22"/>
                <w:szCs w:val="22"/>
              </w:rPr>
              <w:t>1,08</w:t>
            </w:r>
          </w:p>
        </w:tc>
      </w:tr>
      <w:tr w:rsidR="00192852" w14:paraId="1DC6FD02" w14:textId="77777777" w:rsidTr="00192852">
        <w:tblPrEx>
          <w:jc w:val="right"/>
        </w:tblPrEx>
        <w:trPr>
          <w:gridAfter w:val="1"/>
          <w:wAfter w:w="427" w:type="dxa"/>
          <w:trHeight w:val="300"/>
          <w:jc w:val="right"/>
        </w:trPr>
        <w:tc>
          <w:tcPr>
            <w:tcW w:w="6066" w:type="dxa"/>
            <w:gridSpan w:val="3"/>
            <w:tcBorders>
              <w:top w:val="nil"/>
              <w:left w:val="nil"/>
              <w:bottom w:val="nil"/>
              <w:right w:val="nil"/>
            </w:tcBorders>
            <w:shd w:val="clear" w:color="auto" w:fill="auto"/>
            <w:vAlign w:val="bottom"/>
            <w:hideMark/>
          </w:tcPr>
          <w:p w14:paraId="24D7DDF4" w14:textId="77777777" w:rsidR="00192852" w:rsidRDefault="00192852" w:rsidP="000A0418">
            <w:pPr>
              <w:rPr>
                <w:color w:val="000000"/>
                <w:sz w:val="22"/>
                <w:szCs w:val="22"/>
              </w:rPr>
            </w:pPr>
            <w:r>
              <w:rPr>
                <w:color w:val="000000"/>
                <w:sz w:val="22"/>
                <w:szCs w:val="22"/>
              </w:rPr>
              <w:t>Solvencia</w:t>
            </w:r>
          </w:p>
        </w:tc>
        <w:tc>
          <w:tcPr>
            <w:tcW w:w="1520" w:type="dxa"/>
            <w:tcBorders>
              <w:top w:val="nil"/>
              <w:left w:val="nil"/>
              <w:bottom w:val="nil"/>
              <w:right w:val="nil"/>
            </w:tcBorders>
            <w:shd w:val="clear" w:color="auto" w:fill="auto"/>
            <w:noWrap/>
            <w:vAlign w:val="bottom"/>
            <w:hideMark/>
          </w:tcPr>
          <w:p w14:paraId="086AAA31" w14:textId="77777777" w:rsidR="00192852" w:rsidRDefault="00192852" w:rsidP="000A0418">
            <w:pPr>
              <w:jc w:val="right"/>
              <w:rPr>
                <w:color w:val="000000"/>
                <w:sz w:val="22"/>
                <w:szCs w:val="22"/>
              </w:rPr>
            </w:pPr>
            <w:r>
              <w:rPr>
                <w:color w:val="000000"/>
                <w:sz w:val="22"/>
                <w:szCs w:val="22"/>
              </w:rPr>
              <w:t>0,21</w:t>
            </w:r>
          </w:p>
        </w:tc>
        <w:tc>
          <w:tcPr>
            <w:tcW w:w="1520" w:type="dxa"/>
            <w:tcBorders>
              <w:top w:val="nil"/>
              <w:left w:val="nil"/>
              <w:bottom w:val="nil"/>
              <w:right w:val="nil"/>
            </w:tcBorders>
            <w:shd w:val="clear" w:color="auto" w:fill="auto"/>
            <w:noWrap/>
            <w:vAlign w:val="bottom"/>
            <w:hideMark/>
          </w:tcPr>
          <w:p w14:paraId="7F0FD763" w14:textId="77777777" w:rsidR="00192852" w:rsidRDefault="00192852" w:rsidP="000A0418">
            <w:pPr>
              <w:jc w:val="right"/>
              <w:rPr>
                <w:color w:val="000000"/>
                <w:sz w:val="22"/>
                <w:szCs w:val="22"/>
              </w:rPr>
            </w:pPr>
            <w:r>
              <w:rPr>
                <w:color w:val="000000"/>
                <w:sz w:val="22"/>
                <w:szCs w:val="22"/>
              </w:rPr>
              <w:t>0,23</w:t>
            </w:r>
          </w:p>
        </w:tc>
      </w:tr>
      <w:tr w:rsidR="00192852" w14:paraId="5838BC62" w14:textId="77777777" w:rsidTr="00192852">
        <w:tblPrEx>
          <w:jc w:val="right"/>
        </w:tblPrEx>
        <w:trPr>
          <w:gridAfter w:val="1"/>
          <w:wAfter w:w="427" w:type="dxa"/>
          <w:trHeight w:val="300"/>
          <w:jc w:val="right"/>
        </w:trPr>
        <w:tc>
          <w:tcPr>
            <w:tcW w:w="6066" w:type="dxa"/>
            <w:gridSpan w:val="3"/>
            <w:tcBorders>
              <w:top w:val="nil"/>
              <w:left w:val="nil"/>
              <w:bottom w:val="nil"/>
              <w:right w:val="nil"/>
            </w:tcBorders>
            <w:shd w:val="clear" w:color="auto" w:fill="auto"/>
            <w:vAlign w:val="bottom"/>
            <w:hideMark/>
          </w:tcPr>
          <w:p w14:paraId="75E4FBEE" w14:textId="77777777" w:rsidR="00192852" w:rsidRDefault="00192852" w:rsidP="000A0418">
            <w:pPr>
              <w:rPr>
                <w:color w:val="000000"/>
                <w:sz w:val="22"/>
                <w:szCs w:val="22"/>
              </w:rPr>
            </w:pPr>
            <w:r>
              <w:rPr>
                <w:color w:val="000000"/>
                <w:sz w:val="22"/>
                <w:szCs w:val="22"/>
              </w:rPr>
              <w:t>Inmovilización de capital</w:t>
            </w:r>
          </w:p>
        </w:tc>
        <w:tc>
          <w:tcPr>
            <w:tcW w:w="1520" w:type="dxa"/>
            <w:tcBorders>
              <w:top w:val="nil"/>
              <w:left w:val="nil"/>
              <w:bottom w:val="nil"/>
              <w:right w:val="nil"/>
            </w:tcBorders>
            <w:shd w:val="clear" w:color="auto" w:fill="auto"/>
            <w:noWrap/>
            <w:vAlign w:val="bottom"/>
            <w:hideMark/>
          </w:tcPr>
          <w:p w14:paraId="6CA1E13B" w14:textId="77777777" w:rsidR="00192852" w:rsidRDefault="00192852" w:rsidP="000A0418">
            <w:pPr>
              <w:jc w:val="right"/>
              <w:rPr>
                <w:color w:val="000000"/>
                <w:sz w:val="22"/>
                <w:szCs w:val="22"/>
              </w:rPr>
            </w:pPr>
            <w:r>
              <w:rPr>
                <w:color w:val="000000"/>
                <w:sz w:val="22"/>
                <w:szCs w:val="22"/>
              </w:rPr>
              <w:t>0,26</w:t>
            </w:r>
          </w:p>
        </w:tc>
        <w:tc>
          <w:tcPr>
            <w:tcW w:w="1520" w:type="dxa"/>
            <w:tcBorders>
              <w:top w:val="nil"/>
              <w:left w:val="nil"/>
              <w:bottom w:val="nil"/>
              <w:right w:val="nil"/>
            </w:tcBorders>
            <w:shd w:val="clear" w:color="auto" w:fill="auto"/>
            <w:noWrap/>
            <w:vAlign w:val="bottom"/>
            <w:hideMark/>
          </w:tcPr>
          <w:p w14:paraId="194A735F" w14:textId="77777777" w:rsidR="00192852" w:rsidRDefault="00192852" w:rsidP="000A0418">
            <w:pPr>
              <w:jc w:val="right"/>
              <w:rPr>
                <w:color w:val="000000"/>
                <w:sz w:val="22"/>
                <w:szCs w:val="22"/>
              </w:rPr>
            </w:pPr>
            <w:r>
              <w:rPr>
                <w:color w:val="000000"/>
                <w:sz w:val="22"/>
                <w:szCs w:val="22"/>
              </w:rPr>
              <w:t>0,28</w:t>
            </w:r>
          </w:p>
        </w:tc>
      </w:tr>
      <w:tr w:rsidR="00192852" w14:paraId="6B9E10D0" w14:textId="77777777" w:rsidTr="00192852">
        <w:tblPrEx>
          <w:jc w:val="right"/>
        </w:tblPrEx>
        <w:trPr>
          <w:gridAfter w:val="1"/>
          <w:wAfter w:w="427" w:type="dxa"/>
          <w:trHeight w:val="300"/>
          <w:jc w:val="right"/>
        </w:trPr>
        <w:tc>
          <w:tcPr>
            <w:tcW w:w="6066" w:type="dxa"/>
            <w:gridSpan w:val="3"/>
            <w:tcBorders>
              <w:top w:val="nil"/>
              <w:left w:val="nil"/>
              <w:bottom w:val="nil"/>
              <w:right w:val="nil"/>
            </w:tcBorders>
            <w:shd w:val="clear" w:color="auto" w:fill="auto"/>
            <w:vAlign w:val="bottom"/>
            <w:hideMark/>
          </w:tcPr>
          <w:p w14:paraId="139FD046" w14:textId="77777777" w:rsidR="00192852" w:rsidRDefault="00192852" w:rsidP="000A0418">
            <w:pPr>
              <w:rPr>
                <w:color w:val="000000"/>
                <w:sz w:val="22"/>
                <w:szCs w:val="22"/>
              </w:rPr>
            </w:pPr>
            <w:r>
              <w:rPr>
                <w:color w:val="000000"/>
                <w:sz w:val="22"/>
                <w:szCs w:val="22"/>
              </w:rPr>
              <w:t>Rentabilidad</w:t>
            </w:r>
          </w:p>
        </w:tc>
        <w:tc>
          <w:tcPr>
            <w:tcW w:w="1520" w:type="dxa"/>
            <w:tcBorders>
              <w:top w:val="nil"/>
              <w:left w:val="nil"/>
              <w:bottom w:val="nil"/>
              <w:right w:val="nil"/>
            </w:tcBorders>
            <w:shd w:val="clear" w:color="auto" w:fill="auto"/>
            <w:noWrap/>
            <w:vAlign w:val="bottom"/>
            <w:hideMark/>
          </w:tcPr>
          <w:p w14:paraId="7505CAA5" w14:textId="77777777" w:rsidR="00192852" w:rsidRDefault="00192852" w:rsidP="000A0418">
            <w:pPr>
              <w:jc w:val="right"/>
              <w:rPr>
                <w:color w:val="000000"/>
                <w:sz w:val="22"/>
                <w:szCs w:val="22"/>
              </w:rPr>
            </w:pPr>
            <w:r>
              <w:rPr>
                <w:color w:val="000000"/>
                <w:sz w:val="22"/>
                <w:szCs w:val="22"/>
              </w:rPr>
              <w:t>0,07</w:t>
            </w:r>
          </w:p>
        </w:tc>
        <w:tc>
          <w:tcPr>
            <w:tcW w:w="1520" w:type="dxa"/>
            <w:tcBorders>
              <w:top w:val="nil"/>
              <w:left w:val="nil"/>
              <w:bottom w:val="nil"/>
              <w:right w:val="nil"/>
            </w:tcBorders>
            <w:shd w:val="clear" w:color="auto" w:fill="auto"/>
            <w:noWrap/>
            <w:vAlign w:val="bottom"/>
            <w:hideMark/>
          </w:tcPr>
          <w:p w14:paraId="7A3C0523" w14:textId="77777777" w:rsidR="00192852" w:rsidRDefault="00192852" w:rsidP="000A0418">
            <w:pPr>
              <w:jc w:val="right"/>
              <w:rPr>
                <w:color w:val="000000"/>
                <w:sz w:val="22"/>
                <w:szCs w:val="22"/>
              </w:rPr>
            </w:pPr>
            <w:r>
              <w:rPr>
                <w:color w:val="000000"/>
                <w:sz w:val="22"/>
                <w:szCs w:val="22"/>
              </w:rPr>
              <w:t>0,08</w:t>
            </w:r>
          </w:p>
        </w:tc>
      </w:tr>
    </w:tbl>
    <w:p w14:paraId="45350C6C" w14:textId="77777777" w:rsidR="003027E9" w:rsidRPr="00F2691D" w:rsidRDefault="003027E9" w:rsidP="003027E9">
      <w:pPr>
        <w:jc w:val="both"/>
        <w:rPr>
          <w:rFonts w:eastAsia="Lucida Sans Unicode"/>
          <w:b/>
          <w:bCs/>
          <w:kern w:val="1"/>
          <w:sz w:val="22"/>
          <w:szCs w:val="22"/>
          <w:lang w:eastAsia="ja-JP"/>
        </w:rPr>
      </w:pPr>
      <w:r w:rsidRPr="00F2691D">
        <w:rPr>
          <w:rFonts w:eastAsia="Lucida Sans Unicode"/>
          <w:b/>
          <w:bCs/>
          <w:kern w:val="1"/>
          <w:sz w:val="22"/>
          <w:szCs w:val="22"/>
          <w:lang w:eastAsia="ja-JP"/>
        </w:rPr>
        <w:t xml:space="preserve"> </w:t>
      </w:r>
      <w:r w:rsidRPr="00F2691D">
        <w:rPr>
          <w:rFonts w:eastAsia="Lucida Sans Unicode"/>
          <w:b/>
          <w:bCs/>
          <w:kern w:val="1"/>
          <w:sz w:val="22"/>
          <w:szCs w:val="22"/>
          <w:lang w:eastAsia="ja-JP"/>
        </w:rPr>
        <w:tab/>
      </w:r>
    </w:p>
    <w:p w14:paraId="1F2A5710" w14:textId="0263A11C" w:rsidR="00E90CFC" w:rsidRDefault="00E90CFC" w:rsidP="005423C9">
      <w:pPr>
        <w:jc w:val="both"/>
        <w:rPr>
          <w:rFonts w:eastAsia="Lucida Sans Unicode"/>
          <w:b/>
          <w:bCs/>
          <w:kern w:val="1"/>
          <w:sz w:val="22"/>
          <w:szCs w:val="22"/>
          <w:lang w:eastAsia="ja-JP"/>
        </w:rPr>
      </w:pPr>
      <w:r w:rsidRPr="00F2691D">
        <w:rPr>
          <w:rFonts w:eastAsia="Lucida Sans Unicode"/>
          <w:b/>
          <w:bCs/>
          <w:kern w:val="1"/>
          <w:sz w:val="22"/>
          <w:szCs w:val="22"/>
          <w:lang w:eastAsia="ja-JP"/>
        </w:rPr>
        <w:t xml:space="preserve">c) Capitalización y endeudamiento </w:t>
      </w:r>
    </w:p>
    <w:p w14:paraId="43285982" w14:textId="35328160" w:rsidR="00192852" w:rsidRDefault="00192852" w:rsidP="005423C9">
      <w:pPr>
        <w:jc w:val="both"/>
        <w:rPr>
          <w:rFonts w:eastAsia="Lucida Sans Unicode"/>
          <w:b/>
          <w:bCs/>
          <w:kern w:val="1"/>
          <w:sz w:val="22"/>
          <w:szCs w:val="22"/>
          <w:lang w:eastAsia="ja-JP"/>
        </w:rPr>
      </w:pPr>
    </w:p>
    <w:tbl>
      <w:tblPr>
        <w:tblW w:w="8715" w:type="dxa"/>
        <w:tblCellMar>
          <w:left w:w="70" w:type="dxa"/>
          <w:right w:w="70" w:type="dxa"/>
        </w:tblCellMar>
        <w:tblLook w:val="04A0" w:firstRow="1" w:lastRow="0" w:firstColumn="1" w:lastColumn="0" w:noHBand="0" w:noVBand="1"/>
      </w:tblPr>
      <w:tblGrid>
        <w:gridCol w:w="7315"/>
        <w:gridCol w:w="1400"/>
      </w:tblGrid>
      <w:tr w:rsidR="00192852" w14:paraId="2E7C2990" w14:textId="77777777" w:rsidTr="00F2691D">
        <w:trPr>
          <w:trHeight w:val="299"/>
        </w:trPr>
        <w:tc>
          <w:tcPr>
            <w:tcW w:w="7315" w:type="dxa"/>
            <w:tcBorders>
              <w:top w:val="nil"/>
              <w:left w:val="nil"/>
              <w:bottom w:val="nil"/>
              <w:right w:val="nil"/>
            </w:tcBorders>
            <w:shd w:val="clear" w:color="auto" w:fill="auto"/>
            <w:vAlign w:val="bottom"/>
            <w:hideMark/>
          </w:tcPr>
          <w:p w14:paraId="2B19BBC8" w14:textId="77777777" w:rsidR="00192852" w:rsidRDefault="00192852" w:rsidP="000A0418">
            <w:pPr>
              <w:rPr>
                <w:sz w:val="20"/>
                <w:szCs w:val="20"/>
                <w:lang w:val="es-AR" w:eastAsia="es-AR"/>
              </w:rPr>
            </w:pPr>
          </w:p>
        </w:tc>
        <w:tc>
          <w:tcPr>
            <w:tcW w:w="1400" w:type="dxa"/>
            <w:tcBorders>
              <w:top w:val="nil"/>
              <w:left w:val="nil"/>
              <w:bottom w:val="nil"/>
              <w:right w:val="nil"/>
            </w:tcBorders>
            <w:shd w:val="clear" w:color="auto" w:fill="auto"/>
            <w:noWrap/>
            <w:vAlign w:val="bottom"/>
            <w:hideMark/>
          </w:tcPr>
          <w:p w14:paraId="1545B6A2" w14:textId="77777777" w:rsidR="00192852" w:rsidRDefault="00192852" w:rsidP="000A0418">
            <w:pPr>
              <w:jc w:val="center"/>
              <w:rPr>
                <w:color w:val="000000"/>
                <w:sz w:val="22"/>
                <w:szCs w:val="22"/>
              </w:rPr>
            </w:pPr>
            <w:r>
              <w:rPr>
                <w:color w:val="000000"/>
                <w:sz w:val="22"/>
                <w:szCs w:val="22"/>
              </w:rPr>
              <w:t>31 de diciembre</w:t>
            </w:r>
          </w:p>
        </w:tc>
      </w:tr>
      <w:tr w:rsidR="00192852" w14:paraId="256763F4" w14:textId="77777777" w:rsidTr="00F2691D">
        <w:trPr>
          <w:trHeight w:val="299"/>
        </w:trPr>
        <w:tc>
          <w:tcPr>
            <w:tcW w:w="7315" w:type="dxa"/>
            <w:tcBorders>
              <w:top w:val="nil"/>
              <w:left w:val="nil"/>
              <w:bottom w:val="nil"/>
              <w:right w:val="nil"/>
            </w:tcBorders>
            <w:shd w:val="clear" w:color="auto" w:fill="auto"/>
            <w:vAlign w:val="bottom"/>
            <w:hideMark/>
          </w:tcPr>
          <w:p w14:paraId="6C534271" w14:textId="77777777" w:rsidR="00192852" w:rsidRDefault="00192852" w:rsidP="000A0418">
            <w:pPr>
              <w:jc w:val="center"/>
              <w:rPr>
                <w:color w:val="000000"/>
                <w:sz w:val="22"/>
                <w:szCs w:val="22"/>
              </w:rPr>
            </w:pPr>
          </w:p>
        </w:tc>
        <w:tc>
          <w:tcPr>
            <w:tcW w:w="1400" w:type="dxa"/>
            <w:tcBorders>
              <w:top w:val="nil"/>
              <w:left w:val="nil"/>
              <w:bottom w:val="single" w:sz="4" w:space="0" w:color="auto"/>
              <w:right w:val="nil"/>
            </w:tcBorders>
            <w:shd w:val="clear" w:color="auto" w:fill="auto"/>
            <w:noWrap/>
            <w:vAlign w:val="bottom"/>
            <w:hideMark/>
          </w:tcPr>
          <w:p w14:paraId="5128CDAE" w14:textId="77777777" w:rsidR="00192852" w:rsidRDefault="00192852" w:rsidP="000A0418">
            <w:pPr>
              <w:jc w:val="center"/>
              <w:rPr>
                <w:color w:val="000000"/>
                <w:sz w:val="22"/>
                <w:szCs w:val="22"/>
              </w:rPr>
            </w:pPr>
            <w:r>
              <w:rPr>
                <w:color w:val="000000"/>
                <w:sz w:val="22"/>
                <w:szCs w:val="22"/>
              </w:rPr>
              <w:t>2019</w:t>
            </w:r>
          </w:p>
        </w:tc>
      </w:tr>
      <w:tr w:rsidR="00192852" w14:paraId="354A9C2D" w14:textId="77777777" w:rsidTr="00F2691D">
        <w:trPr>
          <w:trHeight w:val="299"/>
        </w:trPr>
        <w:tc>
          <w:tcPr>
            <w:tcW w:w="7315" w:type="dxa"/>
            <w:tcBorders>
              <w:top w:val="nil"/>
              <w:left w:val="nil"/>
              <w:bottom w:val="nil"/>
              <w:right w:val="nil"/>
            </w:tcBorders>
            <w:shd w:val="clear" w:color="auto" w:fill="auto"/>
            <w:vAlign w:val="center"/>
            <w:hideMark/>
          </w:tcPr>
          <w:p w14:paraId="0A725605" w14:textId="77777777" w:rsidR="00192852" w:rsidRDefault="00192852" w:rsidP="000A0418">
            <w:pPr>
              <w:rPr>
                <w:color w:val="000000"/>
                <w:sz w:val="22"/>
                <w:szCs w:val="22"/>
              </w:rPr>
            </w:pPr>
            <w:r>
              <w:rPr>
                <w:color w:val="000000"/>
                <w:sz w:val="22"/>
                <w:szCs w:val="22"/>
              </w:rPr>
              <w:t>Deudas garantizadas</w:t>
            </w:r>
          </w:p>
        </w:tc>
        <w:tc>
          <w:tcPr>
            <w:tcW w:w="1400" w:type="dxa"/>
            <w:tcBorders>
              <w:top w:val="nil"/>
              <w:left w:val="nil"/>
              <w:bottom w:val="nil"/>
              <w:right w:val="nil"/>
            </w:tcBorders>
            <w:shd w:val="clear" w:color="auto" w:fill="auto"/>
            <w:noWrap/>
            <w:vAlign w:val="center"/>
            <w:hideMark/>
          </w:tcPr>
          <w:p w14:paraId="5F5AB124" w14:textId="77777777" w:rsidR="00192852" w:rsidRDefault="00192852" w:rsidP="00F2691D">
            <w:pPr>
              <w:jc w:val="right"/>
              <w:rPr>
                <w:color w:val="000000"/>
                <w:sz w:val="22"/>
                <w:szCs w:val="22"/>
              </w:rPr>
            </w:pPr>
            <w:r>
              <w:rPr>
                <w:color w:val="000000"/>
                <w:sz w:val="22"/>
                <w:szCs w:val="22"/>
              </w:rPr>
              <w:t>2.786.916</w:t>
            </w:r>
          </w:p>
        </w:tc>
      </w:tr>
      <w:tr w:rsidR="00192852" w14:paraId="40528B31" w14:textId="77777777" w:rsidTr="00F2691D">
        <w:trPr>
          <w:trHeight w:val="299"/>
        </w:trPr>
        <w:tc>
          <w:tcPr>
            <w:tcW w:w="7315" w:type="dxa"/>
            <w:tcBorders>
              <w:top w:val="nil"/>
              <w:left w:val="nil"/>
              <w:bottom w:val="nil"/>
              <w:right w:val="nil"/>
            </w:tcBorders>
            <w:shd w:val="clear" w:color="auto" w:fill="auto"/>
            <w:vAlign w:val="center"/>
            <w:hideMark/>
          </w:tcPr>
          <w:p w14:paraId="0A564BFC" w14:textId="77777777" w:rsidR="00192852" w:rsidRDefault="00192852" w:rsidP="000A0418">
            <w:pPr>
              <w:rPr>
                <w:color w:val="000000"/>
                <w:sz w:val="22"/>
                <w:szCs w:val="22"/>
              </w:rPr>
            </w:pPr>
            <w:r>
              <w:rPr>
                <w:color w:val="000000"/>
                <w:sz w:val="22"/>
                <w:szCs w:val="22"/>
              </w:rPr>
              <w:t>Deudas no garantizadas</w:t>
            </w:r>
          </w:p>
        </w:tc>
        <w:tc>
          <w:tcPr>
            <w:tcW w:w="1400" w:type="dxa"/>
            <w:tcBorders>
              <w:top w:val="nil"/>
              <w:left w:val="nil"/>
              <w:bottom w:val="single" w:sz="4" w:space="0" w:color="auto"/>
              <w:right w:val="nil"/>
            </w:tcBorders>
            <w:shd w:val="clear" w:color="auto" w:fill="auto"/>
            <w:noWrap/>
            <w:vAlign w:val="center"/>
            <w:hideMark/>
          </w:tcPr>
          <w:p w14:paraId="2BADA9A9" w14:textId="77777777" w:rsidR="00192852" w:rsidRDefault="00192852" w:rsidP="00F2691D">
            <w:pPr>
              <w:jc w:val="right"/>
              <w:rPr>
                <w:color w:val="000000"/>
                <w:sz w:val="22"/>
                <w:szCs w:val="22"/>
              </w:rPr>
            </w:pPr>
            <w:r>
              <w:rPr>
                <w:color w:val="000000"/>
                <w:sz w:val="22"/>
                <w:szCs w:val="22"/>
              </w:rPr>
              <w:t> 2.187.499</w:t>
            </w:r>
          </w:p>
        </w:tc>
      </w:tr>
      <w:tr w:rsidR="00192852" w14:paraId="3B7783B6" w14:textId="77777777" w:rsidTr="00F2691D">
        <w:trPr>
          <w:trHeight w:val="299"/>
        </w:trPr>
        <w:tc>
          <w:tcPr>
            <w:tcW w:w="7315" w:type="dxa"/>
            <w:tcBorders>
              <w:top w:val="nil"/>
              <w:left w:val="nil"/>
              <w:bottom w:val="nil"/>
              <w:right w:val="nil"/>
            </w:tcBorders>
            <w:shd w:val="clear" w:color="auto" w:fill="auto"/>
            <w:vAlign w:val="center"/>
            <w:hideMark/>
          </w:tcPr>
          <w:p w14:paraId="39B2A5A0" w14:textId="77777777" w:rsidR="00192852" w:rsidRDefault="00192852" w:rsidP="000A0418">
            <w:pPr>
              <w:rPr>
                <w:b/>
                <w:bCs/>
                <w:color w:val="000000"/>
                <w:sz w:val="22"/>
                <w:szCs w:val="22"/>
              </w:rPr>
            </w:pPr>
            <w:r>
              <w:rPr>
                <w:b/>
                <w:bCs/>
                <w:color w:val="000000"/>
                <w:sz w:val="22"/>
                <w:szCs w:val="22"/>
              </w:rPr>
              <w:t>Deuda Total</w:t>
            </w:r>
          </w:p>
        </w:tc>
        <w:tc>
          <w:tcPr>
            <w:tcW w:w="1400" w:type="dxa"/>
            <w:tcBorders>
              <w:top w:val="nil"/>
              <w:left w:val="nil"/>
              <w:bottom w:val="nil"/>
              <w:right w:val="nil"/>
            </w:tcBorders>
            <w:shd w:val="clear" w:color="auto" w:fill="auto"/>
            <w:noWrap/>
            <w:vAlign w:val="center"/>
            <w:hideMark/>
          </w:tcPr>
          <w:p w14:paraId="1588C844" w14:textId="77777777" w:rsidR="00192852" w:rsidRDefault="00192852" w:rsidP="000A0418">
            <w:pPr>
              <w:jc w:val="right"/>
              <w:rPr>
                <w:b/>
                <w:bCs/>
                <w:color w:val="000000"/>
                <w:sz w:val="22"/>
                <w:szCs w:val="22"/>
              </w:rPr>
            </w:pPr>
            <w:r>
              <w:rPr>
                <w:b/>
                <w:bCs/>
                <w:color w:val="000000"/>
                <w:sz w:val="22"/>
                <w:szCs w:val="22"/>
              </w:rPr>
              <w:t>4.974.415</w:t>
            </w:r>
          </w:p>
        </w:tc>
      </w:tr>
      <w:tr w:rsidR="00192852" w14:paraId="22418197" w14:textId="77777777" w:rsidTr="00F2691D">
        <w:trPr>
          <w:trHeight w:val="299"/>
        </w:trPr>
        <w:tc>
          <w:tcPr>
            <w:tcW w:w="7315" w:type="dxa"/>
            <w:tcBorders>
              <w:top w:val="nil"/>
              <w:left w:val="nil"/>
              <w:bottom w:val="nil"/>
              <w:right w:val="nil"/>
            </w:tcBorders>
            <w:shd w:val="clear" w:color="auto" w:fill="auto"/>
            <w:vAlign w:val="center"/>
            <w:hideMark/>
          </w:tcPr>
          <w:p w14:paraId="7304C0FE" w14:textId="77777777" w:rsidR="00192852" w:rsidRDefault="00192852" w:rsidP="000A0418">
            <w:pPr>
              <w:rPr>
                <w:color w:val="000000"/>
                <w:sz w:val="22"/>
                <w:szCs w:val="22"/>
              </w:rPr>
            </w:pPr>
            <w:r>
              <w:rPr>
                <w:color w:val="000000"/>
                <w:sz w:val="22"/>
                <w:szCs w:val="22"/>
              </w:rPr>
              <w:t>Capital social</w:t>
            </w:r>
          </w:p>
        </w:tc>
        <w:tc>
          <w:tcPr>
            <w:tcW w:w="1400" w:type="dxa"/>
            <w:tcBorders>
              <w:top w:val="nil"/>
              <w:left w:val="nil"/>
              <w:bottom w:val="nil"/>
              <w:right w:val="nil"/>
            </w:tcBorders>
            <w:shd w:val="clear" w:color="auto" w:fill="auto"/>
            <w:noWrap/>
            <w:vAlign w:val="center"/>
            <w:hideMark/>
          </w:tcPr>
          <w:p w14:paraId="186CD559" w14:textId="77777777" w:rsidR="00192852" w:rsidRDefault="00192852" w:rsidP="000A0418">
            <w:pPr>
              <w:jc w:val="right"/>
              <w:rPr>
                <w:color w:val="000000"/>
                <w:sz w:val="22"/>
                <w:szCs w:val="22"/>
              </w:rPr>
            </w:pPr>
            <w:r>
              <w:rPr>
                <w:color w:val="000000"/>
                <w:sz w:val="22"/>
                <w:szCs w:val="22"/>
              </w:rPr>
              <w:t>40.000</w:t>
            </w:r>
          </w:p>
        </w:tc>
      </w:tr>
      <w:tr w:rsidR="00192852" w14:paraId="44224749" w14:textId="77777777" w:rsidTr="00F2691D">
        <w:trPr>
          <w:trHeight w:val="299"/>
        </w:trPr>
        <w:tc>
          <w:tcPr>
            <w:tcW w:w="7315" w:type="dxa"/>
            <w:tcBorders>
              <w:top w:val="nil"/>
              <w:left w:val="nil"/>
              <w:bottom w:val="nil"/>
              <w:right w:val="nil"/>
            </w:tcBorders>
            <w:shd w:val="clear" w:color="auto" w:fill="auto"/>
            <w:vAlign w:val="center"/>
            <w:hideMark/>
          </w:tcPr>
          <w:p w14:paraId="4615318E" w14:textId="77777777" w:rsidR="00192852" w:rsidRDefault="00192852" w:rsidP="000A0418">
            <w:pPr>
              <w:rPr>
                <w:color w:val="000000"/>
                <w:sz w:val="22"/>
                <w:szCs w:val="22"/>
              </w:rPr>
            </w:pPr>
            <w:r>
              <w:rPr>
                <w:color w:val="000000"/>
                <w:sz w:val="22"/>
                <w:szCs w:val="22"/>
              </w:rPr>
              <w:t>Ajuste de capital y revalúo legal</w:t>
            </w:r>
          </w:p>
        </w:tc>
        <w:tc>
          <w:tcPr>
            <w:tcW w:w="1400" w:type="dxa"/>
            <w:tcBorders>
              <w:top w:val="nil"/>
              <w:left w:val="nil"/>
              <w:bottom w:val="nil"/>
              <w:right w:val="nil"/>
            </w:tcBorders>
            <w:shd w:val="clear" w:color="auto" w:fill="auto"/>
            <w:noWrap/>
            <w:vAlign w:val="center"/>
            <w:hideMark/>
          </w:tcPr>
          <w:p w14:paraId="361AFB2A" w14:textId="77777777" w:rsidR="00192852" w:rsidRDefault="00192852" w:rsidP="000A0418">
            <w:pPr>
              <w:jc w:val="right"/>
              <w:rPr>
                <w:color w:val="000000"/>
                <w:sz w:val="22"/>
                <w:szCs w:val="22"/>
              </w:rPr>
            </w:pPr>
            <w:r>
              <w:rPr>
                <w:color w:val="000000"/>
                <w:sz w:val="22"/>
                <w:szCs w:val="22"/>
              </w:rPr>
              <w:t>234.362</w:t>
            </w:r>
          </w:p>
        </w:tc>
      </w:tr>
      <w:tr w:rsidR="00192852" w14:paraId="452DD591" w14:textId="77777777" w:rsidTr="00F2691D">
        <w:trPr>
          <w:trHeight w:val="299"/>
        </w:trPr>
        <w:tc>
          <w:tcPr>
            <w:tcW w:w="7315" w:type="dxa"/>
            <w:tcBorders>
              <w:top w:val="nil"/>
              <w:left w:val="nil"/>
              <w:bottom w:val="nil"/>
              <w:right w:val="nil"/>
            </w:tcBorders>
            <w:shd w:val="clear" w:color="auto" w:fill="auto"/>
            <w:vAlign w:val="center"/>
            <w:hideMark/>
          </w:tcPr>
          <w:p w14:paraId="72158ADE" w14:textId="77777777" w:rsidR="00192852" w:rsidRDefault="00192852" w:rsidP="000A0418">
            <w:pPr>
              <w:rPr>
                <w:color w:val="000000"/>
                <w:sz w:val="22"/>
                <w:szCs w:val="22"/>
              </w:rPr>
            </w:pPr>
            <w:r>
              <w:rPr>
                <w:color w:val="000000"/>
                <w:sz w:val="22"/>
                <w:szCs w:val="22"/>
              </w:rPr>
              <w:t>Total reservas</w:t>
            </w:r>
          </w:p>
        </w:tc>
        <w:tc>
          <w:tcPr>
            <w:tcW w:w="1400" w:type="dxa"/>
            <w:tcBorders>
              <w:top w:val="nil"/>
              <w:left w:val="nil"/>
              <w:bottom w:val="nil"/>
              <w:right w:val="nil"/>
            </w:tcBorders>
            <w:shd w:val="clear" w:color="auto" w:fill="auto"/>
            <w:noWrap/>
            <w:vAlign w:val="center"/>
            <w:hideMark/>
          </w:tcPr>
          <w:p w14:paraId="3F7D4E33" w14:textId="77777777" w:rsidR="00192852" w:rsidRDefault="00192852" w:rsidP="000A0418">
            <w:pPr>
              <w:jc w:val="right"/>
              <w:rPr>
                <w:color w:val="000000"/>
                <w:sz w:val="22"/>
                <w:szCs w:val="22"/>
              </w:rPr>
            </w:pPr>
            <w:r>
              <w:rPr>
                <w:color w:val="000000"/>
                <w:sz w:val="22"/>
                <w:szCs w:val="22"/>
              </w:rPr>
              <w:t>874.733</w:t>
            </w:r>
          </w:p>
        </w:tc>
      </w:tr>
      <w:tr w:rsidR="00192852" w14:paraId="243AD4AF" w14:textId="77777777" w:rsidTr="00F2691D">
        <w:trPr>
          <w:trHeight w:val="299"/>
        </w:trPr>
        <w:tc>
          <w:tcPr>
            <w:tcW w:w="7315" w:type="dxa"/>
            <w:tcBorders>
              <w:top w:val="nil"/>
              <w:left w:val="nil"/>
              <w:bottom w:val="nil"/>
              <w:right w:val="nil"/>
            </w:tcBorders>
            <w:shd w:val="clear" w:color="auto" w:fill="auto"/>
            <w:vAlign w:val="center"/>
            <w:hideMark/>
          </w:tcPr>
          <w:p w14:paraId="0A66E9C1" w14:textId="77777777" w:rsidR="00192852" w:rsidRDefault="00192852" w:rsidP="000A0418">
            <w:pPr>
              <w:rPr>
                <w:color w:val="000000"/>
                <w:sz w:val="22"/>
                <w:szCs w:val="22"/>
              </w:rPr>
            </w:pPr>
            <w:r>
              <w:rPr>
                <w:color w:val="000000"/>
                <w:sz w:val="22"/>
                <w:szCs w:val="22"/>
              </w:rPr>
              <w:t>Resultados acumulados</w:t>
            </w:r>
          </w:p>
        </w:tc>
        <w:tc>
          <w:tcPr>
            <w:tcW w:w="1400" w:type="dxa"/>
            <w:tcBorders>
              <w:top w:val="nil"/>
              <w:left w:val="nil"/>
              <w:bottom w:val="nil"/>
              <w:right w:val="nil"/>
            </w:tcBorders>
            <w:shd w:val="clear" w:color="auto" w:fill="auto"/>
            <w:noWrap/>
            <w:vAlign w:val="center"/>
            <w:hideMark/>
          </w:tcPr>
          <w:p w14:paraId="29224EEE" w14:textId="77777777" w:rsidR="00192852" w:rsidRDefault="00192852" w:rsidP="000A0418">
            <w:pPr>
              <w:jc w:val="right"/>
              <w:rPr>
                <w:color w:val="000000"/>
                <w:sz w:val="22"/>
                <w:szCs w:val="22"/>
              </w:rPr>
            </w:pPr>
            <w:r>
              <w:rPr>
                <w:color w:val="000000"/>
                <w:sz w:val="22"/>
                <w:szCs w:val="22"/>
              </w:rPr>
              <w:t>852.642</w:t>
            </w:r>
          </w:p>
        </w:tc>
      </w:tr>
      <w:tr w:rsidR="00192852" w14:paraId="17FB280D" w14:textId="77777777" w:rsidTr="00F2691D">
        <w:trPr>
          <w:trHeight w:val="568"/>
        </w:trPr>
        <w:tc>
          <w:tcPr>
            <w:tcW w:w="7315" w:type="dxa"/>
            <w:tcBorders>
              <w:top w:val="nil"/>
              <w:left w:val="nil"/>
              <w:bottom w:val="nil"/>
              <w:right w:val="nil"/>
            </w:tcBorders>
            <w:shd w:val="clear" w:color="auto" w:fill="auto"/>
            <w:vAlign w:val="center"/>
            <w:hideMark/>
          </w:tcPr>
          <w:p w14:paraId="7FFDF757" w14:textId="77777777" w:rsidR="00192852" w:rsidRDefault="00192852" w:rsidP="000A0418">
            <w:pPr>
              <w:rPr>
                <w:b/>
                <w:bCs/>
                <w:color w:val="000000"/>
                <w:sz w:val="22"/>
                <w:szCs w:val="22"/>
              </w:rPr>
            </w:pPr>
            <w:r>
              <w:rPr>
                <w:b/>
                <w:bCs/>
                <w:color w:val="000000"/>
                <w:sz w:val="22"/>
                <w:szCs w:val="22"/>
              </w:rPr>
              <w:t>Patrimonio atribuible a participación controladora</w:t>
            </w:r>
          </w:p>
        </w:tc>
        <w:tc>
          <w:tcPr>
            <w:tcW w:w="1400" w:type="dxa"/>
            <w:tcBorders>
              <w:top w:val="single" w:sz="4" w:space="0" w:color="auto"/>
              <w:left w:val="nil"/>
              <w:bottom w:val="single" w:sz="4" w:space="0" w:color="auto"/>
              <w:right w:val="nil"/>
            </w:tcBorders>
            <w:shd w:val="clear" w:color="auto" w:fill="auto"/>
            <w:noWrap/>
            <w:vAlign w:val="center"/>
            <w:hideMark/>
          </w:tcPr>
          <w:p w14:paraId="4D06C688" w14:textId="77777777" w:rsidR="00192852" w:rsidRDefault="00192852" w:rsidP="000A0418">
            <w:pPr>
              <w:jc w:val="right"/>
              <w:rPr>
                <w:b/>
                <w:bCs/>
                <w:color w:val="000000"/>
                <w:sz w:val="22"/>
                <w:szCs w:val="22"/>
              </w:rPr>
            </w:pPr>
            <w:r>
              <w:rPr>
                <w:b/>
                <w:bCs/>
                <w:color w:val="000000"/>
                <w:sz w:val="22"/>
                <w:szCs w:val="22"/>
              </w:rPr>
              <w:t>2.001.738</w:t>
            </w:r>
          </w:p>
        </w:tc>
      </w:tr>
      <w:tr w:rsidR="00192852" w14:paraId="44763E96" w14:textId="77777777" w:rsidTr="00F2691D">
        <w:trPr>
          <w:trHeight w:val="568"/>
        </w:trPr>
        <w:tc>
          <w:tcPr>
            <w:tcW w:w="7315" w:type="dxa"/>
            <w:tcBorders>
              <w:top w:val="nil"/>
              <w:left w:val="nil"/>
              <w:bottom w:val="nil"/>
              <w:right w:val="nil"/>
            </w:tcBorders>
            <w:shd w:val="clear" w:color="auto" w:fill="auto"/>
            <w:vAlign w:val="center"/>
            <w:hideMark/>
          </w:tcPr>
          <w:p w14:paraId="193C29A1" w14:textId="77777777" w:rsidR="00192852" w:rsidRDefault="00192852" w:rsidP="000A0418">
            <w:pPr>
              <w:rPr>
                <w:b/>
                <w:bCs/>
                <w:color w:val="000000"/>
                <w:sz w:val="22"/>
                <w:szCs w:val="22"/>
              </w:rPr>
            </w:pPr>
            <w:r>
              <w:rPr>
                <w:b/>
                <w:bCs/>
                <w:color w:val="000000"/>
                <w:sz w:val="22"/>
                <w:szCs w:val="22"/>
              </w:rPr>
              <w:lastRenderedPageBreak/>
              <w:t>Patrimonio atribuible a participación no controladora</w:t>
            </w:r>
          </w:p>
        </w:tc>
        <w:tc>
          <w:tcPr>
            <w:tcW w:w="1400" w:type="dxa"/>
            <w:tcBorders>
              <w:top w:val="nil"/>
              <w:left w:val="nil"/>
              <w:bottom w:val="single" w:sz="4" w:space="0" w:color="auto"/>
              <w:right w:val="nil"/>
            </w:tcBorders>
            <w:shd w:val="clear" w:color="auto" w:fill="auto"/>
            <w:noWrap/>
            <w:vAlign w:val="center"/>
            <w:hideMark/>
          </w:tcPr>
          <w:p w14:paraId="3415D417" w14:textId="77777777" w:rsidR="00192852" w:rsidRDefault="00192852" w:rsidP="000A0418">
            <w:pPr>
              <w:jc w:val="right"/>
              <w:rPr>
                <w:b/>
                <w:bCs/>
                <w:color w:val="000000"/>
                <w:sz w:val="22"/>
                <w:szCs w:val="22"/>
              </w:rPr>
            </w:pPr>
            <w:r>
              <w:rPr>
                <w:b/>
                <w:bCs/>
                <w:color w:val="000000"/>
                <w:sz w:val="22"/>
                <w:szCs w:val="22"/>
              </w:rPr>
              <w:t>(23)</w:t>
            </w:r>
          </w:p>
        </w:tc>
      </w:tr>
      <w:tr w:rsidR="00192852" w14:paraId="054C3CEE" w14:textId="77777777" w:rsidTr="00F2691D">
        <w:trPr>
          <w:trHeight w:val="314"/>
        </w:trPr>
        <w:tc>
          <w:tcPr>
            <w:tcW w:w="7315" w:type="dxa"/>
            <w:tcBorders>
              <w:top w:val="nil"/>
              <w:left w:val="nil"/>
              <w:bottom w:val="nil"/>
              <w:right w:val="nil"/>
            </w:tcBorders>
            <w:shd w:val="clear" w:color="auto" w:fill="auto"/>
            <w:vAlign w:val="center"/>
            <w:hideMark/>
          </w:tcPr>
          <w:p w14:paraId="074BDE3B" w14:textId="77777777" w:rsidR="00192852" w:rsidRDefault="00192852" w:rsidP="000A0418">
            <w:pPr>
              <w:ind w:firstLineChars="200" w:firstLine="442"/>
              <w:rPr>
                <w:b/>
                <w:bCs/>
                <w:color w:val="000000"/>
                <w:sz w:val="22"/>
                <w:szCs w:val="22"/>
              </w:rPr>
            </w:pPr>
            <w:r>
              <w:rPr>
                <w:b/>
                <w:bCs/>
                <w:color w:val="000000"/>
                <w:sz w:val="22"/>
                <w:szCs w:val="22"/>
              </w:rPr>
              <w:t>Total capitalización</w:t>
            </w:r>
          </w:p>
        </w:tc>
        <w:tc>
          <w:tcPr>
            <w:tcW w:w="1400" w:type="dxa"/>
            <w:tcBorders>
              <w:top w:val="nil"/>
              <w:left w:val="nil"/>
              <w:bottom w:val="double" w:sz="6" w:space="0" w:color="auto"/>
              <w:right w:val="nil"/>
            </w:tcBorders>
            <w:shd w:val="clear" w:color="auto" w:fill="auto"/>
            <w:noWrap/>
            <w:vAlign w:val="center"/>
            <w:hideMark/>
          </w:tcPr>
          <w:p w14:paraId="049939D4" w14:textId="77777777" w:rsidR="00192852" w:rsidRDefault="00192852" w:rsidP="000A0418">
            <w:pPr>
              <w:jc w:val="right"/>
              <w:rPr>
                <w:b/>
                <w:bCs/>
                <w:color w:val="000000"/>
                <w:sz w:val="22"/>
                <w:szCs w:val="22"/>
              </w:rPr>
            </w:pPr>
            <w:r>
              <w:rPr>
                <w:b/>
                <w:bCs/>
                <w:color w:val="000000"/>
                <w:sz w:val="22"/>
                <w:szCs w:val="22"/>
              </w:rPr>
              <w:t>6.976.129</w:t>
            </w:r>
          </w:p>
        </w:tc>
      </w:tr>
    </w:tbl>
    <w:p w14:paraId="6D9A00D6" w14:textId="77777777" w:rsidR="00192852" w:rsidRDefault="00192852" w:rsidP="005423C9">
      <w:pPr>
        <w:jc w:val="both"/>
        <w:rPr>
          <w:rFonts w:eastAsia="Lucida Sans Unicode"/>
          <w:b/>
          <w:bCs/>
          <w:kern w:val="1"/>
          <w:sz w:val="22"/>
          <w:szCs w:val="22"/>
          <w:lang w:eastAsia="ja-JP"/>
        </w:rPr>
      </w:pPr>
    </w:p>
    <w:p w14:paraId="06C1A0E3" w14:textId="79451E8C" w:rsidR="00E90CFC" w:rsidRPr="00EA6053" w:rsidRDefault="00E90CFC" w:rsidP="00A96841">
      <w:pPr>
        <w:autoSpaceDE w:val="0"/>
        <w:autoSpaceDN w:val="0"/>
        <w:adjustRightInd w:val="0"/>
        <w:spacing w:line="240" w:lineRule="atLeast"/>
        <w:jc w:val="both"/>
        <w:rPr>
          <w:rFonts w:eastAsia="MS Mincho"/>
          <w:b/>
          <w:sz w:val="22"/>
          <w:u w:val="single"/>
        </w:rPr>
      </w:pPr>
    </w:p>
    <w:p w14:paraId="4D45D46B" w14:textId="0B4B349E" w:rsidR="003C2769" w:rsidRPr="00EA6053" w:rsidRDefault="003C2769" w:rsidP="003C2769">
      <w:pPr>
        <w:pStyle w:val="Textoindependiente3"/>
        <w:widowControl w:val="0"/>
        <w:suppressLineNumbers/>
        <w:suppressAutoHyphens/>
        <w:jc w:val="both"/>
        <w:rPr>
          <w:sz w:val="22"/>
          <w:szCs w:val="20"/>
          <w:lang w:val="es-AR"/>
        </w:rPr>
      </w:pPr>
      <w:r w:rsidRPr="00EA6053">
        <w:rPr>
          <w:sz w:val="22"/>
          <w:szCs w:val="20"/>
          <w:lang w:val="es-AR"/>
        </w:rPr>
        <w:t xml:space="preserve">d) Obligaciones negociables en circulación </w:t>
      </w:r>
    </w:p>
    <w:p w14:paraId="0AF2F04E" w14:textId="77777777" w:rsidR="003C2769" w:rsidRPr="00EA6053" w:rsidRDefault="003C2769" w:rsidP="003C2769">
      <w:pPr>
        <w:pStyle w:val="Textoindependiente3"/>
        <w:widowControl w:val="0"/>
        <w:suppressLineNumbers/>
        <w:suppressAutoHyphens/>
        <w:jc w:val="both"/>
        <w:rPr>
          <w:sz w:val="22"/>
          <w:szCs w:val="20"/>
          <w:lang w:val="es-AR"/>
        </w:rPr>
      </w:pPr>
    </w:p>
    <w:p w14:paraId="24F9953D" w14:textId="77777777" w:rsidR="00A96841" w:rsidRPr="00EA6053" w:rsidRDefault="00A96841" w:rsidP="00A96841">
      <w:pPr>
        <w:spacing w:after="120"/>
        <w:jc w:val="both"/>
        <w:rPr>
          <w:rFonts w:eastAsia="MS Mincho"/>
          <w:b/>
          <w:bCs/>
          <w:sz w:val="22"/>
          <w:szCs w:val="22"/>
          <w:u w:val="single"/>
          <w:lang w:eastAsia="ja-JP"/>
        </w:rPr>
      </w:pPr>
      <w:r w:rsidRPr="00EA6053">
        <w:rPr>
          <w:rFonts w:eastAsia="MS Mincho"/>
          <w:b/>
          <w:bCs/>
          <w:sz w:val="22"/>
          <w:szCs w:val="22"/>
          <w:lang w:eastAsia="ja-JP"/>
        </w:rPr>
        <w:t xml:space="preserve">Obligaciones Negociables Privadas USD 16.000.000. </w:t>
      </w:r>
      <w:r w:rsidRPr="00EA6053">
        <w:rPr>
          <w:rFonts w:eastAsia="MS Mincho"/>
          <w:sz w:val="22"/>
          <w:szCs w:val="22"/>
          <w:lang w:eastAsia="ja-JP"/>
        </w:rPr>
        <w:t>El 4 de abril de 2019; Rizobacter emitió la clase I de obligaciones negociables garantizadas, no convertibles en acciones, en el marco de la Ley N° 23.576 de Obligaciones Negociables y complementarias, por un valor nominal total de USD 16.000.000 (Dólares Estadounidenses dieciséis millones), con vencimiento el 5 de abril de 2021 (las” Obligaciones Negociables Privadas”), las cuales fueron colocadas en forma privada el día 5 de abril de 2019, conforme se detalla a continuación:</w:t>
      </w:r>
    </w:p>
    <w:p w14:paraId="15DF01C8" w14:textId="77777777" w:rsidR="00A96841" w:rsidRPr="00EA6053" w:rsidRDefault="00A96841" w:rsidP="005423C9">
      <w:pPr>
        <w:numPr>
          <w:ilvl w:val="0"/>
          <w:numId w:val="25"/>
        </w:numPr>
        <w:spacing w:after="120"/>
        <w:ind w:left="0" w:firstLine="0"/>
        <w:jc w:val="both"/>
        <w:rPr>
          <w:rFonts w:eastAsia="MS Mincho"/>
          <w:sz w:val="22"/>
          <w:szCs w:val="22"/>
          <w:lang w:eastAsia="ja-JP"/>
        </w:rPr>
      </w:pPr>
      <w:r w:rsidRPr="00EA6053">
        <w:rPr>
          <w:rFonts w:eastAsia="MS Mincho"/>
          <w:sz w:val="22"/>
          <w:szCs w:val="22"/>
          <w:lang w:eastAsia="ja-JP"/>
        </w:rPr>
        <w:t xml:space="preserve"> Serie I, suscripta por Inversiones Odisea, una sociedad debidamente constituida de acuerdo con las leyes de la República de Chile, por un valor nominal de USD 13.000.000 (Dólares estadounidenses trece millones), y </w:t>
      </w:r>
    </w:p>
    <w:p w14:paraId="2754071C" w14:textId="7E734661" w:rsidR="00A96841" w:rsidRDefault="00A96841" w:rsidP="005423C9">
      <w:pPr>
        <w:numPr>
          <w:ilvl w:val="0"/>
          <w:numId w:val="25"/>
        </w:numPr>
        <w:spacing w:after="120"/>
        <w:ind w:left="0" w:firstLine="0"/>
        <w:jc w:val="both"/>
        <w:rPr>
          <w:rFonts w:eastAsia="MS Mincho"/>
          <w:sz w:val="22"/>
          <w:szCs w:val="22"/>
          <w:lang w:eastAsia="ja-JP"/>
        </w:rPr>
      </w:pPr>
      <w:r w:rsidRPr="00EA6053">
        <w:rPr>
          <w:rFonts w:eastAsia="MS Mincho"/>
          <w:sz w:val="22"/>
          <w:szCs w:val="22"/>
          <w:lang w:eastAsia="ja-JP"/>
        </w:rPr>
        <w:t xml:space="preserve"> Serie II, suscripta por Compass Latam High Yield Fondo de Inversión, un fondo de inversión publico chileno regulado por ley chilena N° 20.712 y administrado por la sociedad Compass Group Chile S.A. por un valor nominal de USD 3.000.000 (Dólares Estadounidenses tres millones).</w:t>
      </w:r>
    </w:p>
    <w:p w14:paraId="678D602B" w14:textId="01E333D6" w:rsidR="00623BFB" w:rsidRPr="004138F1" w:rsidRDefault="00623BFB" w:rsidP="00623BFB">
      <w:pPr>
        <w:shd w:val="clear" w:color="auto" w:fill="FFFFFF"/>
        <w:spacing w:line="276" w:lineRule="auto"/>
        <w:jc w:val="both"/>
      </w:pPr>
      <w:r>
        <w:rPr>
          <w:rFonts w:eastAsia="MS Mincho"/>
          <w:sz w:val="22"/>
          <w:szCs w:val="22"/>
          <w:lang w:eastAsia="ja-JP"/>
        </w:rPr>
        <w:t>Ambas series pagan servicios de capital e intereses en forma semestral.</w:t>
      </w:r>
    </w:p>
    <w:p w14:paraId="275FE562" w14:textId="08C10D73" w:rsidR="00623BFB" w:rsidRPr="00EA6053" w:rsidRDefault="00623BFB" w:rsidP="00F2691D">
      <w:pPr>
        <w:spacing w:after="120"/>
        <w:jc w:val="both"/>
        <w:rPr>
          <w:rFonts w:eastAsia="MS Mincho"/>
          <w:sz w:val="22"/>
          <w:szCs w:val="22"/>
          <w:lang w:eastAsia="ja-JP"/>
        </w:rPr>
      </w:pPr>
    </w:p>
    <w:p w14:paraId="5DA19284" w14:textId="77777777" w:rsidR="00A96841" w:rsidRPr="00EA6053" w:rsidRDefault="00A96841" w:rsidP="00A96841">
      <w:pPr>
        <w:spacing w:after="120"/>
        <w:jc w:val="both"/>
        <w:rPr>
          <w:rFonts w:eastAsia="MS Mincho"/>
          <w:sz w:val="22"/>
          <w:szCs w:val="22"/>
          <w:lang w:eastAsia="ja-JP"/>
        </w:rPr>
      </w:pPr>
      <w:r w:rsidRPr="00EA6053">
        <w:rPr>
          <w:rFonts w:eastAsia="MS Mincho"/>
          <w:sz w:val="22"/>
          <w:szCs w:val="22"/>
          <w:lang w:eastAsia="ja-JP"/>
        </w:rPr>
        <w:t xml:space="preserve">Las Obligaciones Negociables fueron garantizadas mediante hipoteca de activos inmuebles de propiedad de Rizobacter y prenda sobre las acciones que representan el 10% de la tenencia de Rasa Holding LLC en el capital social de la Sociedad. </w:t>
      </w:r>
    </w:p>
    <w:p w14:paraId="1A7EA786" w14:textId="77777777" w:rsidR="003C2769" w:rsidRPr="00EA6053" w:rsidRDefault="003C2769" w:rsidP="00B92136">
      <w:pPr>
        <w:rPr>
          <w:sz w:val="22"/>
          <w:szCs w:val="22"/>
          <w:u w:val="single"/>
        </w:rPr>
      </w:pPr>
    </w:p>
    <w:p w14:paraId="07ED83CB" w14:textId="77777777" w:rsidR="003C2769" w:rsidRPr="00F2691D" w:rsidRDefault="003C2769" w:rsidP="00B92136">
      <w:pPr>
        <w:rPr>
          <w:b/>
          <w:color w:val="000000"/>
          <w:sz w:val="22"/>
          <w:szCs w:val="22"/>
        </w:rPr>
      </w:pPr>
      <w:bookmarkStart w:id="12" w:name="_Toc26888616"/>
      <w:r w:rsidRPr="00F2691D">
        <w:rPr>
          <w:b/>
          <w:color w:val="000000"/>
          <w:sz w:val="22"/>
          <w:szCs w:val="22"/>
        </w:rPr>
        <w:t>e) Reseña Informativa</w:t>
      </w:r>
      <w:bookmarkEnd w:id="12"/>
    </w:p>
    <w:p w14:paraId="3DE5BA7E" w14:textId="12CF10A5" w:rsidR="00A96841" w:rsidRDefault="00A96841" w:rsidP="00B92136">
      <w:pPr>
        <w:rPr>
          <w:b/>
          <w:color w:val="000000"/>
          <w:sz w:val="22"/>
          <w:szCs w:val="22"/>
        </w:rPr>
      </w:pPr>
    </w:p>
    <w:p w14:paraId="01243C7E" w14:textId="77777777" w:rsidR="00553120" w:rsidRPr="00D04531" w:rsidRDefault="00553120" w:rsidP="00B92136">
      <w:pPr>
        <w:rPr>
          <w:color w:val="000000"/>
          <w:sz w:val="22"/>
          <w:szCs w:val="22"/>
          <w:lang w:eastAsia="es-AR"/>
        </w:rPr>
      </w:pPr>
      <w:r w:rsidRPr="00D04531">
        <w:rPr>
          <w:color w:val="000000"/>
          <w:sz w:val="22"/>
          <w:szCs w:val="22"/>
          <w:lang w:eastAsia="es-AR"/>
        </w:rPr>
        <w:t xml:space="preserve">Al finalizar el segundo trimestre del ejercicio económico N.º 37, considerando el periodo de seis meses comprendido entre el 1 de julio de 2019 y el 31 de diciembre de 2019, el Grupo Rizobacter obtuvo un total de </w:t>
      </w:r>
      <w:r>
        <w:rPr>
          <w:color w:val="000000"/>
          <w:sz w:val="22"/>
          <w:szCs w:val="22"/>
          <w:lang w:eastAsia="es-AR"/>
        </w:rPr>
        <w:t>ingresos ordinarios</w:t>
      </w:r>
      <w:r w:rsidRPr="00D04531">
        <w:rPr>
          <w:color w:val="000000"/>
          <w:sz w:val="22"/>
          <w:szCs w:val="22"/>
          <w:lang w:eastAsia="es-AR"/>
        </w:rPr>
        <w:t xml:space="preserve"> de $</w:t>
      </w:r>
      <w:r>
        <w:rPr>
          <w:color w:val="000000"/>
          <w:sz w:val="22"/>
          <w:szCs w:val="22"/>
        </w:rPr>
        <w:t xml:space="preserve">5.666 </w:t>
      </w:r>
      <w:r w:rsidRPr="00D04531">
        <w:rPr>
          <w:color w:val="000000"/>
          <w:sz w:val="22"/>
          <w:szCs w:val="22"/>
          <w:lang w:eastAsia="es-AR"/>
        </w:rPr>
        <w:t xml:space="preserve">millones de pesos, un </w:t>
      </w:r>
      <w:r>
        <w:rPr>
          <w:color w:val="000000"/>
          <w:sz w:val="22"/>
          <w:szCs w:val="22"/>
          <w:lang w:eastAsia="es-AR"/>
        </w:rPr>
        <w:t>9</w:t>
      </w:r>
      <w:r w:rsidRPr="00D04531">
        <w:rPr>
          <w:color w:val="000000"/>
          <w:sz w:val="22"/>
          <w:szCs w:val="22"/>
          <w:lang w:eastAsia="es-AR"/>
        </w:rPr>
        <w:t>% más que el año anterior en el mismo período.</w:t>
      </w:r>
    </w:p>
    <w:p w14:paraId="66316EBC" w14:textId="77777777" w:rsidR="00553120" w:rsidRPr="00D04531" w:rsidRDefault="00553120" w:rsidP="00B92136">
      <w:pPr>
        <w:rPr>
          <w:color w:val="000000"/>
          <w:sz w:val="22"/>
          <w:szCs w:val="22"/>
          <w:lang w:eastAsia="es-AR"/>
        </w:rPr>
      </w:pPr>
      <w:r w:rsidRPr="00D04531">
        <w:rPr>
          <w:color w:val="000000"/>
          <w:sz w:val="22"/>
          <w:szCs w:val="22"/>
          <w:lang w:eastAsia="es-AR"/>
        </w:rPr>
        <w:t>El margen bruto fue de $2.653 millones de pesos, lo que representa un margen del 47% sobre los ingresos por ventas.</w:t>
      </w:r>
    </w:p>
    <w:p w14:paraId="11720EA6" w14:textId="77777777" w:rsidR="00553120" w:rsidRPr="00D04531" w:rsidRDefault="00553120" w:rsidP="00B92136">
      <w:pPr>
        <w:rPr>
          <w:color w:val="000000"/>
          <w:sz w:val="22"/>
          <w:szCs w:val="22"/>
          <w:lang w:eastAsia="es-AR"/>
        </w:rPr>
      </w:pPr>
      <w:r w:rsidRPr="00D04531">
        <w:rPr>
          <w:color w:val="000000"/>
          <w:sz w:val="22"/>
          <w:szCs w:val="22"/>
          <w:lang w:eastAsia="es-AR"/>
        </w:rPr>
        <w:t>Los gastos administrativos, comerciales y de investigación en el ejercicio fueron de $1.298 millones de pesos, representando un 23% de los ingresos por ventas, comparados con los $933 millones de pesos del período anterior. El aumento de los gastos durante el corriente período se debe fundamentalmente al incremento de los gastos de transporte, costos laborales y de servicios, y de los cargos por impuestos, tasas y contribuciones.</w:t>
      </w:r>
    </w:p>
    <w:p w14:paraId="5FA8A7E8" w14:textId="77777777" w:rsidR="00553120" w:rsidRPr="00D04531" w:rsidRDefault="00553120" w:rsidP="00B92136">
      <w:pPr>
        <w:rPr>
          <w:color w:val="000000"/>
          <w:sz w:val="22"/>
          <w:szCs w:val="22"/>
          <w:lang w:eastAsia="es-AR"/>
        </w:rPr>
      </w:pPr>
      <w:r w:rsidRPr="00D04531">
        <w:rPr>
          <w:color w:val="000000"/>
          <w:sz w:val="22"/>
          <w:szCs w:val="22"/>
          <w:lang w:eastAsia="es-AR"/>
        </w:rPr>
        <w:t>El resultado operativo consolidado del período fue de $1.346 millones de pesos versus los $1.541 millones el período anterior, disminución generada por el incremento de gastos del período, neto del aumento en el margen bruto.</w:t>
      </w:r>
    </w:p>
    <w:p w14:paraId="643E528F" w14:textId="77777777" w:rsidR="00553120" w:rsidRPr="00D04531" w:rsidRDefault="00553120" w:rsidP="00B92136">
      <w:pPr>
        <w:rPr>
          <w:color w:val="000000"/>
          <w:sz w:val="22"/>
          <w:szCs w:val="22"/>
          <w:lang w:eastAsia="es-AR"/>
        </w:rPr>
      </w:pPr>
      <w:r w:rsidRPr="00D04531">
        <w:rPr>
          <w:color w:val="000000"/>
          <w:sz w:val="22"/>
          <w:szCs w:val="22"/>
          <w:lang w:eastAsia="es-AR"/>
        </w:rPr>
        <w:t>Los resultados financieros, alcanzaron los $1.158 millones de pérdida, un 49% más que en mismo período del año anterior, formado principalmente por $676 millones de pérdida de intereses financieros, $858 millones de pérdida de diferencias de cambio y $337 millones de ganancia por el resultado por exposición a la inflación.</w:t>
      </w:r>
    </w:p>
    <w:p w14:paraId="45F22BA3" w14:textId="77777777" w:rsidR="00553120" w:rsidRPr="00D04531" w:rsidRDefault="00553120" w:rsidP="00B92136">
      <w:pPr>
        <w:rPr>
          <w:color w:val="000000"/>
          <w:sz w:val="22"/>
          <w:szCs w:val="22"/>
          <w:lang w:eastAsia="es-AR"/>
        </w:rPr>
      </w:pPr>
      <w:r w:rsidRPr="00D04531">
        <w:rPr>
          <w:color w:val="000000"/>
          <w:sz w:val="22"/>
          <w:szCs w:val="22"/>
          <w:lang w:eastAsia="es-AR"/>
        </w:rPr>
        <w:t>El resultado antes de impuestos consolidado arrojó una ganancia de $256 millones de pesos, lo que representa una disminución en la ganancia respecto al mismo período del año anterior del 69%, que fue de $813 millones de pesos.</w:t>
      </w:r>
    </w:p>
    <w:p w14:paraId="7680F76F" w14:textId="77777777" w:rsidR="00553120" w:rsidRPr="00D04531" w:rsidRDefault="00553120" w:rsidP="00B92136">
      <w:pPr>
        <w:rPr>
          <w:color w:val="000000"/>
          <w:sz w:val="22"/>
          <w:szCs w:val="22"/>
          <w:lang w:eastAsia="es-AR"/>
        </w:rPr>
      </w:pPr>
      <w:r>
        <w:rPr>
          <w:color w:val="000000"/>
          <w:sz w:val="22"/>
          <w:szCs w:val="22"/>
          <w:lang w:eastAsia="es-AR"/>
        </w:rPr>
        <w:t>El Grupo</w:t>
      </w:r>
      <w:r w:rsidRPr="00D04531">
        <w:rPr>
          <w:color w:val="000000"/>
          <w:sz w:val="22"/>
          <w:szCs w:val="22"/>
          <w:lang w:eastAsia="es-AR"/>
        </w:rPr>
        <w:t xml:space="preserve"> continúa con su política de mantener niveles adecuados de liquidez para el cumplimiento de sus obligaciones. Al 31 de diciembre de 2019 el nivel de liquidez del Grupo asciende a $411 millones registrando una disminución de $385 con respecto a la posición al inicio del ejercicio.</w:t>
      </w:r>
    </w:p>
    <w:p w14:paraId="4CA15AC1" w14:textId="77777777" w:rsidR="00553120" w:rsidRPr="00D04531" w:rsidRDefault="00553120" w:rsidP="00B92136">
      <w:pPr>
        <w:rPr>
          <w:color w:val="000000"/>
          <w:sz w:val="22"/>
          <w:szCs w:val="22"/>
          <w:lang w:eastAsia="es-AR"/>
        </w:rPr>
      </w:pPr>
      <w:r w:rsidRPr="00D04531">
        <w:rPr>
          <w:color w:val="000000"/>
          <w:sz w:val="22"/>
          <w:szCs w:val="22"/>
          <w:lang w:eastAsia="es-AR"/>
        </w:rPr>
        <w:t>El flujo neto de efectivo generado en las actividades de operación ascendió a $1.182 millones, el flujo neto de efectivo utilizado en las actividades de financiación ascendió a $ 1.01</w:t>
      </w:r>
      <w:r>
        <w:rPr>
          <w:color w:val="000000"/>
          <w:sz w:val="22"/>
          <w:szCs w:val="22"/>
          <w:lang w:eastAsia="es-AR"/>
        </w:rPr>
        <w:t>2</w:t>
      </w:r>
      <w:r w:rsidRPr="00D04531">
        <w:rPr>
          <w:color w:val="000000"/>
          <w:sz w:val="22"/>
          <w:szCs w:val="22"/>
          <w:lang w:eastAsia="es-AR"/>
        </w:rPr>
        <w:t xml:space="preserve"> millones y el flujo neto de efectivo utilizado en actividades de inversión ascendió a $7</w:t>
      </w:r>
      <w:r>
        <w:rPr>
          <w:color w:val="000000"/>
          <w:sz w:val="22"/>
          <w:szCs w:val="22"/>
          <w:lang w:eastAsia="es-AR"/>
        </w:rPr>
        <w:t>1</w:t>
      </w:r>
      <w:r w:rsidRPr="00D04531">
        <w:rPr>
          <w:color w:val="000000"/>
          <w:sz w:val="22"/>
          <w:szCs w:val="22"/>
          <w:lang w:eastAsia="es-AR"/>
        </w:rPr>
        <w:t xml:space="preserve"> millones.</w:t>
      </w:r>
    </w:p>
    <w:p w14:paraId="2CBE3913" w14:textId="65237AA6" w:rsidR="00553120" w:rsidRPr="00F2691D" w:rsidRDefault="00553120" w:rsidP="00B92136">
      <w:pPr>
        <w:rPr>
          <w:b/>
          <w:color w:val="000000"/>
          <w:sz w:val="22"/>
          <w:szCs w:val="22"/>
        </w:rPr>
      </w:pPr>
      <w:r w:rsidRPr="00D04531">
        <w:rPr>
          <w:color w:val="000000"/>
          <w:sz w:val="22"/>
          <w:szCs w:val="22"/>
          <w:lang w:eastAsia="es-AR"/>
        </w:rPr>
        <w:lastRenderedPageBreak/>
        <w:t>La deuda financiera al cierre del período asciende a $4.974 millones, estructurada en un 85% a corto plazo y un 15% a largo plazo, comparada con la estructuración al 31 de diciembre de 2018 donde se componía de 79 % a corto plazo y 21% a largo plazo</w:t>
      </w:r>
    </w:p>
    <w:p w14:paraId="39C82FD3" w14:textId="77777777" w:rsidR="000F3486" w:rsidRDefault="000F3486" w:rsidP="005423C9">
      <w:pPr>
        <w:spacing w:before="240"/>
        <w:jc w:val="both"/>
        <w:outlineLvl w:val="0"/>
        <w:rPr>
          <w:b/>
          <w:sz w:val="22"/>
          <w:szCs w:val="22"/>
          <w:u w:val="single"/>
        </w:rPr>
      </w:pPr>
    </w:p>
    <w:p w14:paraId="4FDF80B3" w14:textId="77777777" w:rsidR="000F3486" w:rsidRPr="00CB6DA4" w:rsidRDefault="000F3486" w:rsidP="00F44670">
      <w:pPr>
        <w:pStyle w:val="Ttulo1"/>
        <w:jc w:val="center"/>
        <w:rPr>
          <w:u w:val="single"/>
        </w:rPr>
      </w:pPr>
      <w:bookmarkStart w:id="13" w:name="_Toc26888617"/>
      <w:bookmarkStart w:id="14" w:name="_Toc32224783"/>
      <w:r w:rsidRPr="00CB6DA4">
        <w:rPr>
          <w:u w:val="single"/>
        </w:rPr>
        <w:t>VI</w:t>
      </w:r>
      <w:r w:rsidR="00AC109B" w:rsidRPr="00CB6DA4">
        <w:rPr>
          <w:u w:val="single"/>
          <w:lang w:val="es-AR"/>
        </w:rPr>
        <w:t>I</w:t>
      </w:r>
      <w:r w:rsidRPr="00CB6DA4">
        <w:rPr>
          <w:u w:val="single"/>
        </w:rPr>
        <w:t>.-DESTINO PROYECTADO DE LOS FONDOS</w:t>
      </w:r>
      <w:bookmarkEnd w:id="13"/>
      <w:bookmarkEnd w:id="14"/>
    </w:p>
    <w:p w14:paraId="111F3F93" w14:textId="77777777" w:rsidR="001B3075" w:rsidRDefault="001B3075" w:rsidP="00E031B3">
      <w:pPr>
        <w:pStyle w:val="Default"/>
        <w:rPr>
          <w:sz w:val="22"/>
          <w:szCs w:val="22"/>
        </w:rPr>
      </w:pPr>
    </w:p>
    <w:p w14:paraId="3B912E21" w14:textId="5644312C" w:rsidR="00D21176" w:rsidRDefault="000F3486" w:rsidP="00E031B3">
      <w:pPr>
        <w:pStyle w:val="Default"/>
        <w:rPr>
          <w:sz w:val="22"/>
          <w:szCs w:val="22"/>
        </w:rPr>
      </w:pPr>
      <w:r w:rsidRPr="000177ED">
        <w:rPr>
          <w:sz w:val="22"/>
          <w:szCs w:val="22"/>
        </w:rPr>
        <w:t>Los fondos netos provenientes de la colocación de</w:t>
      </w:r>
      <w:r w:rsidR="00D21176">
        <w:rPr>
          <w:sz w:val="22"/>
          <w:szCs w:val="22"/>
        </w:rPr>
        <w:t xml:space="preserve"> las</w:t>
      </w:r>
      <w:r w:rsidRPr="000177ED">
        <w:rPr>
          <w:sz w:val="22"/>
          <w:szCs w:val="22"/>
        </w:rPr>
        <w:t xml:space="preserve"> Obligaciones Negociables Serie </w:t>
      </w:r>
      <w:r>
        <w:rPr>
          <w:sz w:val="22"/>
          <w:szCs w:val="22"/>
        </w:rPr>
        <w:t>I</w:t>
      </w:r>
      <w:r w:rsidRPr="000177ED">
        <w:rPr>
          <w:sz w:val="22"/>
          <w:szCs w:val="22"/>
        </w:rPr>
        <w:t>I serán utilizados, a fin de maximizar los beneficios provenientes de la emisión, siempre dando cumplimiento a lo previsto en el artículo 36 de la Ley de Obligaciones Negociables, para</w:t>
      </w:r>
      <w:r w:rsidR="00D21176">
        <w:rPr>
          <w:sz w:val="22"/>
          <w:szCs w:val="22"/>
        </w:rPr>
        <w:t>:</w:t>
      </w:r>
      <w:r w:rsidR="00E031B3">
        <w:rPr>
          <w:sz w:val="22"/>
          <w:szCs w:val="22"/>
        </w:rPr>
        <w:t xml:space="preserve"> </w:t>
      </w:r>
    </w:p>
    <w:p w14:paraId="6E115873" w14:textId="77777777" w:rsidR="00D21176" w:rsidRDefault="00D21176" w:rsidP="00B758A4">
      <w:pPr>
        <w:pStyle w:val="Default"/>
        <w:ind w:left="1080"/>
        <w:rPr>
          <w:sz w:val="22"/>
          <w:szCs w:val="22"/>
        </w:rPr>
      </w:pPr>
    </w:p>
    <w:p w14:paraId="47A07F61" w14:textId="484CC77B" w:rsidR="00D21176" w:rsidRPr="00B758A4" w:rsidRDefault="00E031B3" w:rsidP="001B3075">
      <w:pPr>
        <w:pStyle w:val="Default"/>
        <w:numPr>
          <w:ilvl w:val="0"/>
          <w:numId w:val="29"/>
        </w:numPr>
      </w:pPr>
      <w:r w:rsidRPr="001B3075">
        <w:rPr>
          <w:sz w:val="22"/>
          <w:szCs w:val="22"/>
        </w:rPr>
        <w:t>integración de capital de trabajo en Argentina, entendiéndose como tal el activo corriente menos pasivo corriente, incluyendo, el pago a proveedores por insumos y/o servicios prestados y el pago de otros pasivos operativos corrientes</w:t>
      </w:r>
      <w:r w:rsidR="00D21176" w:rsidRPr="001B3075">
        <w:rPr>
          <w:sz w:val="22"/>
          <w:szCs w:val="22"/>
        </w:rPr>
        <w:t>;</w:t>
      </w:r>
      <w:r w:rsidRPr="001B3075">
        <w:rPr>
          <w:sz w:val="22"/>
          <w:szCs w:val="22"/>
        </w:rPr>
        <w:t xml:space="preserve"> y/o </w:t>
      </w:r>
    </w:p>
    <w:p w14:paraId="7F284E32" w14:textId="77777777" w:rsidR="00D21176" w:rsidRPr="00B758A4" w:rsidRDefault="00D21176" w:rsidP="00B758A4">
      <w:pPr>
        <w:pStyle w:val="Default"/>
        <w:ind w:left="1080"/>
      </w:pPr>
    </w:p>
    <w:p w14:paraId="3E4B706D" w14:textId="3FA6950C" w:rsidR="00E031B3" w:rsidRPr="00B758A4" w:rsidRDefault="00D21176" w:rsidP="00B758A4">
      <w:pPr>
        <w:pStyle w:val="Default"/>
        <w:numPr>
          <w:ilvl w:val="0"/>
          <w:numId w:val="29"/>
        </w:numPr>
      </w:pPr>
      <w:r>
        <w:rPr>
          <w:sz w:val="22"/>
          <w:szCs w:val="22"/>
        </w:rPr>
        <w:t xml:space="preserve"> financiamiento del giro ordinario del negocio de la Emisora y/o de sus subsidiarias.</w:t>
      </w:r>
      <w:r w:rsidR="00E031B3">
        <w:rPr>
          <w:sz w:val="22"/>
          <w:szCs w:val="22"/>
        </w:rPr>
        <w:t xml:space="preserve">  </w:t>
      </w:r>
      <w:r w:rsidR="00E031B3" w:rsidRPr="00B758A4">
        <w:rPr>
          <w:sz w:val="22"/>
          <w:szCs w:val="22"/>
        </w:rPr>
        <w:t xml:space="preserve"> </w:t>
      </w:r>
    </w:p>
    <w:p w14:paraId="72346B76" w14:textId="7229AEA0" w:rsidR="000A0418" w:rsidRDefault="00D21176" w:rsidP="000F3486">
      <w:pPr>
        <w:spacing w:before="100" w:beforeAutospacing="1" w:after="100" w:afterAutospacing="1"/>
        <w:jc w:val="both"/>
        <w:rPr>
          <w:color w:val="000000"/>
          <w:sz w:val="22"/>
          <w:szCs w:val="22"/>
          <w:lang w:val="es-AR" w:eastAsia="es-AR"/>
        </w:rPr>
      </w:pPr>
      <w:r>
        <w:rPr>
          <w:color w:val="000000"/>
          <w:sz w:val="22"/>
          <w:szCs w:val="22"/>
          <w:lang w:val="es-AR" w:eastAsia="es-AR"/>
        </w:rPr>
        <w:t>La aplicación de los fondos netos provenientes de la colocación de las Obligaciones Negociables Serie II está sujeta a las condiciones de mercado vigentes. Por tal razón, la Emisora podrá alterar el orden de las prioridades antes descriptas conforme a su estrategia comercial, financiera y operativa</w:t>
      </w:r>
      <w:r w:rsidR="001B3075">
        <w:rPr>
          <w:color w:val="000000"/>
          <w:sz w:val="22"/>
          <w:szCs w:val="22"/>
          <w:lang w:val="es-AR" w:eastAsia="es-AR"/>
        </w:rPr>
        <w:t>.</w:t>
      </w:r>
    </w:p>
    <w:p w14:paraId="48A61C6E" w14:textId="1437703E" w:rsidR="00D21176" w:rsidRDefault="000A0418" w:rsidP="000F3486">
      <w:pPr>
        <w:spacing w:before="100" w:beforeAutospacing="1" w:after="100" w:afterAutospacing="1"/>
        <w:jc w:val="both"/>
        <w:rPr>
          <w:color w:val="000000"/>
          <w:sz w:val="22"/>
          <w:szCs w:val="22"/>
          <w:lang w:val="es-AR" w:eastAsia="es-AR"/>
        </w:rPr>
      </w:pPr>
      <w:r>
        <w:rPr>
          <w:color w:val="000000"/>
          <w:sz w:val="22"/>
          <w:szCs w:val="22"/>
          <w:lang w:val="es-AR" w:eastAsia="es-AR"/>
        </w:rPr>
        <w:t>Sin perjuicio de lo aquí expresado, los destinos particulares indicados en el segundo párrafo podrán variar (o incluso destinar los mencionados fondos a otros destinos previstos en el artículo 36 de la Ley de Obligaciones Negociables) de acuerdo a las necesidades operativas de la Sociedad</w:t>
      </w:r>
      <w:r w:rsidR="00D21176">
        <w:rPr>
          <w:color w:val="000000"/>
          <w:sz w:val="22"/>
          <w:szCs w:val="22"/>
          <w:lang w:val="es-AR" w:eastAsia="es-AR"/>
        </w:rPr>
        <w:t>.</w:t>
      </w:r>
    </w:p>
    <w:p w14:paraId="50417B7D" w14:textId="40B880A3" w:rsidR="00D21176" w:rsidRDefault="00D21176" w:rsidP="000F3486">
      <w:pPr>
        <w:spacing w:before="100" w:beforeAutospacing="1" w:after="100" w:afterAutospacing="1"/>
        <w:jc w:val="both"/>
        <w:rPr>
          <w:color w:val="000000"/>
          <w:sz w:val="22"/>
          <w:szCs w:val="22"/>
          <w:lang w:val="es-AR" w:eastAsia="es-AR"/>
        </w:rPr>
      </w:pPr>
      <w:r>
        <w:rPr>
          <w:color w:val="000000"/>
          <w:sz w:val="22"/>
          <w:szCs w:val="22"/>
          <w:lang w:val="es-AR" w:eastAsia="es-AR"/>
        </w:rPr>
        <w:t xml:space="preserve">Mientras se encuentre pendiente su aplicación, los fondos podrán invertirse en instrumentos financieros líquidos de alta calidad y en otras inversiones de corto plazo.  </w:t>
      </w:r>
      <w:r w:rsidR="000F3486" w:rsidRPr="00B758A4">
        <w:rPr>
          <w:color w:val="000000"/>
          <w:sz w:val="22"/>
          <w:szCs w:val="22"/>
          <w:lang w:val="es-AR" w:eastAsia="es-AR"/>
        </w:rPr>
        <w:t xml:space="preserve"> </w:t>
      </w:r>
    </w:p>
    <w:p w14:paraId="17BB888D" w14:textId="7FED9809" w:rsidR="000F3486" w:rsidRDefault="000F3486" w:rsidP="003C189F">
      <w:pPr>
        <w:pStyle w:val="Ttulo1"/>
        <w:jc w:val="center"/>
        <w:rPr>
          <w:u w:val="single"/>
        </w:rPr>
      </w:pPr>
      <w:bookmarkStart w:id="15" w:name="_Toc26888618"/>
      <w:bookmarkStart w:id="16" w:name="_Toc32224784"/>
      <w:r w:rsidRPr="00AC109B">
        <w:rPr>
          <w:u w:val="single"/>
        </w:rPr>
        <w:t>V</w:t>
      </w:r>
      <w:r w:rsidR="00AC109B">
        <w:rPr>
          <w:u w:val="single"/>
        </w:rPr>
        <w:t>I</w:t>
      </w:r>
      <w:r w:rsidRPr="00AC109B">
        <w:rPr>
          <w:u w:val="single"/>
        </w:rPr>
        <w:t>II.- GASTOS DE EMISIÓN</w:t>
      </w:r>
      <w:bookmarkEnd w:id="15"/>
      <w:bookmarkEnd w:id="16"/>
    </w:p>
    <w:p w14:paraId="58EE9212" w14:textId="77777777" w:rsidR="003C189F" w:rsidRPr="003C189F" w:rsidRDefault="003C189F" w:rsidP="003C189F">
      <w:pPr>
        <w:rPr>
          <w:lang w:val="x-none" w:eastAsia="x-none"/>
        </w:rPr>
      </w:pPr>
    </w:p>
    <w:p w14:paraId="107247DE" w14:textId="0DA25D22" w:rsidR="000F3486" w:rsidRDefault="000F3486" w:rsidP="000F3486">
      <w:pPr>
        <w:jc w:val="both"/>
        <w:rPr>
          <w:spacing w:val="-3"/>
          <w:sz w:val="22"/>
          <w:szCs w:val="20"/>
          <w:lang w:val="es-ES_tradnl"/>
        </w:rPr>
      </w:pPr>
      <w:r w:rsidRPr="00F44670">
        <w:rPr>
          <w:sz w:val="22"/>
          <w:szCs w:val="20"/>
          <w:lang w:val="es-AR"/>
        </w:rPr>
        <w:t xml:space="preserve">Se prevén que los gastos de emisión y colocación </w:t>
      </w:r>
      <w:r w:rsidR="002F2F2A">
        <w:rPr>
          <w:sz w:val="22"/>
          <w:szCs w:val="20"/>
          <w:lang w:val="es-AR"/>
        </w:rPr>
        <w:t xml:space="preserve">que estarán a exclusivo cargo de la Emisora </w:t>
      </w:r>
      <w:r w:rsidRPr="00F44670">
        <w:rPr>
          <w:sz w:val="22"/>
          <w:szCs w:val="20"/>
          <w:lang w:val="es-AR"/>
        </w:rPr>
        <w:t xml:space="preserve">se estiman en </w:t>
      </w:r>
      <w:r w:rsidR="00623BFB">
        <w:rPr>
          <w:sz w:val="22"/>
          <w:szCs w:val="20"/>
          <w:lang w:val="es-AR"/>
        </w:rPr>
        <w:t>0,</w:t>
      </w:r>
      <w:r w:rsidR="006A1A8B">
        <w:rPr>
          <w:sz w:val="22"/>
          <w:szCs w:val="20"/>
          <w:lang w:val="es-AR"/>
        </w:rPr>
        <w:t>88</w:t>
      </w:r>
      <w:r w:rsidRPr="00F44670">
        <w:rPr>
          <w:sz w:val="22"/>
          <w:szCs w:val="20"/>
          <w:lang w:val="es-AR"/>
        </w:rPr>
        <w:t xml:space="preserve">% del monto máximo de emisión, de acuerdo a la siguiente composición: Honorarios profesionales $ </w:t>
      </w:r>
      <w:r w:rsidR="00461AE6">
        <w:rPr>
          <w:sz w:val="22"/>
          <w:szCs w:val="20"/>
          <w:lang w:val="es-AR"/>
        </w:rPr>
        <w:t>545.220</w:t>
      </w:r>
      <w:r w:rsidRPr="00F44670">
        <w:rPr>
          <w:sz w:val="22"/>
          <w:szCs w:val="20"/>
          <w:lang w:val="es-AR"/>
        </w:rPr>
        <w:t xml:space="preserve">, publicaciones </w:t>
      </w:r>
      <w:r w:rsidR="006A1A8B">
        <w:rPr>
          <w:sz w:val="22"/>
          <w:szCs w:val="20"/>
          <w:lang w:val="es-AR"/>
        </w:rPr>
        <w:t xml:space="preserve">y otros gastos </w:t>
      </w:r>
      <w:r w:rsidRPr="00F44670">
        <w:rPr>
          <w:sz w:val="22"/>
          <w:szCs w:val="20"/>
          <w:lang w:val="es-AR"/>
        </w:rPr>
        <w:t xml:space="preserve">$ </w:t>
      </w:r>
      <w:r w:rsidR="006A1A8B">
        <w:rPr>
          <w:sz w:val="22"/>
          <w:szCs w:val="20"/>
          <w:lang w:val="es-AR"/>
        </w:rPr>
        <w:t>3</w:t>
      </w:r>
      <w:r w:rsidR="00461AE6">
        <w:rPr>
          <w:sz w:val="22"/>
          <w:szCs w:val="20"/>
          <w:lang w:val="es-AR"/>
        </w:rPr>
        <w:t>02.900</w:t>
      </w:r>
      <w:r w:rsidRPr="00F44670">
        <w:rPr>
          <w:sz w:val="22"/>
          <w:szCs w:val="20"/>
          <w:lang w:val="es-AR"/>
        </w:rPr>
        <w:t xml:space="preserve">, aranceles $ </w:t>
      </w:r>
      <w:r w:rsidR="006A1A8B">
        <w:rPr>
          <w:sz w:val="22"/>
          <w:szCs w:val="20"/>
          <w:lang w:val="es-AR"/>
        </w:rPr>
        <w:t>7</w:t>
      </w:r>
      <w:r w:rsidR="00461AE6">
        <w:rPr>
          <w:sz w:val="22"/>
          <w:szCs w:val="20"/>
          <w:lang w:val="es-AR"/>
        </w:rPr>
        <w:t>63.308</w:t>
      </w:r>
      <w:r w:rsidRPr="00F44670">
        <w:rPr>
          <w:sz w:val="22"/>
          <w:szCs w:val="20"/>
          <w:lang w:val="es-AR"/>
        </w:rPr>
        <w:t xml:space="preserve"> y comisión de colocación $ </w:t>
      </w:r>
      <w:r w:rsidR="006A1A8B">
        <w:rPr>
          <w:sz w:val="22"/>
          <w:szCs w:val="20"/>
          <w:lang w:val="es-AR"/>
        </w:rPr>
        <w:t>9.</w:t>
      </w:r>
      <w:r w:rsidR="00461AE6">
        <w:rPr>
          <w:sz w:val="22"/>
          <w:szCs w:val="20"/>
          <w:lang w:val="es-AR"/>
        </w:rPr>
        <w:t>087.020</w:t>
      </w:r>
      <w:r w:rsidRPr="00F44670">
        <w:rPr>
          <w:spacing w:val="-3"/>
          <w:sz w:val="22"/>
          <w:szCs w:val="20"/>
          <w:lang w:val="es-ES_tradnl"/>
        </w:rPr>
        <w:t xml:space="preserve">. Los gastos indicados son estimados y podrían sufrir variaciones. Ninguno de los gastos mencionados será soportado por los suscriptores de las ON Serie </w:t>
      </w:r>
      <w:r>
        <w:rPr>
          <w:spacing w:val="-3"/>
          <w:sz w:val="22"/>
          <w:szCs w:val="20"/>
          <w:lang w:val="es-ES_tradnl"/>
        </w:rPr>
        <w:t>II</w:t>
      </w:r>
      <w:r w:rsidRPr="00F44670">
        <w:rPr>
          <w:spacing w:val="-3"/>
          <w:sz w:val="22"/>
          <w:szCs w:val="20"/>
          <w:lang w:val="es-ES_tradnl"/>
        </w:rPr>
        <w:t xml:space="preserve">. </w:t>
      </w:r>
    </w:p>
    <w:p w14:paraId="0B3BBD6F" w14:textId="630FC1B8" w:rsidR="00AC109B" w:rsidRDefault="00AC109B" w:rsidP="000F3486">
      <w:pPr>
        <w:jc w:val="both"/>
        <w:rPr>
          <w:spacing w:val="-3"/>
          <w:sz w:val="22"/>
          <w:szCs w:val="20"/>
          <w:lang w:val="es-ES_tradnl"/>
        </w:rPr>
      </w:pPr>
    </w:p>
    <w:p w14:paraId="72ABC532" w14:textId="3D8AFED2" w:rsidR="00461AE6" w:rsidRPr="00CE6D1A" w:rsidRDefault="00461AE6" w:rsidP="00461AE6">
      <w:pPr>
        <w:jc w:val="both"/>
        <w:rPr>
          <w:sz w:val="22"/>
          <w:szCs w:val="20"/>
          <w:lang w:val="es-AR"/>
        </w:rPr>
      </w:pPr>
      <w:r w:rsidRPr="00CE6D1A">
        <w:rPr>
          <w:sz w:val="22"/>
          <w:szCs w:val="20"/>
          <w:lang w:val="es-AR"/>
        </w:rPr>
        <w:t xml:space="preserve">A los efectos de su cálculo, se tomó un tipo de cambio equivalente a $60,58 por unidad de Dólar correspondiente a la cotización de cierre de la divisa según Comunicación del BCRA “A” 3500 publicada en la página de internet del BCRA del día 5 de febrero de 2020. </w:t>
      </w:r>
    </w:p>
    <w:p w14:paraId="6E87A002" w14:textId="77777777" w:rsidR="00461AE6" w:rsidRPr="00CE6D1A" w:rsidRDefault="00461AE6" w:rsidP="000F3486">
      <w:pPr>
        <w:jc w:val="both"/>
        <w:rPr>
          <w:spacing w:val="-3"/>
          <w:sz w:val="22"/>
          <w:szCs w:val="20"/>
          <w:lang w:val="es-MX"/>
        </w:rPr>
      </w:pPr>
    </w:p>
    <w:p w14:paraId="37ABFB75" w14:textId="77777777" w:rsidR="002F2F2A" w:rsidRDefault="002F2F2A" w:rsidP="000F3486">
      <w:pPr>
        <w:jc w:val="both"/>
        <w:rPr>
          <w:spacing w:val="-3"/>
          <w:sz w:val="22"/>
          <w:szCs w:val="20"/>
          <w:lang w:val="es-ES_tradnl"/>
        </w:rPr>
      </w:pPr>
    </w:p>
    <w:p w14:paraId="0DDEFE21" w14:textId="77777777" w:rsidR="000F3486" w:rsidRPr="00AC109B" w:rsidRDefault="00AC109B" w:rsidP="00F44670">
      <w:pPr>
        <w:pStyle w:val="Ttulo1"/>
        <w:jc w:val="center"/>
        <w:rPr>
          <w:u w:val="single"/>
        </w:rPr>
      </w:pPr>
      <w:bookmarkStart w:id="17" w:name="_Toc534282796"/>
      <w:bookmarkStart w:id="18" w:name="_Toc14190879"/>
      <w:bookmarkStart w:id="19" w:name="_Toc26888619"/>
      <w:bookmarkStart w:id="20" w:name="_Toc32224785"/>
      <w:r>
        <w:rPr>
          <w:u w:val="single"/>
          <w:lang w:val="es-AR"/>
        </w:rPr>
        <w:t>IX</w:t>
      </w:r>
      <w:r w:rsidR="000F3486" w:rsidRPr="00AC109B">
        <w:rPr>
          <w:u w:val="single"/>
        </w:rPr>
        <w:t>.- CONTRATO DE COLOCACIÓN</w:t>
      </w:r>
      <w:bookmarkEnd w:id="17"/>
      <w:bookmarkEnd w:id="18"/>
      <w:bookmarkEnd w:id="19"/>
      <w:bookmarkEnd w:id="20"/>
    </w:p>
    <w:p w14:paraId="3EC7F14F" w14:textId="77777777" w:rsidR="000F3486" w:rsidRPr="001405EE" w:rsidRDefault="000F3486" w:rsidP="000F3486">
      <w:pPr>
        <w:pStyle w:val="Encabezado"/>
        <w:widowControl w:val="0"/>
        <w:suppressAutoHyphens/>
        <w:ind w:left="72"/>
        <w:rPr>
          <w:sz w:val="22"/>
          <w:szCs w:val="22"/>
          <w:lang w:val="es-AR"/>
        </w:rPr>
      </w:pPr>
    </w:p>
    <w:p w14:paraId="17813BD1" w14:textId="7283DE87" w:rsidR="000F3486" w:rsidRPr="001405EE" w:rsidRDefault="000F3486" w:rsidP="00F44670">
      <w:pPr>
        <w:pStyle w:val="Encabezado"/>
        <w:widowControl w:val="0"/>
        <w:suppressAutoHyphens/>
        <w:ind w:left="72"/>
        <w:jc w:val="both"/>
        <w:rPr>
          <w:sz w:val="22"/>
          <w:szCs w:val="22"/>
          <w:lang w:val="es-AR"/>
        </w:rPr>
      </w:pPr>
      <w:r w:rsidRPr="001405EE">
        <w:rPr>
          <w:sz w:val="22"/>
          <w:szCs w:val="22"/>
          <w:lang w:val="es-AR"/>
        </w:rPr>
        <w:t>La Emisora ha designado como colocador</w:t>
      </w:r>
      <w:r>
        <w:rPr>
          <w:sz w:val="22"/>
          <w:szCs w:val="22"/>
          <w:lang w:val="es-AR"/>
        </w:rPr>
        <w:t xml:space="preserve">es </w:t>
      </w:r>
      <w:r w:rsidRPr="001405EE">
        <w:rPr>
          <w:sz w:val="22"/>
          <w:szCs w:val="22"/>
          <w:lang w:val="es-AR"/>
        </w:rPr>
        <w:t>a</w:t>
      </w:r>
      <w:r w:rsidR="000F07D9">
        <w:rPr>
          <w:sz w:val="22"/>
          <w:szCs w:val="22"/>
          <w:lang w:val="es-AR"/>
        </w:rPr>
        <w:t xml:space="preserve"> AR Partners S.A., Banco Supervielle </w:t>
      </w:r>
      <w:r w:rsidR="00D04488">
        <w:rPr>
          <w:sz w:val="22"/>
          <w:szCs w:val="22"/>
          <w:lang w:val="es-AR"/>
        </w:rPr>
        <w:t xml:space="preserve">S.A., </w:t>
      </w:r>
      <w:r w:rsidR="00E94546">
        <w:rPr>
          <w:sz w:val="22"/>
          <w:szCs w:val="22"/>
          <w:lang w:val="es-AR"/>
        </w:rPr>
        <w:t>Banco de Galicia y Buenos Aires S.A</w:t>
      </w:r>
      <w:r w:rsidR="00461AE6">
        <w:rPr>
          <w:sz w:val="22"/>
          <w:szCs w:val="22"/>
          <w:lang w:val="es-AR"/>
        </w:rPr>
        <w:t>.</w:t>
      </w:r>
      <w:r w:rsidR="00D04488">
        <w:rPr>
          <w:sz w:val="22"/>
          <w:szCs w:val="22"/>
          <w:lang w:val="es-AR"/>
        </w:rPr>
        <w:t>U</w:t>
      </w:r>
      <w:r w:rsidR="00E94546" w:rsidRPr="00B758A4">
        <w:rPr>
          <w:sz w:val="22"/>
          <w:szCs w:val="22"/>
          <w:lang w:val="es-AR"/>
        </w:rPr>
        <w:t xml:space="preserve"> </w:t>
      </w:r>
      <w:r w:rsidR="00E94546">
        <w:rPr>
          <w:sz w:val="22"/>
          <w:szCs w:val="22"/>
          <w:lang w:val="es-AR"/>
        </w:rPr>
        <w:t xml:space="preserve">Cohen S.A, Tarallo S.A. y Allaria Ledesma &amp;Cía S.A. </w:t>
      </w:r>
      <w:r>
        <w:rPr>
          <w:sz w:val="22"/>
          <w:szCs w:val="22"/>
          <w:lang w:val="es-AR"/>
        </w:rPr>
        <w:t xml:space="preserve"> </w:t>
      </w:r>
      <w:r w:rsidRPr="001405EE">
        <w:rPr>
          <w:sz w:val="22"/>
          <w:szCs w:val="22"/>
          <w:lang w:val="es-AR"/>
        </w:rPr>
        <w:t>con quien</w:t>
      </w:r>
      <w:r>
        <w:rPr>
          <w:sz w:val="22"/>
          <w:szCs w:val="22"/>
          <w:lang w:val="es-AR"/>
        </w:rPr>
        <w:t>es</w:t>
      </w:r>
      <w:r w:rsidRPr="001405EE">
        <w:rPr>
          <w:sz w:val="22"/>
          <w:szCs w:val="22"/>
          <w:lang w:val="es-AR"/>
        </w:rPr>
        <w:t xml:space="preserve"> celebrará un contrato de colocación (el “Contrato de Colocación”). Bajo el Contrato de Colocación, l</w:t>
      </w:r>
      <w:r>
        <w:rPr>
          <w:sz w:val="22"/>
          <w:szCs w:val="22"/>
          <w:lang w:val="es-AR"/>
        </w:rPr>
        <w:t>os</w:t>
      </w:r>
      <w:r w:rsidRPr="001405EE">
        <w:rPr>
          <w:sz w:val="22"/>
          <w:szCs w:val="22"/>
          <w:lang w:val="es-AR"/>
        </w:rPr>
        <w:t xml:space="preserve"> Colocador</w:t>
      </w:r>
      <w:r>
        <w:rPr>
          <w:sz w:val="22"/>
          <w:szCs w:val="22"/>
          <w:lang w:val="es-AR"/>
        </w:rPr>
        <w:t>es</w:t>
      </w:r>
      <w:r w:rsidRPr="001405EE">
        <w:rPr>
          <w:sz w:val="22"/>
          <w:szCs w:val="22"/>
          <w:lang w:val="es-AR"/>
        </w:rPr>
        <w:t xml:space="preserve"> no asume</w:t>
      </w:r>
      <w:r>
        <w:rPr>
          <w:sz w:val="22"/>
          <w:szCs w:val="22"/>
          <w:lang w:val="es-AR"/>
        </w:rPr>
        <w:t>n</w:t>
      </w:r>
      <w:r w:rsidRPr="001405EE">
        <w:rPr>
          <w:sz w:val="22"/>
          <w:szCs w:val="22"/>
          <w:lang w:val="es-AR"/>
        </w:rPr>
        <w:t xml:space="preserve"> compromiso de colocación en firme y sólo se obliga</w:t>
      </w:r>
      <w:r>
        <w:rPr>
          <w:sz w:val="22"/>
          <w:szCs w:val="22"/>
          <w:lang w:val="es-AR"/>
        </w:rPr>
        <w:t>n</w:t>
      </w:r>
      <w:r w:rsidRPr="001405EE">
        <w:rPr>
          <w:sz w:val="22"/>
          <w:szCs w:val="22"/>
          <w:lang w:val="es-AR"/>
        </w:rPr>
        <w:t xml:space="preserve"> a realizar sus esfuerzos razonables para colocar mediante oferta pública las ON Serie </w:t>
      </w:r>
      <w:r>
        <w:rPr>
          <w:sz w:val="22"/>
          <w:szCs w:val="22"/>
          <w:lang w:val="es-AR"/>
        </w:rPr>
        <w:t>I</w:t>
      </w:r>
      <w:r w:rsidRPr="001405EE">
        <w:rPr>
          <w:sz w:val="22"/>
          <w:szCs w:val="22"/>
          <w:lang w:val="es-AR"/>
        </w:rPr>
        <w:t xml:space="preserve">I conforme a los procedimientos usuales en el mercado de capitales argentino. </w:t>
      </w:r>
      <w:r w:rsidR="00106B0A" w:rsidRPr="00106B0A">
        <w:rPr>
          <w:sz w:val="22"/>
          <w:szCs w:val="22"/>
          <w:lang w:val="es-AR"/>
        </w:rPr>
        <w:t xml:space="preserve"> </w:t>
      </w:r>
      <w:r w:rsidR="00106B0A">
        <w:rPr>
          <w:sz w:val="22"/>
          <w:szCs w:val="22"/>
          <w:lang w:val="es-AR"/>
        </w:rPr>
        <w:t>Por tales servicios los Colocadores recibirán una comisión por los servicios prestados. Dicho Contrato de Colocación establecerá los derechos y obligaciones entre los Colocadores y la Emisora.</w:t>
      </w:r>
      <w:r w:rsidR="00106B0A" w:rsidRPr="00BC7ECB">
        <w:rPr>
          <w:sz w:val="22"/>
          <w:szCs w:val="22"/>
          <w:lang w:val="es-AR"/>
        </w:rPr>
        <w:t xml:space="preserve"> </w:t>
      </w:r>
    </w:p>
    <w:p w14:paraId="53E08BC7" w14:textId="77777777" w:rsidR="000F3486" w:rsidRPr="001405EE" w:rsidRDefault="000F3486" w:rsidP="000F3486">
      <w:pPr>
        <w:rPr>
          <w:sz w:val="22"/>
          <w:szCs w:val="22"/>
        </w:rPr>
      </w:pPr>
    </w:p>
    <w:p w14:paraId="685F3CBD" w14:textId="77777777" w:rsidR="000F3486" w:rsidRPr="00AC109B" w:rsidRDefault="000F3486" w:rsidP="00F44670">
      <w:pPr>
        <w:pStyle w:val="Ttulo1"/>
        <w:jc w:val="center"/>
        <w:rPr>
          <w:u w:val="single"/>
        </w:rPr>
      </w:pPr>
      <w:bookmarkStart w:id="21" w:name="_Toc534282797"/>
      <w:bookmarkStart w:id="22" w:name="_Toc14190880"/>
      <w:bookmarkStart w:id="23" w:name="_Toc26888620"/>
      <w:bookmarkStart w:id="24" w:name="_Toc32224786"/>
      <w:r w:rsidRPr="00AC109B">
        <w:rPr>
          <w:u w:val="single"/>
        </w:rPr>
        <w:t>X.- HECHOS POSTERIORES AL CIERRE</w:t>
      </w:r>
      <w:bookmarkEnd w:id="21"/>
      <w:bookmarkEnd w:id="22"/>
      <w:bookmarkEnd w:id="23"/>
      <w:bookmarkEnd w:id="24"/>
    </w:p>
    <w:p w14:paraId="28AA0AA2" w14:textId="77777777" w:rsidR="000F3486" w:rsidRPr="001405EE" w:rsidRDefault="000F3486" w:rsidP="000F3486">
      <w:pPr>
        <w:rPr>
          <w:sz w:val="22"/>
          <w:szCs w:val="22"/>
        </w:rPr>
      </w:pPr>
    </w:p>
    <w:p w14:paraId="03135B59" w14:textId="1F881D30" w:rsidR="00553120" w:rsidRPr="001405EE" w:rsidRDefault="00553120" w:rsidP="00553120">
      <w:pPr>
        <w:jc w:val="both"/>
        <w:rPr>
          <w:sz w:val="22"/>
          <w:szCs w:val="22"/>
        </w:rPr>
      </w:pPr>
      <w:r w:rsidRPr="00F2691D">
        <w:rPr>
          <w:sz w:val="22"/>
          <w:szCs w:val="22"/>
        </w:rPr>
        <w:t xml:space="preserve">Se informa que no han ocurrido cambios significativos con posterioridad al cierre de los Estados </w:t>
      </w:r>
      <w:r>
        <w:rPr>
          <w:sz w:val="22"/>
          <w:szCs w:val="22"/>
        </w:rPr>
        <w:t>Financiero</w:t>
      </w:r>
      <w:r w:rsidRPr="00F2691D">
        <w:rPr>
          <w:sz w:val="22"/>
          <w:szCs w:val="22"/>
        </w:rPr>
        <w:t xml:space="preserve"> </w:t>
      </w:r>
      <w:r>
        <w:rPr>
          <w:sz w:val="22"/>
          <w:szCs w:val="22"/>
        </w:rPr>
        <w:t xml:space="preserve">Intermedios </w:t>
      </w:r>
      <w:r w:rsidRPr="00F2691D">
        <w:rPr>
          <w:sz w:val="22"/>
          <w:szCs w:val="22"/>
        </w:rPr>
        <w:t xml:space="preserve">correspondientes al período de </w:t>
      </w:r>
      <w:r>
        <w:rPr>
          <w:sz w:val="22"/>
          <w:szCs w:val="22"/>
        </w:rPr>
        <w:t>seis</w:t>
      </w:r>
      <w:r w:rsidRPr="00F2691D">
        <w:rPr>
          <w:sz w:val="22"/>
          <w:szCs w:val="22"/>
        </w:rPr>
        <w:t xml:space="preserve"> meses finalizado el 3</w:t>
      </w:r>
      <w:r>
        <w:rPr>
          <w:sz w:val="22"/>
          <w:szCs w:val="22"/>
        </w:rPr>
        <w:t>1</w:t>
      </w:r>
      <w:r w:rsidRPr="00F2691D">
        <w:rPr>
          <w:sz w:val="22"/>
          <w:szCs w:val="22"/>
        </w:rPr>
        <w:t xml:space="preserve"> de </w:t>
      </w:r>
      <w:r>
        <w:rPr>
          <w:sz w:val="22"/>
          <w:szCs w:val="22"/>
        </w:rPr>
        <w:t>diciembre</w:t>
      </w:r>
      <w:r w:rsidRPr="00F2691D">
        <w:rPr>
          <w:sz w:val="22"/>
          <w:szCs w:val="22"/>
        </w:rPr>
        <w:t xml:space="preserve"> de 2019.</w:t>
      </w:r>
    </w:p>
    <w:p w14:paraId="65CF42EA" w14:textId="77777777" w:rsidR="000F3486" w:rsidRPr="00036C0A" w:rsidRDefault="000F3486" w:rsidP="000F3486">
      <w:pPr>
        <w:jc w:val="center"/>
        <w:outlineLvl w:val="0"/>
        <w:rPr>
          <w:b/>
          <w:sz w:val="22"/>
          <w:u w:val="single"/>
        </w:rPr>
      </w:pPr>
    </w:p>
    <w:p w14:paraId="5B46E72B" w14:textId="77777777" w:rsidR="000F3486" w:rsidRPr="00036C0A" w:rsidRDefault="000F3486" w:rsidP="000F3486">
      <w:pPr>
        <w:pStyle w:val="Textoindependiente3"/>
        <w:widowControl w:val="0"/>
        <w:suppressLineNumbers/>
        <w:suppressAutoHyphens/>
        <w:jc w:val="both"/>
        <w:rPr>
          <w:szCs w:val="22"/>
        </w:rPr>
      </w:pPr>
    </w:p>
    <w:p w14:paraId="4A1F467F" w14:textId="45EE37B2" w:rsidR="000F3486" w:rsidRPr="00036C0A" w:rsidRDefault="000F3486" w:rsidP="000F3486">
      <w:pPr>
        <w:pStyle w:val="Encabezado"/>
        <w:widowControl w:val="0"/>
        <w:suppressAutoHyphens/>
        <w:jc w:val="center"/>
        <w:rPr>
          <w:sz w:val="22"/>
          <w:lang w:val="es-AR"/>
        </w:rPr>
      </w:pPr>
    </w:p>
    <w:p w14:paraId="2CE042DD" w14:textId="77777777" w:rsidR="00696F29" w:rsidRPr="00F44670" w:rsidRDefault="00696F29" w:rsidP="00F3428B">
      <w:pPr>
        <w:pStyle w:val="CPN-normal"/>
        <w:widowControl/>
        <w:tabs>
          <w:tab w:val="clear" w:pos="-720"/>
        </w:tabs>
        <w:suppressAutoHyphens w:val="0"/>
        <w:rPr>
          <w:rFonts w:ascii="Times New Roman" w:hAnsi="Times New Roman"/>
          <w:snapToGrid/>
          <w:spacing w:val="0"/>
          <w:szCs w:val="22"/>
          <w:lang w:val="es-ES_tradnl"/>
        </w:rPr>
      </w:pPr>
    </w:p>
    <w:p w14:paraId="3271F220" w14:textId="77777777" w:rsidR="00696F29" w:rsidRPr="00F44670" w:rsidRDefault="00696F29" w:rsidP="00F3428B">
      <w:pPr>
        <w:suppressLineNumbers/>
        <w:jc w:val="center"/>
        <w:rPr>
          <w:b/>
          <w:sz w:val="22"/>
          <w:szCs w:val="22"/>
          <w:lang w:val="pt-BR"/>
        </w:rPr>
      </w:pPr>
      <w:r w:rsidRPr="00F44670">
        <w:rPr>
          <w:b/>
          <w:sz w:val="22"/>
          <w:szCs w:val="22"/>
          <w:lang w:val="pt-BR"/>
        </w:rPr>
        <w:t xml:space="preserve">EMISOR </w:t>
      </w:r>
    </w:p>
    <w:p w14:paraId="5862874C" w14:textId="77777777" w:rsidR="00696F29" w:rsidRPr="00F44670" w:rsidRDefault="00696F29" w:rsidP="00F3428B">
      <w:pPr>
        <w:suppressLineNumbers/>
        <w:jc w:val="center"/>
        <w:rPr>
          <w:b/>
          <w:sz w:val="22"/>
          <w:szCs w:val="22"/>
          <w:lang w:val="pt-BR"/>
        </w:rPr>
      </w:pPr>
    </w:p>
    <w:p w14:paraId="56ED47FF" w14:textId="77777777" w:rsidR="00605961" w:rsidRPr="00F44670" w:rsidRDefault="00605961" w:rsidP="00F3428B">
      <w:pPr>
        <w:suppressLineNumbers/>
        <w:jc w:val="center"/>
        <w:rPr>
          <w:b/>
          <w:snapToGrid w:val="0"/>
          <w:sz w:val="22"/>
          <w:szCs w:val="22"/>
          <w:lang w:val="es-MX"/>
        </w:rPr>
      </w:pPr>
      <w:r w:rsidRPr="00F44670">
        <w:rPr>
          <w:b/>
          <w:snapToGrid w:val="0"/>
          <w:sz w:val="22"/>
          <w:szCs w:val="22"/>
          <w:lang w:val="es-MX"/>
        </w:rPr>
        <w:t>Rizobacter Argentina S.A.</w:t>
      </w:r>
    </w:p>
    <w:p w14:paraId="67EFF639" w14:textId="77777777" w:rsidR="00605961" w:rsidRPr="00F44670" w:rsidRDefault="00605961" w:rsidP="00F3428B">
      <w:pPr>
        <w:suppressLineNumbers/>
        <w:jc w:val="center"/>
        <w:rPr>
          <w:snapToGrid w:val="0"/>
          <w:sz w:val="22"/>
          <w:szCs w:val="22"/>
          <w:lang w:val="es-MX"/>
        </w:rPr>
      </w:pPr>
      <w:r w:rsidRPr="00F44670">
        <w:rPr>
          <w:snapToGrid w:val="0"/>
          <w:sz w:val="22"/>
          <w:szCs w:val="22"/>
          <w:lang w:val="es-MX"/>
        </w:rPr>
        <w:t xml:space="preserve">Avda. Presidente Dr. Arturo Frondizi Nº 1150 (ex ruta 32) </w:t>
      </w:r>
      <w:r w:rsidRPr="00F44670">
        <w:rPr>
          <w:sz w:val="22"/>
          <w:szCs w:val="22"/>
        </w:rPr>
        <w:t>(</w:t>
      </w:r>
      <w:r w:rsidRPr="00F44670">
        <w:rPr>
          <w:snapToGrid w:val="0"/>
          <w:sz w:val="22"/>
          <w:szCs w:val="22"/>
          <w:lang w:val="es-MX"/>
        </w:rPr>
        <w:t xml:space="preserve">B2701XAF) Parque Industrial </w:t>
      </w:r>
    </w:p>
    <w:p w14:paraId="7BC5DAD2" w14:textId="77777777" w:rsidR="00605961" w:rsidRPr="00F44670" w:rsidRDefault="00605961" w:rsidP="00F3428B">
      <w:pPr>
        <w:suppressLineNumbers/>
        <w:jc w:val="center"/>
        <w:rPr>
          <w:snapToGrid w:val="0"/>
          <w:sz w:val="22"/>
          <w:szCs w:val="22"/>
          <w:lang w:val="es-MX"/>
        </w:rPr>
      </w:pPr>
      <w:r w:rsidRPr="00F44670">
        <w:rPr>
          <w:snapToGrid w:val="0"/>
          <w:sz w:val="22"/>
          <w:szCs w:val="22"/>
          <w:lang w:val="es-MX"/>
        </w:rPr>
        <w:t>Pergamino, Pcia. de Buenos Aires</w:t>
      </w:r>
    </w:p>
    <w:p w14:paraId="70689CA1" w14:textId="77777777" w:rsidR="00605961" w:rsidRPr="00F44670" w:rsidRDefault="00605961" w:rsidP="00F3428B">
      <w:pPr>
        <w:suppressLineNumbers/>
        <w:jc w:val="center"/>
        <w:rPr>
          <w:snapToGrid w:val="0"/>
          <w:sz w:val="22"/>
          <w:szCs w:val="22"/>
          <w:lang w:val="es-MX"/>
        </w:rPr>
      </w:pPr>
      <w:r w:rsidRPr="00F44670">
        <w:rPr>
          <w:snapToGrid w:val="0"/>
          <w:sz w:val="22"/>
          <w:szCs w:val="22"/>
          <w:lang w:val="es-MX"/>
        </w:rPr>
        <w:t>Tel/Fax: 02477-409400</w:t>
      </w:r>
    </w:p>
    <w:p w14:paraId="784DAD84" w14:textId="77777777" w:rsidR="00EC41D9" w:rsidRPr="00F44670" w:rsidRDefault="00EC41D9" w:rsidP="00F3428B">
      <w:pPr>
        <w:jc w:val="center"/>
        <w:rPr>
          <w:b/>
          <w:snapToGrid w:val="0"/>
          <w:sz w:val="22"/>
          <w:szCs w:val="22"/>
          <w:lang w:val="es-MX"/>
        </w:rPr>
      </w:pPr>
    </w:p>
    <w:p w14:paraId="5706A9D9" w14:textId="46B8A2E9" w:rsidR="00EC41D9" w:rsidRPr="00F44670" w:rsidRDefault="00F70088" w:rsidP="005B4D4A">
      <w:pPr>
        <w:suppressLineNumbers/>
        <w:jc w:val="center"/>
        <w:rPr>
          <w:b/>
          <w:sz w:val="22"/>
          <w:szCs w:val="22"/>
        </w:rPr>
      </w:pPr>
      <w:r w:rsidRPr="00F44670">
        <w:rPr>
          <w:b/>
          <w:sz w:val="22"/>
          <w:szCs w:val="22"/>
        </w:rPr>
        <w:t>ORGANIZADOR</w:t>
      </w:r>
      <w:r w:rsidR="00032BF8">
        <w:rPr>
          <w:b/>
          <w:sz w:val="22"/>
          <w:szCs w:val="22"/>
        </w:rPr>
        <w:t>ES</w:t>
      </w:r>
      <w:r w:rsidRPr="00F44670">
        <w:rPr>
          <w:b/>
          <w:sz w:val="22"/>
          <w:szCs w:val="22"/>
        </w:rPr>
        <w:t xml:space="preserve"> Y </w:t>
      </w:r>
      <w:r w:rsidR="00EC41D9" w:rsidRPr="00F44670">
        <w:rPr>
          <w:b/>
          <w:sz w:val="22"/>
          <w:szCs w:val="22"/>
        </w:rPr>
        <w:t>COLOCADOR</w:t>
      </w:r>
      <w:r w:rsidR="00032BF8">
        <w:rPr>
          <w:b/>
          <w:sz w:val="22"/>
          <w:szCs w:val="22"/>
        </w:rPr>
        <w:t>ES</w:t>
      </w:r>
    </w:p>
    <w:p w14:paraId="35AEBE47" w14:textId="39296602" w:rsidR="00696F29" w:rsidRPr="00F44670" w:rsidRDefault="00696F29" w:rsidP="005B4D4A">
      <w:pPr>
        <w:pStyle w:val="Ttulo9"/>
        <w:suppressLineNumbers/>
        <w:rPr>
          <w:rFonts w:ascii="Times New Roman" w:hAnsi="Times New Roman"/>
          <w:sz w:val="22"/>
          <w:szCs w:val="22"/>
        </w:rPr>
      </w:pPr>
      <w:r w:rsidRPr="00F44670">
        <w:rPr>
          <w:rFonts w:ascii="Times New Roman" w:hAnsi="Times New Roman"/>
          <w:sz w:val="22"/>
          <w:szCs w:val="22"/>
        </w:rPr>
        <w:t>COLOCADOR</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2"/>
        <w:gridCol w:w="3992"/>
      </w:tblGrid>
      <w:tr w:rsidR="00032BF8" w14:paraId="59D85474" w14:textId="77777777" w:rsidTr="00C274DD">
        <w:trPr>
          <w:trHeight w:val="709"/>
          <w:jc w:val="center"/>
        </w:trPr>
        <w:tc>
          <w:tcPr>
            <w:tcW w:w="3992" w:type="dxa"/>
            <w:shd w:val="clear" w:color="auto" w:fill="auto"/>
          </w:tcPr>
          <w:p w14:paraId="311C1005" w14:textId="77777777" w:rsidR="00C04B09" w:rsidRPr="00B758A4" w:rsidRDefault="00C04B09" w:rsidP="00F44670">
            <w:pPr>
              <w:jc w:val="center"/>
              <w:rPr>
                <w:sz w:val="14"/>
                <w:szCs w:val="14"/>
                <w:lang w:val="en-US"/>
              </w:rPr>
            </w:pPr>
          </w:p>
          <w:p w14:paraId="4622B5EB" w14:textId="3423AFF4" w:rsidR="00032BF8" w:rsidRPr="00C04B09" w:rsidRDefault="00C04B09" w:rsidP="00F44670">
            <w:pPr>
              <w:jc w:val="center"/>
              <w:rPr>
                <w:sz w:val="22"/>
                <w:szCs w:val="22"/>
                <w:lang w:val="en-US"/>
              </w:rPr>
            </w:pPr>
            <w:r w:rsidRPr="00B758A4">
              <w:rPr>
                <w:noProof/>
                <w:sz w:val="22"/>
                <w:szCs w:val="22"/>
                <w:lang w:val="es-AR" w:eastAsia="es-AR"/>
              </w:rPr>
              <w:drawing>
                <wp:inline distT="0" distB="0" distL="0" distR="0" wp14:anchorId="5821EB1F" wp14:editId="06A38BC9">
                  <wp:extent cx="1268897" cy="341750"/>
                  <wp:effectExtent l="0" t="0" r="7620" b="1270"/>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PARTNERS LOGO azul - copia1.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9333" cy="355334"/>
                          </a:xfrm>
                          <a:prstGeom prst="rect">
                            <a:avLst/>
                          </a:prstGeom>
                        </pic:spPr>
                      </pic:pic>
                    </a:graphicData>
                  </a:graphic>
                </wp:inline>
              </w:drawing>
            </w:r>
          </w:p>
        </w:tc>
        <w:tc>
          <w:tcPr>
            <w:tcW w:w="3992" w:type="dxa"/>
            <w:shd w:val="clear" w:color="auto" w:fill="auto"/>
          </w:tcPr>
          <w:p w14:paraId="3CA9D189" w14:textId="4E1BB9FE" w:rsidR="00032BF8" w:rsidRPr="00C04B09" w:rsidRDefault="00032BF8" w:rsidP="00F44670">
            <w:pPr>
              <w:jc w:val="center"/>
              <w:rPr>
                <w:sz w:val="22"/>
                <w:szCs w:val="22"/>
                <w:lang w:val="en-US"/>
              </w:rPr>
            </w:pPr>
            <w:r w:rsidRPr="00B758A4">
              <w:rPr>
                <w:noProof/>
                <w:sz w:val="22"/>
                <w:szCs w:val="22"/>
                <w:lang w:val="es-AR" w:eastAsia="es-AR"/>
              </w:rPr>
              <w:drawing>
                <wp:inline distT="0" distB="0" distL="0" distR="0" wp14:anchorId="18BB2256" wp14:editId="1B9EC449">
                  <wp:extent cx="1083945" cy="433578"/>
                  <wp:effectExtent l="0" t="0" r="1905" b="5080"/>
                  <wp:docPr id="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9532" cy="443813"/>
                          </a:xfrm>
                          <a:prstGeom prst="rect">
                            <a:avLst/>
                          </a:prstGeom>
                        </pic:spPr>
                      </pic:pic>
                    </a:graphicData>
                  </a:graphic>
                </wp:inline>
              </w:drawing>
            </w:r>
          </w:p>
        </w:tc>
      </w:tr>
      <w:tr w:rsidR="00032BF8" w:rsidRPr="00C04B09" w14:paraId="30A51477" w14:textId="77777777" w:rsidTr="00C274DD">
        <w:trPr>
          <w:trHeight w:val="249"/>
          <w:jc w:val="center"/>
        </w:trPr>
        <w:tc>
          <w:tcPr>
            <w:tcW w:w="3992" w:type="dxa"/>
            <w:shd w:val="clear" w:color="auto" w:fill="auto"/>
          </w:tcPr>
          <w:p w14:paraId="30E12D78" w14:textId="77777777" w:rsidR="00032BF8" w:rsidRPr="00B758A4" w:rsidRDefault="00032BF8" w:rsidP="00F44670">
            <w:pPr>
              <w:jc w:val="center"/>
              <w:rPr>
                <w:sz w:val="22"/>
                <w:szCs w:val="22"/>
                <w:lang w:val="es-AR"/>
              </w:rPr>
            </w:pPr>
            <w:r w:rsidRPr="00B758A4">
              <w:rPr>
                <w:sz w:val="22"/>
                <w:szCs w:val="22"/>
                <w:lang w:val="es-AR"/>
              </w:rPr>
              <w:t>AR Partners S.A.</w:t>
            </w:r>
          </w:p>
          <w:p w14:paraId="464FC87E" w14:textId="5F72627F" w:rsidR="00C04B09" w:rsidRPr="00B758A4" w:rsidRDefault="00C04B09" w:rsidP="00C04B09">
            <w:pPr>
              <w:jc w:val="center"/>
              <w:rPr>
                <w:sz w:val="22"/>
                <w:szCs w:val="22"/>
                <w:lang w:val="es-AR"/>
              </w:rPr>
            </w:pPr>
            <w:r w:rsidRPr="00B758A4">
              <w:rPr>
                <w:sz w:val="22"/>
                <w:szCs w:val="22"/>
                <w:lang w:val="es-AR"/>
              </w:rPr>
              <w:t xml:space="preserve">Agente de Liquidación y </w:t>
            </w:r>
            <w:r>
              <w:rPr>
                <w:sz w:val="22"/>
                <w:szCs w:val="22"/>
                <w:lang w:val="es-AR"/>
              </w:rPr>
              <w:t>C</w:t>
            </w:r>
            <w:r w:rsidRPr="00B758A4">
              <w:rPr>
                <w:sz w:val="22"/>
                <w:szCs w:val="22"/>
                <w:lang w:val="es-AR"/>
              </w:rPr>
              <w:t xml:space="preserve">ompensación y </w:t>
            </w:r>
            <w:r>
              <w:rPr>
                <w:sz w:val="22"/>
                <w:szCs w:val="22"/>
                <w:lang w:val="es-AR"/>
              </w:rPr>
              <w:t>A</w:t>
            </w:r>
            <w:r w:rsidRPr="00B758A4">
              <w:rPr>
                <w:sz w:val="22"/>
                <w:szCs w:val="22"/>
                <w:lang w:val="es-AR"/>
              </w:rPr>
              <w:t xml:space="preserve">gente de Negociación Integral Número </w:t>
            </w:r>
            <w:r>
              <w:rPr>
                <w:sz w:val="22"/>
                <w:szCs w:val="22"/>
                <w:lang w:val="es-AR"/>
              </w:rPr>
              <w:t>d</w:t>
            </w:r>
            <w:r w:rsidRPr="00B758A4">
              <w:rPr>
                <w:sz w:val="22"/>
                <w:szCs w:val="22"/>
                <w:lang w:val="es-AR"/>
              </w:rPr>
              <w:t>e matrícula asignado 31 de la CNV</w:t>
            </w:r>
          </w:p>
          <w:p w14:paraId="5B2CBE41" w14:textId="612DAA0A" w:rsidR="00C04B09" w:rsidRPr="00B758A4" w:rsidRDefault="00C04B09" w:rsidP="00C04B09">
            <w:pPr>
              <w:jc w:val="center"/>
              <w:rPr>
                <w:sz w:val="22"/>
                <w:szCs w:val="22"/>
                <w:lang w:val="es-AR"/>
              </w:rPr>
            </w:pPr>
          </w:p>
        </w:tc>
        <w:tc>
          <w:tcPr>
            <w:tcW w:w="3992" w:type="dxa"/>
            <w:shd w:val="clear" w:color="auto" w:fill="auto"/>
          </w:tcPr>
          <w:p w14:paraId="0D3AB547" w14:textId="77777777" w:rsidR="00032BF8" w:rsidRPr="00B758A4" w:rsidRDefault="00032BF8" w:rsidP="00F44670">
            <w:pPr>
              <w:jc w:val="center"/>
              <w:rPr>
                <w:sz w:val="22"/>
                <w:szCs w:val="22"/>
                <w:lang w:val="es-AR"/>
              </w:rPr>
            </w:pPr>
            <w:r w:rsidRPr="00B758A4">
              <w:rPr>
                <w:sz w:val="22"/>
                <w:szCs w:val="22"/>
                <w:lang w:val="es-AR"/>
              </w:rPr>
              <w:t>Banco Supervielle S.A.</w:t>
            </w:r>
          </w:p>
          <w:p w14:paraId="3D55A110" w14:textId="57FA75DF" w:rsidR="00C04B09" w:rsidRPr="00DF46ED" w:rsidRDefault="00C04B09" w:rsidP="00C04B09">
            <w:pPr>
              <w:jc w:val="center"/>
              <w:rPr>
                <w:sz w:val="22"/>
                <w:szCs w:val="22"/>
                <w:lang w:val="es-AR"/>
              </w:rPr>
            </w:pPr>
            <w:r w:rsidRPr="00DF46ED">
              <w:rPr>
                <w:sz w:val="22"/>
                <w:szCs w:val="22"/>
                <w:lang w:val="es-AR"/>
              </w:rPr>
              <w:t xml:space="preserve">Agente de Liquidación y </w:t>
            </w:r>
            <w:r>
              <w:rPr>
                <w:sz w:val="22"/>
                <w:szCs w:val="22"/>
                <w:lang w:val="es-AR"/>
              </w:rPr>
              <w:t>C</w:t>
            </w:r>
            <w:r w:rsidRPr="00DF46ED">
              <w:rPr>
                <w:sz w:val="22"/>
                <w:szCs w:val="22"/>
                <w:lang w:val="es-AR"/>
              </w:rPr>
              <w:t xml:space="preserve">ompensación y </w:t>
            </w:r>
            <w:r>
              <w:rPr>
                <w:sz w:val="22"/>
                <w:szCs w:val="22"/>
                <w:lang w:val="es-AR"/>
              </w:rPr>
              <w:t>A</w:t>
            </w:r>
            <w:r w:rsidRPr="00DF46ED">
              <w:rPr>
                <w:sz w:val="22"/>
                <w:szCs w:val="22"/>
                <w:lang w:val="es-AR"/>
              </w:rPr>
              <w:t xml:space="preserve">gente de Negociación Integral Número </w:t>
            </w:r>
            <w:r>
              <w:rPr>
                <w:sz w:val="22"/>
                <w:szCs w:val="22"/>
                <w:lang w:val="es-AR"/>
              </w:rPr>
              <w:t>d</w:t>
            </w:r>
            <w:r w:rsidRPr="00DF46ED">
              <w:rPr>
                <w:sz w:val="22"/>
                <w:szCs w:val="22"/>
                <w:lang w:val="es-AR"/>
              </w:rPr>
              <w:t xml:space="preserve">e matrícula asignado </w:t>
            </w:r>
            <w:r>
              <w:rPr>
                <w:sz w:val="22"/>
                <w:szCs w:val="22"/>
                <w:lang w:val="es-AR"/>
              </w:rPr>
              <w:t>57</w:t>
            </w:r>
            <w:r w:rsidRPr="00DF46ED">
              <w:rPr>
                <w:sz w:val="22"/>
                <w:szCs w:val="22"/>
                <w:lang w:val="es-AR"/>
              </w:rPr>
              <w:t xml:space="preserve"> de la CNV</w:t>
            </w:r>
          </w:p>
          <w:p w14:paraId="5E8BB4D4" w14:textId="770DAFD3" w:rsidR="00C04B09" w:rsidRPr="00B758A4" w:rsidRDefault="00C04B09" w:rsidP="00C04B09">
            <w:pPr>
              <w:jc w:val="center"/>
              <w:rPr>
                <w:sz w:val="22"/>
                <w:szCs w:val="22"/>
                <w:lang w:val="es-AR"/>
              </w:rPr>
            </w:pPr>
          </w:p>
        </w:tc>
      </w:tr>
      <w:tr w:rsidR="00E94546" w:rsidRPr="00C04B09" w14:paraId="30DCF758" w14:textId="77777777" w:rsidTr="00C274DD">
        <w:trPr>
          <w:trHeight w:val="249"/>
          <w:jc w:val="center"/>
        </w:trPr>
        <w:tc>
          <w:tcPr>
            <w:tcW w:w="7984" w:type="dxa"/>
            <w:gridSpan w:val="2"/>
            <w:shd w:val="clear" w:color="auto" w:fill="auto"/>
          </w:tcPr>
          <w:p w14:paraId="6448F616" w14:textId="77777777" w:rsidR="00E94546" w:rsidRPr="00CB2389" w:rsidRDefault="00E94546" w:rsidP="00E94546">
            <w:pPr>
              <w:jc w:val="center"/>
              <w:rPr>
                <w:color w:val="0D0D0D" w:themeColor="text1" w:themeTint="F2"/>
                <w:sz w:val="18"/>
              </w:rPr>
            </w:pPr>
            <w:r w:rsidRPr="00CB2389">
              <w:rPr>
                <w:noProof/>
                <w:color w:val="0D0D0D" w:themeColor="text1" w:themeTint="F2"/>
                <w:sz w:val="18"/>
                <w:lang w:val="es-AR" w:eastAsia="es-AR"/>
              </w:rPr>
              <w:drawing>
                <wp:inline distT="0" distB="0" distL="0" distR="0" wp14:anchorId="436B4DE9" wp14:editId="0698B851">
                  <wp:extent cx="1445260" cy="372745"/>
                  <wp:effectExtent l="0" t="0" r="2540" b="8255"/>
                  <wp:docPr id="2" name="Imagen 2" descr="Logo Gal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alic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5260" cy="372745"/>
                          </a:xfrm>
                          <a:prstGeom prst="rect">
                            <a:avLst/>
                          </a:prstGeom>
                          <a:noFill/>
                          <a:ln>
                            <a:noFill/>
                          </a:ln>
                        </pic:spPr>
                      </pic:pic>
                    </a:graphicData>
                  </a:graphic>
                </wp:inline>
              </w:drawing>
            </w:r>
          </w:p>
          <w:p w14:paraId="6E671E09" w14:textId="65BFF290" w:rsidR="00E94546" w:rsidRPr="00C274DD" w:rsidRDefault="00E94546" w:rsidP="00E94546">
            <w:pPr>
              <w:ind w:left="-108"/>
              <w:jc w:val="center"/>
              <w:rPr>
                <w:color w:val="0D0D0D" w:themeColor="text1" w:themeTint="F2"/>
                <w:sz w:val="22"/>
                <w:szCs w:val="22"/>
              </w:rPr>
            </w:pPr>
            <w:r w:rsidRPr="00C274DD">
              <w:rPr>
                <w:color w:val="0D0D0D" w:themeColor="text1" w:themeTint="F2"/>
                <w:sz w:val="22"/>
                <w:szCs w:val="22"/>
              </w:rPr>
              <w:t>Banco de Galicia y Buenos Aires S.A.U.</w:t>
            </w:r>
          </w:p>
          <w:p w14:paraId="04F84492" w14:textId="77777777" w:rsidR="00E94546" w:rsidRPr="00C274DD" w:rsidRDefault="00E94546" w:rsidP="00E94546">
            <w:pPr>
              <w:ind w:left="-108"/>
              <w:jc w:val="center"/>
              <w:rPr>
                <w:color w:val="0D0D0D" w:themeColor="text1" w:themeTint="F2"/>
                <w:sz w:val="22"/>
                <w:szCs w:val="22"/>
              </w:rPr>
            </w:pPr>
            <w:r w:rsidRPr="00C274DD">
              <w:rPr>
                <w:color w:val="0D0D0D" w:themeColor="text1" w:themeTint="F2"/>
                <w:sz w:val="22"/>
                <w:szCs w:val="22"/>
              </w:rPr>
              <w:t>Agente de Liquidación y Compensación y Agente de Negociación Integral Número de matrícula asignado 22 de la CNV</w:t>
            </w:r>
          </w:p>
          <w:p w14:paraId="3D318C37" w14:textId="77777777" w:rsidR="00E94546" w:rsidRPr="00C274DD" w:rsidRDefault="00E94546" w:rsidP="00F44670">
            <w:pPr>
              <w:jc w:val="center"/>
              <w:rPr>
                <w:sz w:val="22"/>
                <w:szCs w:val="22"/>
              </w:rPr>
            </w:pPr>
          </w:p>
        </w:tc>
      </w:tr>
    </w:tbl>
    <w:p w14:paraId="7BB043C7" w14:textId="77777777" w:rsidR="00032BF8" w:rsidRPr="00B758A4" w:rsidRDefault="00032BF8" w:rsidP="00F44670">
      <w:pPr>
        <w:jc w:val="center"/>
        <w:rPr>
          <w:sz w:val="22"/>
          <w:szCs w:val="22"/>
          <w:lang w:val="es-AR"/>
        </w:rPr>
      </w:pPr>
    </w:p>
    <w:p w14:paraId="580862CB" w14:textId="77777777" w:rsidR="005B4D4A" w:rsidRPr="00B758A4" w:rsidRDefault="005B4D4A" w:rsidP="005B4D4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 w:val="22"/>
          <w:szCs w:val="22"/>
          <w:lang w:val="es-AR"/>
        </w:rPr>
      </w:pPr>
    </w:p>
    <w:p w14:paraId="54C2DF5C" w14:textId="77777777" w:rsidR="00F70088" w:rsidRDefault="00F70088" w:rsidP="005B4D4A">
      <w:pPr>
        <w:pStyle w:val="Piedepgina"/>
        <w:jc w:val="center"/>
        <w:rPr>
          <w:b/>
          <w:bCs/>
          <w:sz w:val="22"/>
          <w:szCs w:val="22"/>
          <w:lang w:val="es-ES"/>
        </w:rPr>
      </w:pPr>
      <w:r w:rsidRPr="00F44670">
        <w:rPr>
          <w:b/>
          <w:bCs/>
          <w:sz w:val="22"/>
          <w:szCs w:val="22"/>
          <w:lang w:val="es-ES"/>
        </w:rPr>
        <w:t>COLOCADORES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5"/>
        <w:gridCol w:w="3389"/>
      </w:tblGrid>
      <w:tr w:rsidR="00E94546" w14:paraId="498D8D1D" w14:textId="77777777" w:rsidTr="00C274DD">
        <w:tc>
          <w:tcPr>
            <w:tcW w:w="3034" w:type="dxa"/>
          </w:tcPr>
          <w:p w14:paraId="1EBAB184" w14:textId="77777777" w:rsidR="00E94546" w:rsidRPr="00B758A4" w:rsidRDefault="00E94546" w:rsidP="00E94546">
            <w:pPr>
              <w:jc w:val="center"/>
              <w:rPr>
                <w:sz w:val="14"/>
                <w:szCs w:val="14"/>
                <w:lang w:val="en-US"/>
              </w:rPr>
            </w:pPr>
          </w:p>
          <w:p w14:paraId="65DD7609" w14:textId="7B38D5FD" w:rsidR="00E94546" w:rsidRDefault="00E94546" w:rsidP="00E94546">
            <w:pPr>
              <w:pStyle w:val="Piedepgina"/>
              <w:jc w:val="center"/>
              <w:rPr>
                <w:b/>
                <w:bCs/>
                <w:sz w:val="22"/>
                <w:szCs w:val="22"/>
                <w:lang w:val="es-ES"/>
              </w:rPr>
            </w:pPr>
            <w:r w:rsidRPr="00B758A4">
              <w:rPr>
                <w:noProof/>
                <w:sz w:val="22"/>
                <w:szCs w:val="22"/>
                <w:lang w:val="es-AR" w:eastAsia="es-AR"/>
              </w:rPr>
              <w:drawing>
                <wp:inline distT="0" distB="0" distL="0" distR="0" wp14:anchorId="4E763E39" wp14:editId="293DFF87">
                  <wp:extent cx="1268897" cy="341750"/>
                  <wp:effectExtent l="0" t="0" r="7620" b="1270"/>
                  <wp:docPr id="4"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PARTNERS LOGO azul - copia1.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9333" cy="355334"/>
                          </a:xfrm>
                          <a:prstGeom prst="rect">
                            <a:avLst/>
                          </a:prstGeom>
                        </pic:spPr>
                      </pic:pic>
                    </a:graphicData>
                  </a:graphic>
                </wp:inline>
              </w:drawing>
            </w:r>
          </w:p>
        </w:tc>
        <w:tc>
          <w:tcPr>
            <w:tcW w:w="3035" w:type="dxa"/>
          </w:tcPr>
          <w:p w14:paraId="7C06221D" w14:textId="0FE8614F" w:rsidR="00E94546" w:rsidRDefault="00E94546" w:rsidP="00E94546">
            <w:pPr>
              <w:pStyle w:val="Piedepgina"/>
              <w:jc w:val="center"/>
              <w:rPr>
                <w:b/>
                <w:bCs/>
                <w:sz w:val="22"/>
                <w:szCs w:val="22"/>
                <w:lang w:val="es-ES"/>
              </w:rPr>
            </w:pPr>
            <w:r w:rsidRPr="00B758A4">
              <w:rPr>
                <w:noProof/>
                <w:sz w:val="22"/>
                <w:szCs w:val="22"/>
                <w:lang w:val="es-AR" w:eastAsia="es-AR"/>
              </w:rPr>
              <w:drawing>
                <wp:inline distT="0" distB="0" distL="0" distR="0" wp14:anchorId="60E9CB38" wp14:editId="0426140A">
                  <wp:extent cx="1083945" cy="433578"/>
                  <wp:effectExtent l="0" t="0" r="1905" b="5080"/>
                  <wp:docPr id="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9532" cy="443813"/>
                          </a:xfrm>
                          <a:prstGeom prst="rect">
                            <a:avLst/>
                          </a:prstGeom>
                        </pic:spPr>
                      </pic:pic>
                    </a:graphicData>
                  </a:graphic>
                </wp:inline>
              </w:drawing>
            </w:r>
          </w:p>
        </w:tc>
        <w:tc>
          <w:tcPr>
            <w:tcW w:w="3389" w:type="dxa"/>
          </w:tcPr>
          <w:p w14:paraId="1257B37D" w14:textId="4AC940C4" w:rsidR="00E94546" w:rsidRDefault="00E94546" w:rsidP="00E94546">
            <w:pPr>
              <w:pStyle w:val="Piedepgina"/>
              <w:jc w:val="center"/>
              <w:rPr>
                <w:b/>
                <w:bCs/>
                <w:sz w:val="22"/>
                <w:szCs w:val="22"/>
                <w:lang w:val="es-ES"/>
              </w:rPr>
            </w:pPr>
            <w:r w:rsidRPr="00CB2389">
              <w:rPr>
                <w:noProof/>
                <w:color w:val="0D0D0D" w:themeColor="text1" w:themeTint="F2"/>
                <w:sz w:val="18"/>
                <w:lang w:val="es-AR" w:eastAsia="es-AR"/>
              </w:rPr>
              <w:drawing>
                <wp:inline distT="0" distB="0" distL="0" distR="0" wp14:anchorId="25C66A6F" wp14:editId="47EDE5E3">
                  <wp:extent cx="1445260" cy="372745"/>
                  <wp:effectExtent l="0" t="0" r="2540" b="8255"/>
                  <wp:docPr id="7" name="Imagen 7" descr="Logo Gal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alic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5260" cy="372745"/>
                          </a:xfrm>
                          <a:prstGeom prst="rect">
                            <a:avLst/>
                          </a:prstGeom>
                          <a:noFill/>
                          <a:ln>
                            <a:noFill/>
                          </a:ln>
                        </pic:spPr>
                      </pic:pic>
                    </a:graphicData>
                  </a:graphic>
                </wp:inline>
              </w:drawing>
            </w:r>
          </w:p>
        </w:tc>
      </w:tr>
      <w:tr w:rsidR="00E94546" w14:paraId="13E4AE90" w14:textId="77777777" w:rsidTr="00C274DD">
        <w:tc>
          <w:tcPr>
            <w:tcW w:w="3034" w:type="dxa"/>
          </w:tcPr>
          <w:p w14:paraId="4A80AA52" w14:textId="77777777" w:rsidR="00E94546" w:rsidRPr="00B758A4" w:rsidRDefault="00E94546" w:rsidP="00E94546">
            <w:pPr>
              <w:jc w:val="center"/>
              <w:rPr>
                <w:sz w:val="22"/>
                <w:szCs w:val="22"/>
                <w:lang w:val="es-AR"/>
              </w:rPr>
            </w:pPr>
            <w:r w:rsidRPr="00B758A4">
              <w:rPr>
                <w:sz w:val="22"/>
                <w:szCs w:val="22"/>
                <w:lang w:val="es-AR"/>
              </w:rPr>
              <w:t>AR Partners S.A.</w:t>
            </w:r>
          </w:p>
          <w:p w14:paraId="4512E22E" w14:textId="77777777" w:rsidR="00E94546" w:rsidRPr="00B758A4" w:rsidRDefault="00E94546" w:rsidP="00E94546">
            <w:pPr>
              <w:jc w:val="center"/>
              <w:rPr>
                <w:sz w:val="22"/>
                <w:szCs w:val="22"/>
                <w:lang w:val="es-AR"/>
              </w:rPr>
            </w:pPr>
            <w:r w:rsidRPr="00B758A4">
              <w:rPr>
                <w:sz w:val="22"/>
                <w:szCs w:val="22"/>
                <w:lang w:val="es-AR"/>
              </w:rPr>
              <w:t xml:space="preserve">Agente de Liquidación y </w:t>
            </w:r>
            <w:r>
              <w:rPr>
                <w:sz w:val="22"/>
                <w:szCs w:val="22"/>
                <w:lang w:val="es-AR"/>
              </w:rPr>
              <w:t>C</w:t>
            </w:r>
            <w:r w:rsidRPr="00B758A4">
              <w:rPr>
                <w:sz w:val="22"/>
                <w:szCs w:val="22"/>
                <w:lang w:val="es-AR"/>
              </w:rPr>
              <w:t xml:space="preserve">ompensación y </w:t>
            </w:r>
            <w:r>
              <w:rPr>
                <w:sz w:val="22"/>
                <w:szCs w:val="22"/>
                <w:lang w:val="es-AR"/>
              </w:rPr>
              <w:t>A</w:t>
            </w:r>
            <w:r w:rsidRPr="00B758A4">
              <w:rPr>
                <w:sz w:val="22"/>
                <w:szCs w:val="22"/>
                <w:lang w:val="es-AR"/>
              </w:rPr>
              <w:t xml:space="preserve">gente de Negociación Integral Número </w:t>
            </w:r>
            <w:r>
              <w:rPr>
                <w:sz w:val="22"/>
                <w:szCs w:val="22"/>
                <w:lang w:val="es-AR"/>
              </w:rPr>
              <w:t>d</w:t>
            </w:r>
            <w:r w:rsidRPr="00B758A4">
              <w:rPr>
                <w:sz w:val="22"/>
                <w:szCs w:val="22"/>
                <w:lang w:val="es-AR"/>
              </w:rPr>
              <w:t>e matrícula asignado 31 de la CNV</w:t>
            </w:r>
          </w:p>
          <w:p w14:paraId="49D9171D" w14:textId="77777777" w:rsidR="004F6E04" w:rsidRPr="004F6E04" w:rsidRDefault="004F6E04" w:rsidP="00F2691D">
            <w:pPr>
              <w:jc w:val="center"/>
              <w:rPr>
                <w:sz w:val="22"/>
                <w:szCs w:val="22"/>
                <w:lang w:val="es-AR" w:eastAsia="en-US"/>
              </w:rPr>
            </w:pPr>
            <w:r w:rsidRPr="00F2691D">
              <w:rPr>
                <w:sz w:val="22"/>
                <w:szCs w:val="22"/>
                <w:lang w:eastAsia="en-US"/>
              </w:rPr>
              <w:t>Arenales 707, Piso 6, CABA</w:t>
            </w:r>
          </w:p>
          <w:p w14:paraId="28589817" w14:textId="77777777" w:rsidR="004F6E04" w:rsidRPr="00F2691D" w:rsidRDefault="004F6E04" w:rsidP="00F2691D">
            <w:pPr>
              <w:jc w:val="center"/>
              <w:rPr>
                <w:sz w:val="22"/>
                <w:szCs w:val="22"/>
                <w:lang w:eastAsia="en-US"/>
              </w:rPr>
            </w:pPr>
            <w:r w:rsidRPr="00F2691D">
              <w:rPr>
                <w:sz w:val="22"/>
                <w:szCs w:val="22"/>
                <w:lang w:eastAsia="en-US"/>
              </w:rPr>
              <w:t>Teléfono: 4850-2500</w:t>
            </w:r>
          </w:p>
          <w:p w14:paraId="566B6F0B" w14:textId="43D47AE0" w:rsidR="00E94546" w:rsidRDefault="00E94546" w:rsidP="00E94546">
            <w:pPr>
              <w:pStyle w:val="Piedepgina"/>
              <w:jc w:val="center"/>
              <w:rPr>
                <w:b/>
                <w:bCs/>
                <w:sz w:val="22"/>
                <w:szCs w:val="22"/>
                <w:lang w:val="es-ES"/>
              </w:rPr>
            </w:pPr>
          </w:p>
        </w:tc>
        <w:tc>
          <w:tcPr>
            <w:tcW w:w="3035" w:type="dxa"/>
          </w:tcPr>
          <w:p w14:paraId="43DB7E4D" w14:textId="77777777" w:rsidR="00E94546" w:rsidRPr="00B758A4" w:rsidRDefault="00E94546" w:rsidP="00E94546">
            <w:pPr>
              <w:jc w:val="center"/>
              <w:rPr>
                <w:sz w:val="22"/>
                <w:szCs w:val="22"/>
                <w:lang w:val="es-AR"/>
              </w:rPr>
            </w:pPr>
            <w:r w:rsidRPr="00B758A4">
              <w:rPr>
                <w:sz w:val="22"/>
                <w:szCs w:val="22"/>
                <w:lang w:val="es-AR"/>
              </w:rPr>
              <w:t>Banco Supervielle S.A.</w:t>
            </w:r>
          </w:p>
          <w:p w14:paraId="5689326D" w14:textId="77777777" w:rsidR="00E94546" w:rsidRPr="00DF46ED" w:rsidRDefault="00E94546" w:rsidP="00E94546">
            <w:pPr>
              <w:jc w:val="center"/>
              <w:rPr>
                <w:sz w:val="22"/>
                <w:szCs w:val="22"/>
                <w:lang w:val="es-AR"/>
              </w:rPr>
            </w:pPr>
            <w:r w:rsidRPr="00DF46ED">
              <w:rPr>
                <w:sz w:val="22"/>
                <w:szCs w:val="22"/>
                <w:lang w:val="es-AR"/>
              </w:rPr>
              <w:t xml:space="preserve">Agente de Liquidación y </w:t>
            </w:r>
            <w:r>
              <w:rPr>
                <w:sz w:val="22"/>
                <w:szCs w:val="22"/>
                <w:lang w:val="es-AR"/>
              </w:rPr>
              <w:t>C</w:t>
            </w:r>
            <w:r w:rsidRPr="00DF46ED">
              <w:rPr>
                <w:sz w:val="22"/>
                <w:szCs w:val="22"/>
                <w:lang w:val="es-AR"/>
              </w:rPr>
              <w:t xml:space="preserve">ompensación y </w:t>
            </w:r>
            <w:r>
              <w:rPr>
                <w:sz w:val="22"/>
                <w:szCs w:val="22"/>
                <w:lang w:val="es-AR"/>
              </w:rPr>
              <w:t>A</w:t>
            </w:r>
            <w:r w:rsidRPr="00DF46ED">
              <w:rPr>
                <w:sz w:val="22"/>
                <w:szCs w:val="22"/>
                <w:lang w:val="es-AR"/>
              </w:rPr>
              <w:t xml:space="preserve">gente de Negociación Integral Número </w:t>
            </w:r>
            <w:r>
              <w:rPr>
                <w:sz w:val="22"/>
                <w:szCs w:val="22"/>
                <w:lang w:val="es-AR"/>
              </w:rPr>
              <w:t>d</w:t>
            </w:r>
            <w:r w:rsidRPr="00DF46ED">
              <w:rPr>
                <w:sz w:val="22"/>
                <w:szCs w:val="22"/>
                <w:lang w:val="es-AR"/>
              </w:rPr>
              <w:t xml:space="preserve">e matrícula asignado </w:t>
            </w:r>
            <w:r>
              <w:rPr>
                <w:sz w:val="22"/>
                <w:szCs w:val="22"/>
                <w:lang w:val="es-AR"/>
              </w:rPr>
              <w:t>57</w:t>
            </w:r>
            <w:r w:rsidRPr="00DF46ED">
              <w:rPr>
                <w:sz w:val="22"/>
                <w:szCs w:val="22"/>
                <w:lang w:val="es-AR"/>
              </w:rPr>
              <w:t xml:space="preserve"> de la CNV</w:t>
            </w:r>
          </w:p>
          <w:p w14:paraId="7B3EDEF4" w14:textId="22A01541" w:rsidR="004F6E04" w:rsidRPr="00F2691D" w:rsidRDefault="004F6E04" w:rsidP="00F2691D">
            <w:pPr>
              <w:jc w:val="center"/>
              <w:rPr>
                <w:sz w:val="20"/>
                <w:szCs w:val="22"/>
                <w:lang w:val="es-AR" w:eastAsia="en-US"/>
              </w:rPr>
            </w:pPr>
            <w:r w:rsidRPr="00F2691D">
              <w:rPr>
                <w:sz w:val="22"/>
                <w:lang w:eastAsia="en-US"/>
              </w:rPr>
              <w:t>Bartolomé Mitre 434 Piso 5  – CABA</w:t>
            </w:r>
          </w:p>
          <w:p w14:paraId="35FC1DE5" w14:textId="3CFD5424" w:rsidR="004F6E04" w:rsidRPr="00F2691D" w:rsidRDefault="004F6E04" w:rsidP="00F2691D">
            <w:pPr>
              <w:jc w:val="center"/>
              <w:rPr>
                <w:sz w:val="22"/>
                <w:lang w:eastAsia="en-US"/>
              </w:rPr>
            </w:pPr>
            <w:r w:rsidRPr="00F2691D">
              <w:rPr>
                <w:sz w:val="22"/>
                <w:lang w:eastAsia="en-US"/>
              </w:rPr>
              <w:t>Teléfono: 4324-8265/4342-8312</w:t>
            </w:r>
          </w:p>
          <w:p w14:paraId="728FED35" w14:textId="497AC54E" w:rsidR="00E94546" w:rsidRDefault="00E94546" w:rsidP="00E94546">
            <w:pPr>
              <w:pStyle w:val="Piedepgina"/>
              <w:jc w:val="center"/>
              <w:rPr>
                <w:b/>
                <w:bCs/>
                <w:sz w:val="22"/>
                <w:szCs w:val="22"/>
                <w:lang w:val="es-ES"/>
              </w:rPr>
            </w:pPr>
          </w:p>
        </w:tc>
        <w:tc>
          <w:tcPr>
            <w:tcW w:w="3389" w:type="dxa"/>
          </w:tcPr>
          <w:p w14:paraId="6F6D1816" w14:textId="77777777" w:rsidR="00E94546" w:rsidRPr="00C03332" w:rsidRDefault="00E94546" w:rsidP="00E94546">
            <w:pPr>
              <w:ind w:left="-108"/>
              <w:jc w:val="center"/>
              <w:rPr>
                <w:color w:val="0D0D0D" w:themeColor="text1" w:themeTint="F2"/>
                <w:sz w:val="22"/>
                <w:szCs w:val="22"/>
              </w:rPr>
            </w:pPr>
            <w:r w:rsidRPr="00C03332">
              <w:rPr>
                <w:color w:val="0D0D0D" w:themeColor="text1" w:themeTint="F2"/>
                <w:sz w:val="22"/>
                <w:szCs w:val="22"/>
              </w:rPr>
              <w:t>Banco de Galicia y Buenos Aires S.A.U.</w:t>
            </w:r>
          </w:p>
          <w:p w14:paraId="474200D3" w14:textId="77777777" w:rsidR="00E94546" w:rsidRPr="00C03332" w:rsidRDefault="00E94546" w:rsidP="00E94546">
            <w:pPr>
              <w:ind w:left="-108"/>
              <w:jc w:val="center"/>
              <w:rPr>
                <w:color w:val="0D0D0D" w:themeColor="text1" w:themeTint="F2"/>
                <w:sz w:val="22"/>
                <w:szCs w:val="22"/>
              </w:rPr>
            </w:pPr>
            <w:r w:rsidRPr="00C03332">
              <w:rPr>
                <w:color w:val="0D0D0D" w:themeColor="text1" w:themeTint="F2"/>
                <w:sz w:val="22"/>
                <w:szCs w:val="22"/>
              </w:rPr>
              <w:t>Agente de Liquidación y Compensación y Agente de Negociación Integral Número de matrícula asignado 22 de la CNV</w:t>
            </w:r>
          </w:p>
          <w:p w14:paraId="06BC529B" w14:textId="39E1B3B4" w:rsidR="004F6E04" w:rsidRPr="00F2691D" w:rsidRDefault="004F6E04" w:rsidP="00F2691D">
            <w:pPr>
              <w:jc w:val="center"/>
              <w:rPr>
                <w:sz w:val="22"/>
                <w:szCs w:val="22"/>
              </w:rPr>
            </w:pPr>
            <w:r w:rsidRPr="00F2691D">
              <w:rPr>
                <w:sz w:val="22"/>
                <w:szCs w:val="22"/>
              </w:rPr>
              <w:t>Tte. Gral. Juan. D. Perón 430, CABA.</w:t>
            </w:r>
          </w:p>
          <w:p w14:paraId="01B9AE33" w14:textId="6B57F82D" w:rsidR="004F6E04" w:rsidRPr="00F2691D" w:rsidRDefault="004F6E04" w:rsidP="00F2691D">
            <w:pPr>
              <w:jc w:val="center"/>
              <w:rPr>
                <w:color w:val="1F497D"/>
                <w:sz w:val="22"/>
                <w:szCs w:val="22"/>
                <w:lang w:eastAsia="en-US"/>
              </w:rPr>
            </w:pPr>
            <w:r w:rsidRPr="00F2691D">
              <w:rPr>
                <w:sz w:val="22"/>
                <w:szCs w:val="22"/>
              </w:rPr>
              <w:t>Teléfono: 6329-0000</w:t>
            </w:r>
          </w:p>
          <w:p w14:paraId="168BFFE5" w14:textId="05F02AB0" w:rsidR="00E94546" w:rsidRDefault="00E94546" w:rsidP="00E94546">
            <w:pPr>
              <w:pStyle w:val="Piedepgina"/>
              <w:jc w:val="center"/>
              <w:rPr>
                <w:b/>
                <w:bCs/>
                <w:sz w:val="22"/>
                <w:szCs w:val="22"/>
                <w:lang w:val="es-ES"/>
              </w:rPr>
            </w:pPr>
          </w:p>
        </w:tc>
      </w:tr>
      <w:tr w:rsidR="001731A2" w14:paraId="34821B8A" w14:textId="77777777" w:rsidTr="00C274DD">
        <w:tc>
          <w:tcPr>
            <w:tcW w:w="3034" w:type="dxa"/>
          </w:tcPr>
          <w:p w14:paraId="18177B39" w14:textId="77777777" w:rsidR="001731A2" w:rsidRPr="00B758A4" w:rsidRDefault="001731A2" w:rsidP="00E94546">
            <w:pPr>
              <w:jc w:val="center"/>
              <w:rPr>
                <w:sz w:val="22"/>
                <w:szCs w:val="22"/>
                <w:lang w:val="es-AR"/>
              </w:rPr>
            </w:pPr>
          </w:p>
        </w:tc>
        <w:tc>
          <w:tcPr>
            <w:tcW w:w="3035" w:type="dxa"/>
          </w:tcPr>
          <w:p w14:paraId="57DEE7DD" w14:textId="77777777" w:rsidR="001731A2" w:rsidRPr="00B758A4" w:rsidRDefault="001731A2" w:rsidP="00E94546">
            <w:pPr>
              <w:jc w:val="center"/>
              <w:rPr>
                <w:sz w:val="22"/>
                <w:szCs w:val="22"/>
                <w:lang w:val="es-AR"/>
              </w:rPr>
            </w:pPr>
          </w:p>
        </w:tc>
        <w:tc>
          <w:tcPr>
            <w:tcW w:w="3389" w:type="dxa"/>
          </w:tcPr>
          <w:p w14:paraId="1D71DEEE" w14:textId="77777777" w:rsidR="001731A2" w:rsidRPr="00C03332" w:rsidRDefault="001731A2" w:rsidP="00E94546">
            <w:pPr>
              <w:ind w:left="-108"/>
              <w:jc w:val="center"/>
              <w:rPr>
                <w:color w:val="0D0D0D" w:themeColor="text1" w:themeTint="F2"/>
                <w:sz w:val="22"/>
                <w:szCs w:val="22"/>
              </w:rPr>
            </w:pPr>
          </w:p>
        </w:tc>
      </w:tr>
      <w:tr w:rsidR="00E94546" w14:paraId="34D23B4B" w14:textId="77777777" w:rsidTr="00C274DD">
        <w:tc>
          <w:tcPr>
            <w:tcW w:w="3034" w:type="dxa"/>
          </w:tcPr>
          <w:p w14:paraId="6CA877F8" w14:textId="656724BC" w:rsidR="00E94546" w:rsidRPr="00B758A4" w:rsidRDefault="00E94546" w:rsidP="00E94546">
            <w:pPr>
              <w:jc w:val="center"/>
              <w:rPr>
                <w:sz w:val="22"/>
                <w:szCs w:val="22"/>
                <w:lang w:val="es-AR"/>
              </w:rPr>
            </w:pPr>
            <w:r w:rsidRPr="00E94546">
              <w:rPr>
                <w:noProof/>
                <w:sz w:val="22"/>
                <w:szCs w:val="22"/>
                <w:lang w:val="es-AR" w:eastAsia="es-AR"/>
              </w:rPr>
              <w:drawing>
                <wp:inline distT="0" distB="0" distL="0" distR="0" wp14:anchorId="40F93FD3" wp14:editId="35126156">
                  <wp:extent cx="1473078" cy="545287"/>
                  <wp:effectExtent l="0" t="0" r="0" b="7620"/>
                  <wp:docPr id="17" name="Imagen 16" descr="Nuevo logo Cohen">
                    <a:extLst xmlns:a="http://schemas.openxmlformats.org/drawingml/2006/main">
                      <a:ext uri="{FF2B5EF4-FFF2-40B4-BE49-F238E27FC236}">
                        <a16:creationId xmlns:a16="http://schemas.microsoft.com/office/drawing/2014/main" id="{D42095D8-FC1B-445B-8D11-E74DE8BA4593}"/>
                      </a:ext>
                    </a:extLst>
                  </wp:docPr>
                  <wp:cNvGraphicFramePr/>
                  <a:graphic xmlns:a="http://schemas.openxmlformats.org/drawingml/2006/main">
                    <a:graphicData uri="http://schemas.openxmlformats.org/drawingml/2006/picture">
                      <pic:pic xmlns:pic="http://schemas.openxmlformats.org/drawingml/2006/picture">
                        <pic:nvPicPr>
                          <pic:cNvPr id="17" name="Imagen 16" descr="Nuevo logo Cohen">
                            <a:extLst>
                              <a:ext uri="{FF2B5EF4-FFF2-40B4-BE49-F238E27FC236}">
                                <a16:creationId xmlns:a16="http://schemas.microsoft.com/office/drawing/2014/main" id="{D42095D8-FC1B-445B-8D11-E74DE8BA4593}"/>
                              </a:ext>
                            </a:extLst>
                          </pic:cNvPr>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3078" cy="545287"/>
                          </a:xfrm>
                          <a:prstGeom prst="rect">
                            <a:avLst/>
                          </a:prstGeom>
                          <a:noFill/>
                          <a:ln>
                            <a:noFill/>
                          </a:ln>
                        </pic:spPr>
                      </pic:pic>
                    </a:graphicData>
                  </a:graphic>
                </wp:inline>
              </w:drawing>
            </w:r>
          </w:p>
        </w:tc>
        <w:tc>
          <w:tcPr>
            <w:tcW w:w="3035" w:type="dxa"/>
          </w:tcPr>
          <w:p w14:paraId="160F697F" w14:textId="47D74167" w:rsidR="00E94546" w:rsidRPr="00B758A4" w:rsidRDefault="00E94546" w:rsidP="00E94546">
            <w:pPr>
              <w:jc w:val="center"/>
              <w:rPr>
                <w:sz w:val="22"/>
                <w:szCs w:val="22"/>
                <w:lang w:val="es-AR"/>
              </w:rPr>
            </w:pPr>
            <w:r w:rsidRPr="00E94546">
              <w:rPr>
                <w:noProof/>
                <w:sz w:val="22"/>
                <w:szCs w:val="22"/>
                <w:lang w:val="es-AR" w:eastAsia="es-AR"/>
              </w:rPr>
              <w:drawing>
                <wp:inline distT="0" distB="0" distL="0" distR="0" wp14:anchorId="27F4F552" wp14:editId="7B7409A7">
                  <wp:extent cx="1471113" cy="422823"/>
                  <wp:effectExtent l="0" t="0" r="0" b="0"/>
                  <wp:docPr id="14" name="Imagen 13">
                    <a:extLst xmlns:a="http://schemas.openxmlformats.org/drawingml/2006/main">
                      <a:ext uri="{FF2B5EF4-FFF2-40B4-BE49-F238E27FC236}">
                        <a16:creationId xmlns:a16="http://schemas.microsoft.com/office/drawing/2014/main" id="{73CDACCC-1906-4ED0-B4AE-9CEC5E9674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a:extLst>
                              <a:ext uri="{FF2B5EF4-FFF2-40B4-BE49-F238E27FC236}">
                                <a16:creationId xmlns:a16="http://schemas.microsoft.com/office/drawing/2014/main" id="{73CDACCC-1906-4ED0-B4AE-9CEC5E967427}"/>
                              </a:ext>
                            </a:extLst>
                          </pic:cNvPr>
                          <pic:cNvPicPr>
                            <a:picLocks noChangeAspect="1"/>
                          </pic:cNvPicPr>
                        </pic:nvPicPr>
                        <pic:blipFill rotWithShape="1">
                          <a:blip r:embed="rId24"/>
                          <a:srcRect r="21969" b="42603"/>
                          <a:stretch/>
                        </pic:blipFill>
                        <pic:spPr>
                          <a:xfrm>
                            <a:off x="0" y="0"/>
                            <a:ext cx="1471113" cy="422823"/>
                          </a:xfrm>
                          <a:prstGeom prst="rect">
                            <a:avLst/>
                          </a:prstGeom>
                        </pic:spPr>
                      </pic:pic>
                    </a:graphicData>
                  </a:graphic>
                </wp:inline>
              </w:drawing>
            </w:r>
          </w:p>
        </w:tc>
        <w:tc>
          <w:tcPr>
            <w:tcW w:w="3389" w:type="dxa"/>
          </w:tcPr>
          <w:p w14:paraId="684EDF1D" w14:textId="590B8BCF" w:rsidR="00E94546" w:rsidRPr="00C03332" w:rsidRDefault="00E94546" w:rsidP="00E94546">
            <w:pPr>
              <w:ind w:left="-108"/>
              <w:jc w:val="center"/>
              <w:rPr>
                <w:color w:val="0D0D0D" w:themeColor="text1" w:themeTint="F2"/>
                <w:sz w:val="22"/>
                <w:szCs w:val="22"/>
              </w:rPr>
            </w:pPr>
            <w:r w:rsidRPr="00E94546">
              <w:rPr>
                <w:noProof/>
                <w:color w:val="0D0D0D" w:themeColor="text1" w:themeTint="F2"/>
                <w:sz w:val="22"/>
                <w:szCs w:val="22"/>
                <w:lang w:val="es-AR" w:eastAsia="es-AR"/>
              </w:rPr>
              <w:drawing>
                <wp:inline distT="0" distB="0" distL="0" distR="0" wp14:anchorId="2AFF7CE9" wp14:editId="2667C206">
                  <wp:extent cx="2083420" cy="533400"/>
                  <wp:effectExtent l="0" t="0" r="0" b="0"/>
                  <wp:docPr id="15" name="Imagen 14">
                    <a:extLst xmlns:a="http://schemas.openxmlformats.org/drawingml/2006/main">
                      <a:ext uri="{FF2B5EF4-FFF2-40B4-BE49-F238E27FC236}">
                        <a16:creationId xmlns:a16="http://schemas.microsoft.com/office/drawing/2014/main" id="{74FADC0D-4637-4D55-976A-A7BE77AC7A99}"/>
                      </a:ext>
                    </a:extLst>
                  </wp:docPr>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74FADC0D-4637-4D55-976A-A7BE77AC7A99}"/>
                              </a:ext>
                            </a:extLst>
                          </pic:cNvPr>
                          <pic:cNvPicPr/>
                        </pic:nvPicPr>
                        <pic:blipFill rotWithShape="1">
                          <a:blip r:embed="rId25">
                            <a:extLst>
                              <a:ext uri="{28A0092B-C50C-407E-A947-70E740481C1C}">
                                <a14:useLocalDpi xmlns:a14="http://schemas.microsoft.com/office/drawing/2010/main" val="0"/>
                              </a:ext>
                            </a:extLst>
                          </a:blip>
                          <a:srcRect l="729" t="9815" r="87709" b="85000"/>
                          <a:stretch/>
                        </pic:blipFill>
                        <pic:spPr bwMode="auto">
                          <a:xfrm>
                            <a:off x="0" y="0"/>
                            <a:ext cx="2083420" cy="533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94546" w:rsidRPr="001731A2" w14:paraId="33D52BD5" w14:textId="77777777" w:rsidTr="00C274DD">
        <w:tc>
          <w:tcPr>
            <w:tcW w:w="3034" w:type="dxa"/>
          </w:tcPr>
          <w:p w14:paraId="31EC8DA7" w14:textId="77777777" w:rsidR="00E94546" w:rsidRDefault="00E94546" w:rsidP="00E94546">
            <w:pPr>
              <w:jc w:val="center"/>
              <w:rPr>
                <w:sz w:val="22"/>
                <w:szCs w:val="22"/>
                <w:lang w:val="es-AR"/>
              </w:rPr>
            </w:pPr>
            <w:r>
              <w:rPr>
                <w:sz w:val="22"/>
                <w:szCs w:val="22"/>
                <w:lang w:val="es-AR"/>
              </w:rPr>
              <w:t>Cohen S.A.</w:t>
            </w:r>
          </w:p>
          <w:p w14:paraId="781F4CE8" w14:textId="798A9EE9" w:rsidR="00F50EC1" w:rsidRPr="00C274DD" w:rsidRDefault="00F50EC1" w:rsidP="00F50EC1">
            <w:pPr>
              <w:widowControl w:val="0"/>
              <w:suppressAutoHyphens/>
              <w:jc w:val="center"/>
              <w:rPr>
                <w:snapToGrid w:val="0"/>
                <w:color w:val="0D0D0D"/>
                <w:sz w:val="22"/>
                <w:szCs w:val="22"/>
                <w:lang w:val="es-MX"/>
              </w:rPr>
            </w:pPr>
            <w:r w:rsidRPr="00C274DD">
              <w:rPr>
                <w:snapToGrid w:val="0"/>
                <w:color w:val="0D0D0D"/>
                <w:sz w:val="22"/>
                <w:szCs w:val="22"/>
                <w:lang w:val="es-MX"/>
              </w:rPr>
              <w:t xml:space="preserve">Agente de Liquidación y Compensación y Agente de Negociación Integral, Número de </w:t>
            </w:r>
            <w:r w:rsidR="001731A2">
              <w:rPr>
                <w:snapToGrid w:val="0"/>
                <w:color w:val="0D0D0D"/>
                <w:sz w:val="22"/>
                <w:szCs w:val="22"/>
                <w:lang w:val="es-MX"/>
              </w:rPr>
              <w:t>m</w:t>
            </w:r>
            <w:r w:rsidRPr="00C274DD">
              <w:rPr>
                <w:snapToGrid w:val="0"/>
                <w:color w:val="0D0D0D"/>
                <w:sz w:val="22"/>
                <w:szCs w:val="22"/>
                <w:lang w:val="es-MX"/>
              </w:rPr>
              <w:t xml:space="preserve">atrícula </w:t>
            </w:r>
            <w:r w:rsidR="007F5D4E">
              <w:rPr>
                <w:snapToGrid w:val="0"/>
                <w:color w:val="0D0D0D"/>
                <w:sz w:val="22"/>
                <w:szCs w:val="22"/>
                <w:lang w:val="es-MX"/>
              </w:rPr>
              <w:t>a</w:t>
            </w:r>
            <w:r w:rsidRPr="00C274DD">
              <w:rPr>
                <w:snapToGrid w:val="0"/>
                <w:color w:val="0D0D0D"/>
                <w:sz w:val="22"/>
                <w:szCs w:val="22"/>
                <w:lang w:val="es-MX"/>
              </w:rPr>
              <w:t>signado 21 de la CNV</w:t>
            </w:r>
          </w:p>
          <w:p w14:paraId="0458302F" w14:textId="69A2643F" w:rsidR="004F6E04" w:rsidRDefault="004F6E04" w:rsidP="004F6E04">
            <w:pPr>
              <w:rPr>
                <w:rFonts w:ascii="Arial" w:hAnsi="Arial" w:cs="Arial"/>
                <w:b/>
                <w:bCs/>
              </w:rPr>
            </w:pPr>
            <w:r>
              <w:rPr>
                <w:rFonts w:ascii="Arial" w:hAnsi="Arial" w:cs="Arial"/>
                <w:b/>
                <w:bCs/>
              </w:rPr>
              <w:t xml:space="preserve"> </w:t>
            </w:r>
          </w:p>
          <w:p w14:paraId="05C80F7F" w14:textId="4D49AF4A" w:rsidR="004F6E04" w:rsidRPr="00F2691D" w:rsidRDefault="004F6E04" w:rsidP="00F2691D">
            <w:pPr>
              <w:jc w:val="center"/>
              <w:rPr>
                <w:sz w:val="22"/>
                <w:szCs w:val="22"/>
              </w:rPr>
            </w:pPr>
            <w:r w:rsidRPr="00F2691D">
              <w:rPr>
                <w:bCs/>
                <w:sz w:val="22"/>
                <w:szCs w:val="22"/>
              </w:rPr>
              <w:t>25 de mayo 195 Piso 7 , C.A.B.A</w:t>
            </w:r>
          </w:p>
          <w:p w14:paraId="75ADA23A" w14:textId="77777777" w:rsidR="00F50EC1" w:rsidRPr="00F2691D" w:rsidRDefault="004F6E04">
            <w:pPr>
              <w:jc w:val="center"/>
              <w:rPr>
                <w:bCs/>
                <w:sz w:val="22"/>
                <w:szCs w:val="22"/>
              </w:rPr>
            </w:pPr>
            <w:r w:rsidRPr="00F2691D">
              <w:rPr>
                <w:bCs/>
                <w:sz w:val="22"/>
                <w:szCs w:val="22"/>
              </w:rPr>
              <w:lastRenderedPageBreak/>
              <w:t>Tel: 5218-1100</w:t>
            </w:r>
          </w:p>
          <w:p w14:paraId="493724CD" w14:textId="48EAE059" w:rsidR="004F6E04" w:rsidRPr="00C274DD" w:rsidRDefault="004F6E04" w:rsidP="00F2691D">
            <w:pPr>
              <w:rPr>
                <w:sz w:val="22"/>
                <w:szCs w:val="22"/>
                <w:lang w:val="es-MX"/>
              </w:rPr>
            </w:pPr>
          </w:p>
        </w:tc>
        <w:tc>
          <w:tcPr>
            <w:tcW w:w="3035" w:type="dxa"/>
          </w:tcPr>
          <w:p w14:paraId="04F279F1" w14:textId="77777777" w:rsidR="00E94546" w:rsidRPr="001731A2" w:rsidRDefault="00E94546" w:rsidP="00E94546">
            <w:pPr>
              <w:jc w:val="center"/>
              <w:rPr>
                <w:sz w:val="22"/>
                <w:szCs w:val="22"/>
                <w:lang w:val="es-AR"/>
              </w:rPr>
            </w:pPr>
            <w:r w:rsidRPr="001731A2">
              <w:rPr>
                <w:sz w:val="22"/>
                <w:szCs w:val="22"/>
                <w:lang w:val="es-AR"/>
              </w:rPr>
              <w:lastRenderedPageBreak/>
              <w:t>Tarallo S.A.</w:t>
            </w:r>
          </w:p>
          <w:p w14:paraId="6CCA65AC" w14:textId="7D46D798" w:rsidR="007F5D4E" w:rsidRPr="001731A2" w:rsidRDefault="007F5D4E" w:rsidP="007F5D4E">
            <w:pPr>
              <w:widowControl w:val="0"/>
              <w:suppressAutoHyphens/>
              <w:jc w:val="center"/>
              <w:rPr>
                <w:snapToGrid w:val="0"/>
                <w:color w:val="0D0D0D"/>
                <w:sz w:val="22"/>
                <w:szCs w:val="22"/>
                <w:lang w:val="es-MX"/>
              </w:rPr>
            </w:pPr>
            <w:r w:rsidRPr="00C274DD">
              <w:rPr>
                <w:sz w:val="22"/>
                <w:szCs w:val="22"/>
              </w:rPr>
              <w:t>Agente de Liquidación y Compensación y Agente de Negociación Propio</w:t>
            </w:r>
            <w:r w:rsidRPr="001731A2">
              <w:rPr>
                <w:snapToGrid w:val="0"/>
                <w:color w:val="0D0D0D"/>
                <w:sz w:val="22"/>
                <w:szCs w:val="22"/>
                <w:lang w:val="es-MX"/>
              </w:rPr>
              <w:t xml:space="preserve"> Número de </w:t>
            </w:r>
            <w:r w:rsidR="001731A2" w:rsidRPr="001731A2">
              <w:rPr>
                <w:snapToGrid w:val="0"/>
                <w:color w:val="0D0D0D"/>
                <w:sz w:val="22"/>
                <w:szCs w:val="22"/>
                <w:lang w:val="es-MX"/>
              </w:rPr>
              <w:t>m</w:t>
            </w:r>
            <w:r w:rsidRPr="001731A2">
              <w:rPr>
                <w:snapToGrid w:val="0"/>
                <w:color w:val="0D0D0D"/>
                <w:sz w:val="22"/>
                <w:szCs w:val="22"/>
                <w:lang w:val="es-MX"/>
              </w:rPr>
              <w:t>atrícula asignado 198 de la CNV</w:t>
            </w:r>
          </w:p>
          <w:p w14:paraId="1009904F" w14:textId="4F1565E4" w:rsidR="004F6E04" w:rsidRPr="00F2691D" w:rsidRDefault="004F6E04" w:rsidP="00F2691D">
            <w:pPr>
              <w:jc w:val="center"/>
              <w:rPr>
                <w:sz w:val="22"/>
                <w:szCs w:val="22"/>
                <w:lang w:val="es-AR" w:eastAsia="es-AR"/>
              </w:rPr>
            </w:pPr>
            <w:r w:rsidRPr="00F2691D">
              <w:rPr>
                <w:sz w:val="22"/>
                <w:szCs w:val="22"/>
              </w:rPr>
              <w:t>Córdoba 1015 Piso 2 Of 4</w:t>
            </w:r>
          </w:p>
          <w:p w14:paraId="59F1D6F4" w14:textId="35A5E1FB" w:rsidR="004F6E04" w:rsidRPr="00F2691D" w:rsidRDefault="004F6E04" w:rsidP="00F2691D">
            <w:pPr>
              <w:jc w:val="center"/>
              <w:rPr>
                <w:sz w:val="22"/>
                <w:szCs w:val="22"/>
              </w:rPr>
            </w:pPr>
            <w:r w:rsidRPr="00F2691D">
              <w:rPr>
                <w:sz w:val="22"/>
                <w:szCs w:val="22"/>
              </w:rPr>
              <w:t>Rosario</w:t>
            </w:r>
          </w:p>
          <w:p w14:paraId="2DD02795" w14:textId="37DB34ED" w:rsidR="004F6E04" w:rsidRPr="00F2691D" w:rsidRDefault="004F6E04" w:rsidP="00F2691D">
            <w:pPr>
              <w:jc w:val="center"/>
              <w:rPr>
                <w:sz w:val="22"/>
                <w:szCs w:val="22"/>
              </w:rPr>
            </w:pPr>
            <w:r w:rsidRPr="00F2691D">
              <w:rPr>
                <w:sz w:val="22"/>
                <w:szCs w:val="22"/>
              </w:rPr>
              <w:t>Tel: 0341 -5302709 / 4260971</w:t>
            </w:r>
          </w:p>
          <w:p w14:paraId="638BB12D" w14:textId="35E4C574" w:rsidR="007F5D4E" w:rsidRPr="001731A2" w:rsidRDefault="007F5D4E">
            <w:pPr>
              <w:jc w:val="center"/>
              <w:rPr>
                <w:sz w:val="22"/>
                <w:szCs w:val="22"/>
                <w:lang w:val="es-AR"/>
              </w:rPr>
            </w:pPr>
          </w:p>
        </w:tc>
        <w:tc>
          <w:tcPr>
            <w:tcW w:w="3389" w:type="dxa"/>
          </w:tcPr>
          <w:p w14:paraId="455F6E97" w14:textId="77777777" w:rsidR="00E94546" w:rsidRPr="00C274DD" w:rsidRDefault="00E94546" w:rsidP="00C274DD">
            <w:pPr>
              <w:widowControl w:val="0"/>
              <w:suppressAutoHyphens/>
              <w:jc w:val="center"/>
              <w:rPr>
                <w:sz w:val="22"/>
                <w:szCs w:val="22"/>
              </w:rPr>
            </w:pPr>
            <w:r w:rsidRPr="00C274DD">
              <w:rPr>
                <w:sz w:val="22"/>
                <w:szCs w:val="22"/>
              </w:rPr>
              <w:lastRenderedPageBreak/>
              <w:t>Allaria Ledesma &amp; Cia S.A</w:t>
            </w:r>
          </w:p>
          <w:p w14:paraId="733FCF52" w14:textId="77777777" w:rsidR="001731A2" w:rsidRPr="00C274DD" w:rsidRDefault="001731A2" w:rsidP="00C274DD">
            <w:pPr>
              <w:widowControl w:val="0"/>
              <w:suppressAutoHyphens/>
              <w:jc w:val="center"/>
              <w:rPr>
                <w:sz w:val="22"/>
                <w:szCs w:val="22"/>
              </w:rPr>
            </w:pPr>
            <w:r w:rsidRPr="00C274DD">
              <w:rPr>
                <w:sz w:val="22"/>
                <w:szCs w:val="22"/>
              </w:rPr>
              <w:t>Agente de Liquidación y Compensación y Agente de Negociación Integral Número de matrícula asignado N°24 de la CNV</w:t>
            </w:r>
          </w:p>
          <w:p w14:paraId="7299DEF6" w14:textId="2477BED2" w:rsidR="005C283E" w:rsidRDefault="005C283E" w:rsidP="005C283E">
            <w:pPr>
              <w:rPr>
                <w:lang w:val="es-AR" w:eastAsia="es-AR"/>
              </w:rPr>
            </w:pPr>
            <w:r>
              <w:rPr>
                <w:lang w:val="es-AR" w:eastAsia="es-AR"/>
              </w:rPr>
              <w:t xml:space="preserve"> </w:t>
            </w:r>
          </w:p>
          <w:p w14:paraId="140B67ED" w14:textId="4038C041" w:rsidR="005C283E" w:rsidRPr="00F2691D" w:rsidRDefault="005C283E" w:rsidP="00F2691D">
            <w:pPr>
              <w:jc w:val="center"/>
              <w:rPr>
                <w:sz w:val="22"/>
                <w:szCs w:val="22"/>
              </w:rPr>
            </w:pPr>
            <w:r w:rsidRPr="00F2691D">
              <w:rPr>
                <w:sz w:val="22"/>
                <w:szCs w:val="22"/>
              </w:rPr>
              <w:t>25 de Mayo 359 Piso 12 – CABA – Argentina</w:t>
            </w:r>
          </w:p>
          <w:p w14:paraId="149E9996" w14:textId="77777777" w:rsidR="005C283E" w:rsidRPr="00F2691D" w:rsidRDefault="005C283E" w:rsidP="00F2691D">
            <w:pPr>
              <w:jc w:val="center"/>
              <w:rPr>
                <w:sz w:val="22"/>
                <w:szCs w:val="22"/>
              </w:rPr>
            </w:pPr>
            <w:r w:rsidRPr="00F2691D">
              <w:rPr>
                <w:sz w:val="22"/>
                <w:szCs w:val="22"/>
              </w:rPr>
              <w:lastRenderedPageBreak/>
              <w:t>Teléfono: 5555-6000</w:t>
            </w:r>
          </w:p>
          <w:p w14:paraId="0118E9FC" w14:textId="19A0C60E" w:rsidR="001731A2" w:rsidRPr="00C274DD" w:rsidRDefault="001731A2" w:rsidP="00C274DD">
            <w:pPr>
              <w:widowControl w:val="0"/>
              <w:suppressAutoHyphens/>
              <w:jc w:val="center"/>
              <w:rPr>
                <w:b/>
                <w:sz w:val="22"/>
                <w:szCs w:val="22"/>
              </w:rPr>
            </w:pPr>
          </w:p>
        </w:tc>
      </w:tr>
    </w:tbl>
    <w:p w14:paraId="35FE99FA" w14:textId="77777777" w:rsidR="00516962" w:rsidRPr="00F44670" w:rsidRDefault="00516962" w:rsidP="005B4D4A">
      <w:pPr>
        <w:pStyle w:val="Piedepgina"/>
        <w:jc w:val="center"/>
        <w:rPr>
          <w:b/>
          <w:bCs/>
          <w:sz w:val="22"/>
          <w:szCs w:val="22"/>
          <w:lang w:val="es-ES"/>
        </w:rPr>
      </w:pPr>
    </w:p>
    <w:p w14:paraId="0365D8ED" w14:textId="1AB15CB7" w:rsidR="00A5235C" w:rsidRDefault="00A5235C" w:rsidP="005B4D4A">
      <w:pPr>
        <w:pStyle w:val="Piedepgina"/>
        <w:jc w:val="center"/>
        <w:rPr>
          <w:b/>
          <w:bCs/>
          <w:sz w:val="22"/>
          <w:szCs w:val="22"/>
          <w:lang w:val="es-ES"/>
        </w:rPr>
      </w:pPr>
      <w:r w:rsidRPr="00F44670">
        <w:rPr>
          <w:b/>
          <w:bCs/>
          <w:sz w:val="22"/>
          <w:szCs w:val="22"/>
          <w:lang w:val="es-ES"/>
        </w:rPr>
        <w:t>ASESORES LEGALES</w:t>
      </w:r>
    </w:p>
    <w:p w14:paraId="213E9DB7" w14:textId="2B913018" w:rsidR="001731A2" w:rsidRPr="00F44670" w:rsidRDefault="001731A2" w:rsidP="005B4D4A">
      <w:pPr>
        <w:pStyle w:val="Piedepgina"/>
        <w:jc w:val="center"/>
        <w:rPr>
          <w:b/>
          <w:bCs/>
          <w:sz w:val="22"/>
          <w:szCs w:val="22"/>
          <w:lang w:val="es-ES"/>
        </w:rPr>
      </w:pPr>
      <w:r w:rsidRPr="001731A2">
        <w:rPr>
          <w:b/>
          <w:bCs/>
          <w:noProof/>
          <w:sz w:val="22"/>
          <w:szCs w:val="22"/>
          <w:lang w:val="es-AR" w:eastAsia="es-AR"/>
        </w:rPr>
        <w:drawing>
          <wp:inline distT="0" distB="0" distL="0" distR="0" wp14:anchorId="7BEECF86" wp14:editId="139C3A79">
            <wp:extent cx="1859493" cy="533400"/>
            <wp:effectExtent l="0" t="0" r="7620" b="0"/>
            <wp:docPr id="8" name="Imagen 4">
              <a:extLst xmlns:a="http://schemas.openxmlformats.org/drawingml/2006/main">
                <a:ext uri="{FF2B5EF4-FFF2-40B4-BE49-F238E27FC236}">
                  <a16:creationId xmlns:a16="http://schemas.microsoft.com/office/drawing/2014/main" id="{0E876FB9-E857-45AB-ABE3-66F96C4BAA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E876FB9-E857-45AB-ABE3-66F96C4BAA7C}"/>
                        </a:ext>
                      </a:extLst>
                    </pic:cNvPr>
                    <pic:cNvPicPr>
                      <a:picLocks noChangeAspect="1"/>
                    </pic:cNvPicPr>
                  </pic:nvPicPr>
                  <pic:blipFill>
                    <a:blip r:embed="rId26"/>
                    <a:stretch>
                      <a:fillRect/>
                    </a:stretch>
                  </pic:blipFill>
                  <pic:spPr>
                    <a:xfrm>
                      <a:off x="0" y="0"/>
                      <a:ext cx="1859493" cy="533400"/>
                    </a:xfrm>
                    <a:prstGeom prst="rect">
                      <a:avLst/>
                    </a:prstGeom>
                  </pic:spPr>
                </pic:pic>
              </a:graphicData>
            </a:graphic>
          </wp:inline>
        </w:drawing>
      </w:r>
    </w:p>
    <w:p w14:paraId="753FAC0D" w14:textId="77777777" w:rsidR="00696F29" w:rsidRPr="00F44670" w:rsidRDefault="00696F29" w:rsidP="005B4D4A">
      <w:pPr>
        <w:pStyle w:val="Ttulo9"/>
        <w:suppressLineNumbers/>
        <w:rPr>
          <w:rFonts w:ascii="Times New Roman" w:hAnsi="Times New Roman"/>
          <w:sz w:val="22"/>
          <w:szCs w:val="22"/>
        </w:rPr>
      </w:pPr>
      <w:r w:rsidRPr="00F44670">
        <w:rPr>
          <w:rFonts w:ascii="Times New Roman" w:hAnsi="Times New Roman"/>
          <w:sz w:val="22"/>
          <w:szCs w:val="22"/>
        </w:rPr>
        <w:t>ASESORES LEGALES</w:t>
      </w:r>
    </w:p>
    <w:p w14:paraId="26B85228" w14:textId="77777777" w:rsidR="00696F29" w:rsidRPr="00F44670" w:rsidRDefault="00696F29" w:rsidP="005B4D4A">
      <w:pPr>
        <w:suppressLineNumbers/>
        <w:jc w:val="center"/>
        <w:rPr>
          <w:b/>
          <w:caps/>
          <w:sz w:val="22"/>
          <w:szCs w:val="22"/>
        </w:rPr>
      </w:pPr>
      <w:r w:rsidRPr="00F44670">
        <w:rPr>
          <w:b/>
          <w:caps/>
          <w:sz w:val="22"/>
          <w:szCs w:val="22"/>
        </w:rPr>
        <w:t>Nicholson y Cano Abogados</w:t>
      </w:r>
    </w:p>
    <w:p w14:paraId="08347D82" w14:textId="77777777" w:rsidR="00696F29" w:rsidRPr="00F44670" w:rsidRDefault="00696F29" w:rsidP="005B4D4A">
      <w:pPr>
        <w:suppressLineNumbers/>
        <w:jc w:val="center"/>
        <w:rPr>
          <w:sz w:val="22"/>
          <w:szCs w:val="22"/>
        </w:rPr>
      </w:pPr>
      <w:r w:rsidRPr="00F44670">
        <w:rPr>
          <w:sz w:val="22"/>
          <w:szCs w:val="22"/>
        </w:rPr>
        <w:t xml:space="preserve">San Martín 140 - </w:t>
      </w:r>
      <w:r w:rsidR="00A5235C" w:rsidRPr="00F44670">
        <w:rPr>
          <w:sz w:val="22"/>
          <w:szCs w:val="22"/>
        </w:rPr>
        <w:t>p</w:t>
      </w:r>
      <w:r w:rsidRPr="00F44670">
        <w:rPr>
          <w:sz w:val="22"/>
          <w:szCs w:val="22"/>
        </w:rPr>
        <w:t>iso 14</w:t>
      </w:r>
    </w:p>
    <w:p w14:paraId="60BFA7CF" w14:textId="77777777" w:rsidR="00696F29" w:rsidRPr="00F44670" w:rsidRDefault="00696F29" w:rsidP="005B4D4A">
      <w:pPr>
        <w:suppressLineNumbers/>
        <w:jc w:val="center"/>
        <w:rPr>
          <w:sz w:val="22"/>
          <w:szCs w:val="22"/>
        </w:rPr>
      </w:pPr>
      <w:r w:rsidRPr="00F44670">
        <w:rPr>
          <w:sz w:val="22"/>
          <w:szCs w:val="22"/>
        </w:rPr>
        <w:t>(C1004AAD) Buenos Aires</w:t>
      </w:r>
    </w:p>
    <w:p w14:paraId="3395AA42" w14:textId="77777777" w:rsidR="00696F29" w:rsidRPr="00F44670" w:rsidRDefault="00696F29" w:rsidP="005B4D4A">
      <w:pPr>
        <w:suppressLineNumbers/>
        <w:jc w:val="center"/>
        <w:rPr>
          <w:sz w:val="22"/>
          <w:szCs w:val="22"/>
        </w:rPr>
      </w:pPr>
      <w:r w:rsidRPr="00F44670">
        <w:rPr>
          <w:sz w:val="22"/>
          <w:szCs w:val="22"/>
        </w:rPr>
        <w:t>Tel: 5167-1000</w:t>
      </w:r>
    </w:p>
    <w:p w14:paraId="0FB17BB3" w14:textId="77777777" w:rsidR="00696F29" w:rsidRPr="00F44670" w:rsidRDefault="00696F29" w:rsidP="005B4D4A">
      <w:pPr>
        <w:suppressLineNumbers/>
        <w:jc w:val="center"/>
        <w:rPr>
          <w:sz w:val="22"/>
          <w:szCs w:val="22"/>
        </w:rPr>
      </w:pPr>
      <w:r w:rsidRPr="00F44670">
        <w:rPr>
          <w:sz w:val="22"/>
          <w:szCs w:val="22"/>
        </w:rPr>
        <w:t>Fax: 5167-1072</w:t>
      </w:r>
    </w:p>
    <w:p w14:paraId="26E32DB6" w14:textId="77777777" w:rsidR="00696F29" w:rsidRPr="00F44670" w:rsidRDefault="00696F29" w:rsidP="005B4D4A">
      <w:pPr>
        <w:pStyle w:val="Piedepgina"/>
        <w:jc w:val="center"/>
        <w:rPr>
          <w:b/>
          <w:bCs/>
          <w:sz w:val="22"/>
          <w:szCs w:val="22"/>
        </w:rPr>
      </w:pPr>
    </w:p>
    <w:p w14:paraId="745D74FB" w14:textId="77777777" w:rsidR="00696F29" w:rsidRPr="00F44670" w:rsidRDefault="00696F29" w:rsidP="005B4D4A">
      <w:pPr>
        <w:pStyle w:val="Piedepgina"/>
        <w:jc w:val="center"/>
        <w:rPr>
          <w:b/>
          <w:bCs/>
          <w:sz w:val="22"/>
          <w:szCs w:val="22"/>
        </w:rPr>
      </w:pPr>
    </w:p>
    <w:p w14:paraId="405DC788" w14:textId="77777777" w:rsidR="00E1209B" w:rsidRPr="000D7FF6" w:rsidRDefault="00E1209B" w:rsidP="00F3428B">
      <w:pPr>
        <w:widowControl w:val="0"/>
        <w:suppressLineNumbers/>
        <w:suppressAutoHyphens/>
        <w:jc w:val="center"/>
        <w:rPr>
          <w:sz w:val="22"/>
          <w:szCs w:val="22"/>
          <w:lang w:val="x-none"/>
        </w:rPr>
      </w:pPr>
    </w:p>
    <w:sectPr w:rsidR="00E1209B" w:rsidRPr="000D7FF6" w:rsidSect="00AC0147">
      <w:footerReference w:type="even" r:id="rId27"/>
      <w:footerReference w:type="default" r:id="rId28"/>
      <w:type w:val="continuous"/>
      <w:pgSz w:w="11907" w:h="16839" w:code="9"/>
      <w:pgMar w:top="1191" w:right="102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E3F11" w14:textId="77777777" w:rsidR="0019170E" w:rsidRDefault="0019170E">
      <w:r>
        <w:separator/>
      </w:r>
    </w:p>
  </w:endnote>
  <w:endnote w:type="continuationSeparator" w:id="0">
    <w:p w14:paraId="7B4604DF" w14:textId="77777777" w:rsidR="0019170E" w:rsidRDefault="0019170E">
      <w:r>
        <w:continuationSeparator/>
      </w:r>
    </w:p>
  </w:endnote>
  <w:endnote w:type="continuationNotice" w:id="1">
    <w:p w14:paraId="53B30A51" w14:textId="77777777" w:rsidR="0019170E" w:rsidRDefault="00191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lbany AMT">
    <w:altName w:val="Arial"/>
    <w:charset w:val="00"/>
    <w:family w:val="auto"/>
    <w:pitch w:val="variable"/>
  </w:font>
  <w:font w:name="Thorndale AMT">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7A1B" w14:textId="77777777" w:rsidR="0037005B" w:rsidRDefault="003700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A54583" w14:textId="77777777" w:rsidR="0037005B" w:rsidRDefault="0037005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F51FC" w14:textId="340858DF" w:rsidR="0037005B" w:rsidRDefault="003700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4CCE">
      <w:rPr>
        <w:rStyle w:val="Nmerodepgina"/>
        <w:noProof/>
      </w:rPr>
      <w:t>1</w:t>
    </w:r>
    <w:r>
      <w:rPr>
        <w:rStyle w:val="Nmerodepgina"/>
      </w:rPr>
      <w:fldChar w:fldCharType="end"/>
    </w:r>
  </w:p>
  <w:p w14:paraId="19D8F75B" w14:textId="77777777" w:rsidR="0037005B" w:rsidRDefault="0037005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EA6E3" w14:textId="77777777" w:rsidR="0019170E" w:rsidRDefault="0019170E">
      <w:r>
        <w:separator/>
      </w:r>
    </w:p>
  </w:footnote>
  <w:footnote w:type="continuationSeparator" w:id="0">
    <w:p w14:paraId="30988320" w14:textId="77777777" w:rsidR="0019170E" w:rsidRDefault="0019170E">
      <w:r>
        <w:continuationSeparator/>
      </w:r>
    </w:p>
  </w:footnote>
  <w:footnote w:type="continuationNotice" w:id="1">
    <w:p w14:paraId="0B701EEF" w14:textId="77777777" w:rsidR="0019170E" w:rsidRDefault="0019170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993C10"/>
    <w:multiLevelType w:val="hybridMultilevel"/>
    <w:tmpl w:val="E4C2C1C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354EA2"/>
    <w:multiLevelType w:val="hybridMultilevel"/>
    <w:tmpl w:val="15551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F724A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3"/>
    <w:multiLevelType w:val="singleLevel"/>
    <w:tmpl w:val="00000003"/>
    <w:name w:val="WW8Num2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4"/>
    <w:multiLevelType w:val="singleLevel"/>
    <w:tmpl w:val="00000004"/>
    <w:name w:val="WW8Num39"/>
    <w:lvl w:ilvl="0">
      <w:start w:val="1"/>
      <w:numFmt w:val="bullet"/>
      <w:lvlText w:val=""/>
      <w:lvlJc w:val="left"/>
      <w:pPr>
        <w:tabs>
          <w:tab w:val="num" w:pos="791"/>
        </w:tabs>
        <w:ind w:left="791" w:hanging="113"/>
      </w:pPr>
      <w:rPr>
        <w:rFonts w:ascii="Symbol" w:hAnsi="Symbol"/>
      </w:rPr>
    </w:lvl>
  </w:abstractNum>
  <w:abstractNum w:abstractNumId="5" w15:restartNumberingAfterBreak="0">
    <w:nsid w:val="00000005"/>
    <w:multiLevelType w:val="multilevel"/>
    <w:tmpl w:val="C168461A"/>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9" w15:restartNumberingAfterBreak="0">
    <w:nsid w:val="01000DC3"/>
    <w:multiLevelType w:val="multilevel"/>
    <w:tmpl w:val="97B0DC26"/>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2F93075"/>
    <w:multiLevelType w:val="multilevel"/>
    <w:tmpl w:val="C168461A"/>
    <w:lvl w:ilvl="0">
      <w:start w:val="1"/>
      <w:numFmt w:val="bullet"/>
      <w:lvlText w:val=""/>
      <w:lvlJc w:val="left"/>
      <w:pPr>
        <w:tabs>
          <w:tab w:val="num" w:pos="786"/>
        </w:tabs>
        <w:ind w:left="786" w:hanging="360"/>
      </w:pPr>
      <w:rPr>
        <w:rFonts w:ascii="Symbol" w:hAnsi="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C304101"/>
    <w:multiLevelType w:val="hybridMultilevel"/>
    <w:tmpl w:val="B6FC87FE"/>
    <w:lvl w:ilvl="0" w:tplc="0C0A0017">
      <w:start w:val="1"/>
      <w:numFmt w:val="lowerLetter"/>
      <w:lvlText w:val="%1)"/>
      <w:lvlJc w:val="left"/>
      <w:pPr>
        <w:ind w:left="730" w:hanging="360"/>
      </w:pPr>
      <w:rPr>
        <w:rFonts w:hint="default"/>
      </w:r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abstractNum w:abstractNumId="12" w15:restartNumberingAfterBreak="0">
    <w:nsid w:val="16823A8C"/>
    <w:multiLevelType w:val="hybridMultilevel"/>
    <w:tmpl w:val="3B6600E6"/>
    <w:lvl w:ilvl="0" w:tplc="D4A8E24C">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706F49"/>
    <w:multiLevelType w:val="hybridMultilevel"/>
    <w:tmpl w:val="C358A190"/>
    <w:lvl w:ilvl="0" w:tplc="9768FA28">
      <w:start w:val="1"/>
      <w:numFmt w:val="bullet"/>
      <w:pStyle w:val="bullettex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20C55F2B"/>
    <w:multiLevelType w:val="multilevel"/>
    <w:tmpl w:val="97B0DC26"/>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3A23B88"/>
    <w:multiLevelType w:val="hybridMultilevel"/>
    <w:tmpl w:val="2B2A7396"/>
    <w:lvl w:ilvl="0" w:tplc="0B1C85E6">
      <w:start w:val="1"/>
      <w:numFmt w:val="lowerRoman"/>
      <w:lvlText w:val="(%1)"/>
      <w:lvlJc w:val="left"/>
      <w:pPr>
        <w:ind w:left="1080" w:hanging="720"/>
      </w:pPr>
      <w:rPr>
        <w:rFonts w:hint="default"/>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96D62F3"/>
    <w:multiLevelType w:val="hybridMultilevel"/>
    <w:tmpl w:val="9CD88BBE"/>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A49615E"/>
    <w:multiLevelType w:val="hybridMultilevel"/>
    <w:tmpl w:val="15B63A3C"/>
    <w:lvl w:ilvl="0" w:tplc="71741184">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2C8C4256"/>
    <w:multiLevelType w:val="hybridMultilevel"/>
    <w:tmpl w:val="673C05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D51683"/>
    <w:multiLevelType w:val="hybridMultilevel"/>
    <w:tmpl w:val="B3AC6F1E"/>
    <w:lvl w:ilvl="0" w:tplc="2C0A001B">
      <w:start w:val="1"/>
      <w:numFmt w:val="low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E8C51B7"/>
    <w:multiLevelType w:val="hybridMultilevel"/>
    <w:tmpl w:val="49AEF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A3416"/>
    <w:multiLevelType w:val="hybridMultilevel"/>
    <w:tmpl w:val="FB64D5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B7C265C"/>
    <w:multiLevelType w:val="multilevel"/>
    <w:tmpl w:val="F3CC888E"/>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DE1778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8C3E18"/>
    <w:multiLevelType w:val="hybridMultilevel"/>
    <w:tmpl w:val="C9DED6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143B05"/>
    <w:multiLevelType w:val="hybridMultilevel"/>
    <w:tmpl w:val="7B46C426"/>
    <w:lvl w:ilvl="0" w:tplc="133C44B6">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1CD3F2E"/>
    <w:multiLevelType w:val="hybridMultilevel"/>
    <w:tmpl w:val="FA00564C"/>
    <w:lvl w:ilvl="0" w:tplc="496641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ED6EAE"/>
    <w:multiLevelType w:val="hybridMultilevel"/>
    <w:tmpl w:val="D3FCF204"/>
    <w:lvl w:ilvl="0" w:tplc="7096A718">
      <w:start w:val="1"/>
      <w:numFmt w:val="lowerRoman"/>
      <w:lvlText w:val="%1."/>
      <w:lvlJc w:val="righ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71AD5A26"/>
    <w:multiLevelType w:val="hybridMultilevel"/>
    <w:tmpl w:val="6892236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9" w15:restartNumberingAfterBreak="0">
    <w:nsid w:val="7E165A3B"/>
    <w:multiLevelType w:val="multilevel"/>
    <w:tmpl w:val="9DAAEF66"/>
    <w:lvl w:ilvl="0">
      <w:start w:val="1"/>
      <w:numFmt w:val="decimal"/>
      <w:lvlText w:val="%1."/>
      <w:lvlJc w:val="left"/>
      <w:pPr>
        <w:tabs>
          <w:tab w:val="num" w:pos="720"/>
        </w:tabs>
        <w:ind w:left="720" w:hanging="720"/>
      </w:pPr>
      <w:rPr>
        <w:rFonts w:ascii="Times New Roman" w:hAnsi="Times New Roman" w:cs="Times New Roman" w:hint="default"/>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8"/>
  </w:num>
  <w:num w:numId="2">
    <w:abstractNumId w:val="3"/>
  </w:num>
  <w:num w:numId="3">
    <w:abstractNumId w:val="4"/>
  </w:num>
  <w:num w:numId="4">
    <w:abstractNumId w:val="6"/>
  </w:num>
  <w:num w:numId="5">
    <w:abstractNumId w:val="7"/>
  </w:num>
  <w:num w:numId="6">
    <w:abstractNumId w:val="8"/>
  </w:num>
  <w:num w:numId="7">
    <w:abstractNumId w:val="10"/>
  </w:num>
  <w:num w:numId="8">
    <w:abstractNumId w:val="9"/>
  </w:num>
  <w:num w:numId="9">
    <w:abstractNumId w:val="16"/>
  </w:num>
  <w:num w:numId="10">
    <w:abstractNumId w:val="19"/>
  </w:num>
  <w:num w:numId="11">
    <w:abstractNumId w:val="27"/>
  </w:num>
  <w:num w:numId="12">
    <w:abstractNumId w:val="26"/>
  </w:num>
  <w:num w:numId="13">
    <w:abstractNumId w:val="13"/>
  </w:num>
  <w:num w:numId="14">
    <w:abstractNumId w:val="22"/>
  </w:num>
  <w:num w:numId="15">
    <w:abstractNumId w:val="23"/>
  </w:num>
  <w:num w:numId="16">
    <w:abstractNumId w:val="5"/>
  </w:num>
  <w:num w:numId="17">
    <w:abstractNumId w:val="14"/>
  </w:num>
  <w:num w:numId="18">
    <w:abstractNumId w:val="25"/>
  </w:num>
  <w:num w:numId="19">
    <w:abstractNumId w:val="17"/>
  </w:num>
  <w:num w:numId="20">
    <w:abstractNumId w:val="18"/>
  </w:num>
  <w:num w:numId="21">
    <w:abstractNumId w:val="11"/>
  </w:num>
  <w:num w:numId="22">
    <w:abstractNumId w:val="24"/>
  </w:num>
  <w:num w:numId="23">
    <w:abstractNumId w:val="2"/>
  </w:num>
  <w:num w:numId="24">
    <w:abstractNumId w:val="20"/>
  </w:num>
  <w:num w:numId="25">
    <w:abstractNumId w:val="12"/>
  </w:num>
  <w:num w:numId="26">
    <w:abstractNumId w:val="2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0"/>
  <w:hyphenationZone w:val="425"/>
  <w:drawingGridHorizontalSpacing w:val="120"/>
  <w:displayHorizontalDrawingGridEvery w:val="2"/>
  <w:noPunctuationKerning/>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wMTc0tjQ3NDU2sTBU0lEKTi0uzszPAykwrwUAwc8pqywAAAA="/>
  </w:docVars>
  <w:rsids>
    <w:rsidRoot w:val="001951FE"/>
    <w:rsid w:val="00006EA8"/>
    <w:rsid w:val="00007A02"/>
    <w:rsid w:val="00014694"/>
    <w:rsid w:val="000148AE"/>
    <w:rsid w:val="00016CF1"/>
    <w:rsid w:val="00016DE4"/>
    <w:rsid w:val="00017AA4"/>
    <w:rsid w:val="00020801"/>
    <w:rsid w:val="00021092"/>
    <w:rsid w:val="00021D1D"/>
    <w:rsid w:val="0002410F"/>
    <w:rsid w:val="000242BB"/>
    <w:rsid w:val="00024BC2"/>
    <w:rsid w:val="0002560E"/>
    <w:rsid w:val="0002755E"/>
    <w:rsid w:val="000310E6"/>
    <w:rsid w:val="000318CB"/>
    <w:rsid w:val="00032BF8"/>
    <w:rsid w:val="000346CE"/>
    <w:rsid w:val="000444E5"/>
    <w:rsid w:val="000456A2"/>
    <w:rsid w:val="00045EE1"/>
    <w:rsid w:val="00045F28"/>
    <w:rsid w:val="00046EEA"/>
    <w:rsid w:val="000473B8"/>
    <w:rsid w:val="0005024D"/>
    <w:rsid w:val="000518C9"/>
    <w:rsid w:val="00051C14"/>
    <w:rsid w:val="0005248D"/>
    <w:rsid w:val="00052728"/>
    <w:rsid w:val="00052FAE"/>
    <w:rsid w:val="00054100"/>
    <w:rsid w:val="00055D27"/>
    <w:rsid w:val="000560C1"/>
    <w:rsid w:val="00057C82"/>
    <w:rsid w:val="0006122A"/>
    <w:rsid w:val="000630A6"/>
    <w:rsid w:val="0006422C"/>
    <w:rsid w:val="00064778"/>
    <w:rsid w:val="00065815"/>
    <w:rsid w:val="0006666E"/>
    <w:rsid w:val="00066DE7"/>
    <w:rsid w:val="00067412"/>
    <w:rsid w:val="00067440"/>
    <w:rsid w:val="00067680"/>
    <w:rsid w:val="0007155C"/>
    <w:rsid w:val="000724BF"/>
    <w:rsid w:val="00072CBB"/>
    <w:rsid w:val="00072D88"/>
    <w:rsid w:val="00076E33"/>
    <w:rsid w:val="00077476"/>
    <w:rsid w:val="00077B81"/>
    <w:rsid w:val="000807EC"/>
    <w:rsid w:val="00080A20"/>
    <w:rsid w:val="00080AED"/>
    <w:rsid w:val="0008222D"/>
    <w:rsid w:val="00083EE4"/>
    <w:rsid w:val="00085D16"/>
    <w:rsid w:val="00087012"/>
    <w:rsid w:val="000873E6"/>
    <w:rsid w:val="00087949"/>
    <w:rsid w:val="000911C6"/>
    <w:rsid w:val="000914DF"/>
    <w:rsid w:val="00091CFB"/>
    <w:rsid w:val="00092696"/>
    <w:rsid w:val="0009294F"/>
    <w:rsid w:val="00092BB4"/>
    <w:rsid w:val="00092BCA"/>
    <w:rsid w:val="0009386E"/>
    <w:rsid w:val="00093B9C"/>
    <w:rsid w:val="0009417E"/>
    <w:rsid w:val="000951F4"/>
    <w:rsid w:val="0009599D"/>
    <w:rsid w:val="0009675C"/>
    <w:rsid w:val="00096D70"/>
    <w:rsid w:val="00097191"/>
    <w:rsid w:val="000A0418"/>
    <w:rsid w:val="000A0A33"/>
    <w:rsid w:val="000A0E11"/>
    <w:rsid w:val="000A1156"/>
    <w:rsid w:val="000A2606"/>
    <w:rsid w:val="000A50CD"/>
    <w:rsid w:val="000B1D16"/>
    <w:rsid w:val="000B3819"/>
    <w:rsid w:val="000B4E4E"/>
    <w:rsid w:val="000B5CAC"/>
    <w:rsid w:val="000B692C"/>
    <w:rsid w:val="000B69E7"/>
    <w:rsid w:val="000C23BE"/>
    <w:rsid w:val="000C43CA"/>
    <w:rsid w:val="000C4B4F"/>
    <w:rsid w:val="000C5AEB"/>
    <w:rsid w:val="000C5B5B"/>
    <w:rsid w:val="000C662E"/>
    <w:rsid w:val="000C7DB9"/>
    <w:rsid w:val="000D6D72"/>
    <w:rsid w:val="000D77BD"/>
    <w:rsid w:val="000D7FF6"/>
    <w:rsid w:val="000E140F"/>
    <w:rsid w:val="000E1668"/>
    <w:rsid w:val="000E1B6D"/>
    <w:rsid w:val="000E1D7A"/>
    <w:rsid w:val="000E3549"/>
    <w:rsid w:val="000E4930"/>
    <w:rsid w:val="000E5469"/>
    <w:rsid w:val="000E5741"/>
    <w:rsid w:val="000E5AD3"/>
    <w:rsid w:val="000E652B"/>
    <w:rsid w:val="000F07D9"/>
    <w:rsid w:val="000F0B5F"/>
    <w:rsid w:val="000F1CE9"/>
    <w:rsid w:val="000F3486"/>
    <w:rsid w:val="000F41CD"/>
    <w:rsid w:val="000F4AFB"/>
    <w:rsid w:val="000F6214"/>
    <w:rsid w:val="000F6EF6"/>
    <w:rsid w:val="00100738"/>
    <w:rsid w:val="0010163A"/>
    <w:rsid w:val="00101BEE"/>
    <w:rsid w:val="00101CB5"/>
    <w:rsid w:val="00104FBE"/>
    <w:rsid w:val="00105940"/>
    <w:rsid w:val="001067C4"/>
    <w:rsid w:val="00106B0A"/>
    <w:rsid w:val="00107723"/>
    <w:rsid w:val="00107D49"/>
    <w:rsid w:val="0011649A"/>
    <w:rsid w:val="00120161"/>
    <w:rsid w:val="00121773"/>
    <w:rsid w:val="0012273D"/>
    <w:rsid w:val="00122FAD"/>
    <w:rsid w:val="001243D0"/>
    <w:rsid w:val="00124FA0"/>
    <w:rsid w:val="00125B2E"/>
    <w:rsid w:val="00125B70"/>
    <w:rsid w:val="00126D53"/>
    <w:rsid w:val="001272C4"/>
    <w:rsid w:val="00133A82"/>
    <w:rsid w:val="0013538D"/>
    <w:rsid w:val="00135DF1"/>
    <w:rsid w:val="001363BF"/>
    <w:rsid w:val="00136B49"/>
    <w:rsid w:val="00141737"/>
    <w:rsid w:val="00141FAF"/>
    <w:rsid w:val="001441CC"/>
    <w:rsid w:val="00145207"/>
    <w:rsid w:val="00146244"/>
    <w:rsid w:val="00147069"/>
    <w:rsid w:val="00151814"/>
    <w:rsid w:val="00154602"/>
    <w:rsid w:val="00154C49"/>
    <w:rsid w:val="00162A34"/>
    <w:rsid w:val="00171CD4"/>
    <w:rsid w:val="00172A18"/>
    <w:rsid w:val="00172E37"/>
    <w:rsid w:val="001731A2"/>
    <w:rsid w:val="0017594D"/>
    <w:rsid w:val="00177164"/>
    <w:rsid w:val="0017751F"/>
    <w:rsid w:val="00181434"/>
    <w:rsid w:val="0018152B"/>
    <w:rsid w:val="00181D9A"/>
    <w:rsid w:val="00191552"/>
    <w:rsid w:val="0019170E"/>
    <w:rsid w:val="00192852"/>
    <w:rsid w:val="0019367D"/>
    <w:rsid w:val="001951FE"/>
    <w:rsid w:val="001A0A1E"/>
    <w:rsid w:val="001A3E0E"/>
    <w:rsid w:val="001A426A"/>
    <w:rsid w:val="001A430F"/>
    <w:rsid w:val="001A4C9B"/>
    <w:rsid w:val="001A51E3"/>
    <w:rsid w:val="001A527A"/>
    <w:rsid w:val="001A545D"/>
    <w:rsid w:val="001B0B5C"/>
    <w:rsid w:val="001B0CDA"/>
    <w:rsid w:val="001B3075"/>
    <w:rsid w:val="001B3BAB"/>
    <w:rsid w:val="001B45C3"/>
    <w:rsid w:val="001B45CB"/>
    <w:rsid w:val="001B731F"/>
    <w:rsid w:val="001B7E2A"/>
    <w:rsid w:val="001C0926"/>
    <w:rsid w:val="001C338A"/>
    <w:rsid w:val="001C4172"/>
    <w:rsid w:val="001C4A04"/>
    <w:rsid w:val="001C6578"/>
    <w:rsid w:val="001C6E8A"/>
    <w:rsid w:val="001D00E5"/>
    <w:rsid w:val="001D0E57"/>
    <w:rsid w:val="001D1572"/>
    <w:rsid w:val="001D2038"/>
    <w:rsid w:val="001D21A0"/>
    <w:rsid w:val="001D29CF"/>
    <w:rsid w:val="001D2B0D"/>
    <w:rsid w:val="001D3DC6"/>
    <w:rsid w:val="001D42CA"/>
    <w:rsid w:val="001D4AA1"/>
    <w:rsid w:val="001D50FA"/>
    <w:rsid w:val="001D640F"/>
    <w:rsid w:val="001E0623"/>
    <w:rsid w:val="001E07E0"/>
    <w:rsid w:val="001E16F8"/>
    <w:rsid w:val="001E2A4C"/>
    <w:rsid w:val="001E2F90"/>
    <w:rsid w:val="001E3240"/>
    <w:rsid w:val="001E4297"/>
    <w:rsid w:val="001E532D"/>
    <w:rsid w:val="001E53D7"/>
    <w:rsid w:val="001E6D30"/>
    <w:rsid w:val="001F087D"/>
    <w:rsid w:val="001F1241"/>
    <w:rsid w:val="001F17EC"/>
    <w:rsid w:val="001F3BF4"/>
    <w:rsid w:val="001F5DB8"/>
    <w:rsid w:val="001F631C"/>
    <w:rsid w:val="00202405"/>
    <w:rsid w:val="002053D4"/>
    <w:rsid w:val="00206FF4"/>
    <w:rsid w:val="0020733D"/>
    <w:rsid w:val="0021112F"/>
    <w:rsid w:val="00213E3B"/>
    <w:rsid w:val="00217DD4"/>
    <w:rsid w:val="00221342"/>
    <w:rsid w:val="00223AE4"/>
    <w:rsid w:val="002245EE"/>
    <w:rsid w:val="0022648F"/>
    <w:rsid w:val="002279C6"/>
    <w:rsid w:val="0023039A"/>
    <w:rsid w:val="0023150C"/>
    <w:rsid w:val="00235283"/>
    <w:rsid w:val="0024036C"/>
    <w:rsid w:val="002420E6"/>
    <w:rsid w:val="00242370"/>
    <w:rsid w:val="0024249A"/>
    <w:rsid w:val="002447F5"/>
    <w:rsid w:val="00244FA9"/>
    <w:rsid w:val="002454AA"/>
    <w:rsid w:val="00247E78"/>
    <w:rsid w:val="00247F07"/>
    <w:rsid w:val="00250B0D"/>
    <w:rsid w:val="00250EA1"/>
    <w:rsid w:val="00251BD6"/>
    <w:rsid w:val="00251C7F"/>
    <w:rsid w:val="00251EBE"/>
    <w:rsid w:val="00252FD2"/>
    <w:rsid w:val="002543ED"/>
    <w:rsid w:val="00261509"/>
    <w:rsid w:val="0026340C"/>
    <w:rsid w:val="00267585"/>
    <w:rsid w:val="00271FC7"/>
    <w:rsid w:val="0027271A"/>
    <w:rsid w:val="002729F3"/>
    <w:rsid w:val="00273ADF"/>
    <w:rsid w:val="0027401D"/>
    <w:rsid w:val="00274AC0"/>
    <w:rsid w:val="00276F21"/>
    <w:rsid w:val="002852BA"/>
    <w:rsid w:val="00286C40"/>
    <w:rsid w:val="002920A1"/>
    <w:rsid w:val="00293B14"/>
    <w:rsid w:val="00294691"/>
    <w:rsid w:val="002954D1"/>
    <w:rsid w:val="002A08FB"/>
    <w:rsid w:val="002A13D8"/>
    <w:rsid w:val="002A47C3"/>
    <w:rsid w:val="002A582A"/>
    <w:rsid w:val="002B269B"/>
    <w:rsid w:val="002B3E49"/>
    <w:rsid w:val="002B4430"/>
    <w:rsid w:val="002B5F20"/>
    <w:rsid w:val="002B627E"/>
    <w:rsid w:val="002B796B"/>
    <w:rsid w:val="002B7E81"/>
    <w:rsid w:val="002C0208"/>
    <w:rsid w:val="002C0707"/>
    <w:rsid w:val="002C0979"/>
    <w:rsid w:val="002C2180"/>
    <w:rsid w:val="002C42BD"/>
    <w:rsid w:val="002C4818"/>
    <w:rsid w:val="002C6529"/>
    <w:rsid w:val="002C6EDD"/>
    <w:rsid w:val="002C701E"/>
    <w:rsid w:val="002D0E94"/>
    <w:rsid w:val="002D32E1"/>
    <w:rsid w:val="002D42D4"/>
    <w:rsid w:val="002D6BED"/>
    <w:rsid w:val="002D7F15"/>
    <w:rsid w:val="002E1025"/>
    <w:rsid w:val="002E2ECB"/>
    <w:rsid w:val="002E30D4"/>
    <w:rsid w:val="002E5185"/>
    <w:rsid w:val="002E5D7F"/>
    <w:rsid w:val="002E69B3"/>
    <w:rsid w:val="002E7DFD"/>
    <w:rsid w:val="002F2916"/>
    <w:rsid w:val="002F2F2A"/>
    <w:rsid w:val="002F4275"/>
    <w:rsid w:val="002F4711"/>
    <w:rsid w:val="002F592A"/>
    <w:rsid w:val="002F61BB"/>
    <w:rsid w:val="002F7013"/>
    <w:rsid w:val="00300C42"/>
    <w:rsid w:val="00300C92"/>
    <w:rsid w:val="003027E9"/>
    <w:rsid w:val="00302D32"/>
    <w:rsid w:val="0030354E"/>
    <w:rsid w:val="003036A2"/>
    <w:rsid w:val="00303EC7"/>
    <w:rsid w:val="003059DC"/>
    <w:rsid w:val="003060DD"/>
    <w:rsid w:val="00306A5B"/>
    <w:rsid w:val="00306E5B"/>
    <w:rsid w:val="0031304E"/>
    <w:rsid w:val="003150CB"/>
    <w:rsid w:val="003170E8"/>
    <w:rsid w:val="00321DEF"/>
    <w:rsid w:val="00323555"/>
    <w:rsid w:val="00324305"/>
    <w:rsid w:val="003249C4"/>
    <w:rsid w:val="00325412"/>
    <w:rsid w:val="003257EE"/>
    <w:rsid w:val="0032637C"/>
    <w:rsid w:val="00330331"/>
    <w:rsid w:val="003304AC"/>
    <w:rsid w:val="00331B51"/>
    <w:rsid w:val="003321C7"/>
    <w:rsid w:val="003336C4"/>
    <w:rsid w:val="0033380A"/>
    <w:rsid w:val="00333ED4"/>
    <w:rsid w:val="00337912"/>
    <w:rsid w:val="0034049C"/>
    <w:rsid w:val="003420E4"/>
    <w:rsid w:val="003427DE"/>
    <w:rsid w:val="00344880"/>
    <w:rsid w:val="00346EF3"/>
    <w:rsid w:val="003505A4"/>
    <w:rsid w:val="003512CC"/>
    <w:rsid w:val="00351418"/>
    <w:rsid w:val="003542C2"/>
    <w:rsid w:val="00354BFA"/>
    <w:rsid w:val="00356144"/>
    <w:rsid w:val="0036044C"/>
    <w:rsid w:val="00362473"/>
    <w:rsid w:val="00365411"/>
    <w:rsid w:val="00365E28"/>
    <w:rsid w:val="00367DA9"/>
    <w:rsid w:val="0037005B"/>
    <w:rsid w:val="0037172C"/>
    <w:rsid w:val="003727FC"/>
    <w:rsid w:val="00375770"/>
    <w:rsid w:val="003811C1"/>
    <w:rsid w:val="003820D0"/>
    <w:rsid w:val="00383942"/>
    <w:rsid w:val="00383F74"/>
    <w:rsid w:val="003841BE"/>
    <w:rsid w:val="00385A37"/>
    <w:rsid w:val="00386400"/>
    <w:rsid w:val="00391C9B"/>
    <w:rsid w:val="00393F3C"/>
    <w:rsid w:val="00394591"/>
    <w:rsid w:val="00394B7C"/>
    <w:rsid w:val="003959D3"/>
    <w:rsid w:val="0039797B"/>
    <w:rsid w:val="003A0CC3"/>
    <w:rsid w:val="003A3D9A"/>
    <w:rsid w:val="003A5B65"/>
    <w:rsid w:val="003A5D20"/>
    <w:rsid w:val="003A6111"/>
    <w:rsid w:val="003A6609"/>
    <w:rsid w:val="003B1B57"/>
    <w:rsid w:val="003B2149"/>
    <w:rsid w:val="003B2E16"/>
    <w:rsid w:val="003B4C19"/>
    <w:rsid w:val="003B5C75"/>
    <w:rsid w:val="003B5D79"/>
    <w:rsid w:val="003B7D43"/>
    <w:rsid w:val="003C03AE"/>
    <w:rsid w:val="003C0B1B"/>
    <w:rsid w:val="003C0CC9"/>
    <w:rsid w:val="003C189F"/>
    <w:rsid w:val="003C1B27"/>
    <w:rsid w:val="003C1C74"/>
    <w:rsid w:val="003C2769"/>
    <w:rsid w:val="003C3163"/>
    <w:rsid w:val="003C4863"/>
    <w:rsid w:val="003C5C00"/>
    <w:rsid w:val="003C6229"/>
    <w:rsid w:val="003C7096"/>
    <w:rsid w:val="003C7AC4"/>
    <w:rsid w:val="003C7C13"/>
    <w:rsid w:val="003D0286"/>
    <w:rsid w:val="003D18CE"/>
    <w:rsid w:val="003D415B"/>
    <w:rsid w:val="003D5F5B"/>
    <w:rsid w:val="003D6211"/>
    <w:rsid w:val="003E0BE8"/>
    <w:rsid w:val="003E0E94"/>
    <w:rsid w:val="003E143C"/>
    <w:rsid w:val="003E1866"/>
    <w:rsid w:val="003E2165"/>
    <w:rsid w:val="003E2AA2"/>
    <w:rsid w:val="003E3CC9"/>
    <w:rsid w:val="003E411D"/>
    <w:rsid w:val="003E5179"/>
    <w:rsid w:val="003E5B85"/>
    <w:rsid w:val="003E5E35"/>
    <w:rsid w:val="003E6E97"/>
    <w:rsid w:val="003F1560"/>
    <w:rsid w:val="003F19B4"/>
    <w:rsid w:val="003F1D39"/>
    <w:rsid w:val="003F2E96"/>
    <w:rsid w:val="003F3313"/>
    <w:rsid w:val="003F341C"/>
    <w:rsid w:val="003F3866"/>
    <w:rsid w:val="003F40BF"/>
    <w:rsid w:val="003F66CF"/>
    <w:rsid w:val="003F7CD2"/>
    <w:rsid w:val="00400812"/>
    <w:rsid w:val="00400C27"/>
    <w:rsid w:val="004041FA"/>
    <w:rsid w:val="0040461A"/>
    <w:rsid w:val="00404731"/>
    <w:rsid w:val="00406429"/>
    <w:rsid w:val="00407433"/>
    <w:rsid w:val="004077D8"/>
    <w:rsid w:val="00413B0C"/>
    <w:rsid w:val="00416479"/>
    <w:rsid w:val="004171A8"/>
    <w:rsid w:val="00420316"/>
    <w:rsid w:val="00420B7D"/>
    <w:rsid w:val="00425D05"/>
    <w:rsid w:val="00427D5D"/>
    <w:rsid w:val="00427F8F"/>
    <w:rsid w:val="00430854"/>
    <w:rsid w:val="00432E49"/>
    <w:rsid w:val="0043533B"/>
    <w:rsid w:val="00435962"/>
    <w:rsid w:val="00442E3F"/>
    <w:rsid w:val="00443466"/>
    <w:rsid w:val="004437B5"/>
    <w:rsid w:val="00443CE8"/>
    <w:rsid w:val="004456B3"/>
    <w:rsid w:val="004459D4"/>
    <w:rsid w:val="00445C33"/>
    <w:rsid w:val="00447DBA"/>
    <w:rsid w:val="004516E5"/>
    <w:rsid w:val="004560DD"/>
    <w:rsid w:val="00457267"/>
    <w:rsid w:val="0046013B"/>
    <w:rsid w:val="00461AE6"/>
    <w:rsid w:val="004621F3"/>
    <w:rsid w:val="00463B2C"/>
    <w:rsid w:val="00463BB6"/>
    <w:rsid w:val="00464655"/>
    <w:rsid w:val="004661FB"/>
    <w:rsid w:val="00466A35"/>
    <w:rsid w:val="00467AE0"/>
    <w:rsid w:val="00470605"/>
    <w:rsid w:val="004727D2"/>
    <w:rsid w:val="0047584A"/>
    <w:rsid w:val="00477F8C"/>
    <w:rsid w:val="0048142E"/>
    <w:rsid w:val="00482131"/>
    <w:rsid w:val="00482F5E"/>
    <w:rsid w:val="004830DD"/>
    <w:rsid w:val="00483D68"/>
    <w:rsid w:val="00484490"/>
    <w:rsid w:val="00484C7E"/>
    <w:rsid w:val="004853C9"/>
    <w:rsid w:val="00486376"/>
    <w:rsid w:val="00486D0F"/>
    <w:rsid w:val="00486D5C"/>
    <w:rsid w:val="00486EA8"/>
    <w:rsid w:val="00487A7E"/>
    <w:rsid w:val="00492DAE"/>
    <w:rsid w:val="00495DEC"/>
    <w:rsid w:val="004967AF"/>
    <w:rsid w:val="0049735E"/>
    <w:rsid w:val="0049778A"/>
    <w:rsid w:val="00497ACC"/>
    <w:rsid w:val="004A033C"/>
    <w:rsid w:val="004A1804"/>
    <w:rsid w:val="004A2AEB"/>
    <w:rsid w:val="004A3073"/>
    <w:rsid w:val="004A476B"/>
    <w:rsid w:val="004A54F2"/>
    <w:rsid w:val="004A5830"/>
    <w:rsid w:val="004B1821"/>
    <w:rsid w:val="004B224C"/>
    <w:rsid w:val="004B37AD"/>
    <w:rsid w:val="004B3B13"/>
    <w:rsid w:val="004B3DB9"/>
    <w:rsid w:val="004B4C37"/>
    <w:rsid w:val="004B721D"/>
    <w:rsid w:val="004B74C2"/>
    <w:rsid w:val="004C002A"/>
    <w:rsid w:val="004C2845"/>
    <w:rsid w:val="004C5119"/>
    <w:rsid w:val="004C5AD9"/>
    <w:rsid w:val="004C5C3B"/>
    <w:rsid w:val="004C6C16"/>
    <w:rsid w:val="004D05E4"/>
    <w:rsid w:val="004D1BC3"/>
    <w:rsid w:val="004D235D"/>
    <w:rsid w:val="004D3099"/>
    <w:rsid w:val="004D3182"/>
    <w:rsid w:val="004D38C9"/>
    <w:rsid w:val="004D517F"/>
    <w:rsid w:val="004D6C0F"/>
    <w:rsid w:val="004E04F8"/>
    <w:rsid w:val="004E1544"/>
    <w:rsid w:val="004E1F47"/>
    <w:rsid w:val="004E2209"/>
    <w:rsid w:val="004E2861"/>
    <w:rsid w:val="004E4463"/>
    <w:rsid w:val="004E5170"/>
    <w:rsid w:val="004E53A8"/>
    <w:rsid w:val="004F07CA"/>
    <w:rsid w:val="004F264E"/>
    <w:rsid w:val="004F3833"/>
    <w:rsid w:val="004F3DBB"/>
    <w:rsid w:val="004F5097"/>
    <w:rsid w:val="004F6E04"/>
    <w:rsid w:val="004F7CA1"/>
    <w:rsid w:val="004F7E87"/>
    <w:rsid w:val="00500CA0"/>
    <w:rsid w:val="00500CC6"/>
    <w:rsid w:val="00500D0C"/>
    <w:rsid w:val="005012DF"/>
    <w:rsid w:val="005021E2"/>
    <w:rsid w:val="00503443"/>
    <w:rsid w:val="005035F0"/>
    <w:rsid w:val="00504203"/>
    <w:rsid w:val="00505385"/>
    <w:rsid w:val="00506511"/>
    <w:rsid w:val="0051086D"/>
    <w:rsid w:val="0051095D"/>
    <w:rsid w:val="00510DF6"/>
    <w:rsid w:val="00511633"/>
    <w:rsid w:val="00511916"/>
    <w:rsid w:val="00511F7B"/>
    <w:rsid w:val="00513407"/>
    <w:rsid w:val="00513988"/>
    <w:rsid w:val="00514656"/>
    <w:rsid w:val="00514ACE"/>
    <w:rsid w:val="00515761"/>
    <w:rsid w:val="005168C2"/>
    <w:rsid w:val="00516962"/>
    <w:rsid w:val="0051725F"/>
    <w:rsid w:val="00517CE1"/>
    <w:rsid w:val="005210F4"/>
    <w:rsid w:val="00522428"/>
    <w:rsid w:val="00523A7A"/>
    <w:rsid w:val="005260BF"/>
    <w:rsid w:val="005260CF"/>
    <w:rsid w:val="005271DA"/>
    <w:rsid w:val="005273AD"/>
    <w:rsid w:val="00531883"/>
    <w:rsid w:val="005363F9"/>
    <w:rsid w:val="005373E2"/>
    <w:rsid w:val="00537A7C"/>
    <w:rsid w:val="00540B6B"/>
    <w:rsid w:val="005423C9"/>
    <w:rsid w:val="0054295E"/>
    <w:rsid w:val="00542AD0"/>
    <w:rsid w:val="00544376"/>
    <w:rsid w:val="005454A5"/>
    <w:rsid w:val="005454EF"/>
    <w:rsid w:val="005511B9"/>
    <w:rsid w:val="00553120"/>
    <w:rsid w:val="005537F1"/>
    <w:rsid w:val="005553B9"/>
    <w:rsid w:val="00557E0A"/>
    <w:rsid w:val="00560977"/>
    <w:rsid w:val="0056291A"/>
    <w:rsid w:val="00564490"/>
    <w:rsid w:val="00574FA1"/>
    <w:rsid w:val="00576966"/>
    <w:rsid w:val="00576CA8"/>
    <w:rsid w:val="00577593"/>
    <w:rsid w:val="00577BC2"/>
    <w:rsid w:val="005805E9"/>
    <w:rsid w:val="00581167"/>
    <w:rsid w:val="00581464"/>
    <w:rsid w:val="00583165"/>
    <w:rsid w:val="005832A3"/>
    <w:rsid w:val="005839B5"/>
    <w:rsid w:val="00583BBE"/>
    <w:rsid w:val="00584352"/>
    <w:rsid w:val="00584563"/>
    <w:rsid w:val="005864F0"/>
    <w:rsid w:val="005902C5"/>
    <w:rsid w:val="005924AE"/>
    <w:rsid w:val="00594AEA"/>
    <w:rsid w:val="00594EC6"/>
    <w:rsid w:val="00595097"/>
    <w:rsid w:val="005A2877"/>
    <w:rsid w:val="005A2F8D"/>
    <w:rsid w:val="005A37B7"/>
    <w:rsid w:val="005A7FDE"/>
    <w:rsid w:val="005B0B2A"/>
    <w:rsid w:val="005B0D6B"/>
    <w:rsid w:val="005B0E5F"/>
    <w:rsid w:val="005B3267"/>
    <w:rsid w:val="005B4D4A"/>
    <w:rsid w:val="005B7610"/>
    <w:rsid w:val="005C0AF8"/>
    <w:rsid w:val="005C0C6E"/>
    <w:rsid w:val="005C107E"/>
    <w:rsid w:val="005C283E"/>
    <w:rsid w:val="005C3820"/>
    <w:rsid w:val="005C3CBD"/>
    <w:rsid w:val="005C56BA"/>
    <w:rsid w:val="005C5820"/>
    <w:rsid w:val="005C6685"/>
    <w:rsid w:val="005C68BD"/>
    <w:rsid w:val="005C68DB"/>
    <w:rsid w:val="005C797D"/>
    <w:rsid w:val="005C7BD9"/>
    <w:rsid w:val="005C7E3D"/>
    <w:rsid w:val="005D1A1F"/>
    <w:rsid w:val="005D27BE"/>
    <w:rsid w:val="005D3F86"/>
    <w:rsid w:val="005D44F3"/>
    <w:rsid w:val="005D5364"/>
    <w:rsid w:val="005D658C"/>
    <w:rsid w:val="005D7C03"/>
    <w:rsid w:val="005E40A9"/>
    <w:rsid w:val="005E4CBB"/>
    <w:rsid w:val="005E4FDD"/>
    <w:rsid w:val="005E5B4B"/>
    <w:rsid w:val="005E5CD9"/>
    <w:rsid w:val="005E63E9"/>
    <w:rsid w:val="005E77E3"/>
    <w:rsid w:val="005F21CD"/>
    <w:rsid w:val="005F2575"/>
    <w:rsid w:val="005F2A9D"/>
    <w:rsid w:val="005F4576"/>
    <w:rsid w:val="005F623D"/>
    <w:rsid w:val="005F6E0D"/>
    <w:rsid w:val="005F717C"/>
    <w:rsid w:val="006019B5"/>
    <w:rsid w:val="006026BA"/>
    <w:rsid w:val="00605961"/>
    <w:rsid w:val="0060642C"/>
    <w:rsid w:val="0060661F"/>
    <w:rsid w:val="00606A9A"/>
    <w:rsid w:val="006073A6"/>
    <w:rsid w:val="00607959"/>
    <w:rsid w:val="00611324"/>
    <w:rsid w:val="006119BB"/>
    <w:rsid w:val="00613C4D"/>
    <w:rsid w:val="006142A1"/>
    <w:rsid w:val="0061446A"/>
    <w:rsid w:val="0061530F"/>
    <w:rsid w:val="00615E91"/>
    <w:rsid w:val="00616674"/>
    <w:rsid w:val="0061722A"/>
    <w:rsid w:val="00617C19"/>
    <w:rsid w:val="00620096"/>
    <w:rsid w:val="006203A7"/>
    <w:rsid w:val="00620899"/>
    <w:rsid w:val="00621112"/>
    <w:rsid w:val="00622D18"/>
    <w:rsid w:val="00622E2F"/>
    <w:rsid w:val="006231D1"/>
    <w:rsid w:val="00623BFB"/>
    <w:rsid w:val="006246DC"/>
    <w:rsid w:val="00630CAA"/>
    <w:rsid w:val="0063349E"/>
    <w:rsid w:val="0063353C"/>
    <w:rsid w:val="00633AF1"/>
    <w:rsid w:val="00634A09"/>
    <w:rsid w:val="0063773A"/>
    <w:rsid w:val="00637B58"/>
    <w:rsid w:val="00642C6D"/>
    <w:rsid w:val="006433C9"/>
    <w:rsid w:val="00643DA4"/>
    <w:rsid w:val="00644D04"/>
    <w:rsid w:val="00644E5D"/>
    <w:rsid w:val="00646982"/>
    <w:rsid w:val="00650B09"/>
    <w:rsid w:val="0065394F"/>
    <w:rsid w:val="0065397A"/>
    <w:rsid w:val="00654A57"/>
    <w:rsid w:val="006574D7"/>
    <w:rsid w:val="0065781E"/>
    <w:rsid w:val="0066025F"/>
    <w:rsid w:val="0066145F"/>
    <w:rsid w:val="00662895"/>
    <w:rsid w:val="00663B33"/>
    <w:rsid w:val="00670CEA"/>
    <w:rsid w:val="0067176D"/>
    <w:rsid w:val="00671E55"/>
    <w:rsid w:val="00672B9B"/>
    <w:rsid w:val="0067375B"/>
    <w:rsid w:val="00674611"/>
    <w:rsid w:val="006756ED"/>
    <w:rsid w:val="0067602D"/>
    <w:rsid w:val="0067648F"/>
    <w:rsid w:val="00680609"/>
    <w:rsid w:val="0068136F"/>
    <w:rsid w:val="0068176D"/>
    <w:rsid w:val="00683EC9"/>
    <w:rsid w:val="00684406"/>
    <w:rsid w:val="0068476C"/>
    <w:rsid w:val="006853EA"/>
    <w:rsid w:val="00686AD2"/>
    <w:rsid w:val="00687E4E"/>
    <w:rsid w:val="00694091"/>
    <w:rsid w:val="00694A5E"/>
    <w:rsid w:val="00695FA0"/>
    <w:rsid w:val="0069660A"/>
    <w:rsid w:val="00696A9A"/>
    <w:rsid w:val="00696E25"/>
    <w:rsid w:val="00696F29"/>
    <w:rsid w:val="0069746A"/>
    <w:rsid w:val="006A1A8B"/>
    <w:rsid w:val="006A33C4"/>
    <w:rsid w:val="006A52AF"/>
    <w:rsid w:val="006A5A82"/>
    <w:rsid w:val="006A768D"/>
    <w:rsid w:val="006B0DB2"/>
    <w:rsid w:val="006B0E21"/>
    <w:rsid w:val="006B3049"/>
    <w:rsid w:val="006B6CD5"/>
    <w:rsid w:val="006B7ECA"/>
    <w:rsid w:val="006B7F89"/>
    <w:rsid w:val="006C3F6A"/>
    <w:rsid w:val="006C4DF7"/>
    <w:rsid w:val="006C5EBA"/>
    <w:rsid w:val="006C6BF4"/>
    <w:rsid w:val="006D12D3"/>
    <w:rsid w:val="006D20D3"/>
    <w:rsid w:val="006D3AF7"/>
    <w:rsid w:val="006D5293"/>
    <w:rsid w:val="006D590D"/>
    <w:rsid w:val="006D7A85"/>
    <w:rsid w:val="006E15EB"/>
    <w:rsid w:val="006E213D"/>
    <w:rsid w:val="006E2B16"/>
    <w:rsid w:val="006E39C6"/>
    <w:rsid w:val="006E404E"/>
    <w:rsid w:val="006E45DE"/>
    <w:rsid w:val="006E4933"/>
    <w:rsid w:val="006E4F46"/>
    <w:rsid w:val="006E5DB3"/>
    <w:rsid w:val="006F03DC"/>
    <w:rsid w:val="006F066A"/>
    <w:rsid w:val="006F0E31"/>
    <w:rsid w:val="006F57EF"/>
    <w:rsid w:val="006F7A41"/>
    <w:rsid w:val="0070116C"/>
    <w:rsid w:val="00702647"/>
    <w:rsid w:val="0070331B"/>
    <w:rsid w:val="0070351B"/>
    <w:rsid w:val="007039F4"/>
    <w:rsid w:val="00704BDD"/>
    <w:rsid w:val="00704EAB"/>
    <w:rsid w:val="007105A9"/>
    <w:rsid w:val="00710F79"/>
    <w:rsid w:val="00711036"/>
    <w:rsid w:val="007114F9"/>
    <w:rsid w:val="007157D7"/>
    <w:rsid w:val="00716670"/>
    <w:rsid w:val="007202B4"/>
    <w:rsid w:val="007202FD"/>
    <w:rsid w:val="00720572"/>
    <w:rsid w:val="00722478"/>
    <w:rsid w:val="00724670"/>
    <w:rsid w:val="00725A0F"/>
    <w:rsid w:val="00727706"/>
    <w:rsid w:val="00730BDA"/>
    <w:rsid w:val="00732F01"/>
    <w:rsid w:val="00735640"/>
    <w:rsid w:val="007363C8"/>
    <w:rsid w:val="00737973"/>
    <w:rsid w:val="00740165"/>
    <w:rsid w:val="00740607"/>
    <w:rsid w:val="0074588B"/>
    <w:rsid w:val="00745D3F"/>
    <w:rsid w:val="00745F2F"/>
    <w:rsid w:val="00747045"/>
    <w:rsid w:val="007477D7"/>
    <w:rsid w:val="00751A55"/>
    <w:rsid w:val="007520E7"/>
    <w:rsid w:val="00753030"/>
    <w:rsid w:val="00753B89"/>
    <w:rsid w:val="00753CA4"/>
    <w:rsid w:val="00754116"/>
    <w:rsid w:val="007541D5"/>
    <w:rsid w:val="00755BF2"/>
    <w:rsid w:val="007560FD"/>
    <w:rsid w:val="00756F63"/>
    <w:rsid w:val="00760757"/>
    <w:rsid w:val="00760BB3"/>
    <w:rsid w:val="00764C7C"/>
    <w:rsid w:val="007651DD"/>
    <w:rsid w:val="007674A8"/>
    <w:rsid w:val="00767704"/>
    <w:rsid w:val="007701FD"/>
    <w:rsid w:val="00773859"/>
    <w:rsid w:val="007744E6"/>
    <w:rsid w:val="007758C1"/>
    <w:rsid w:val="00777BFD"/>
    <w:rsid w:val="00781249"/>
    <w:rsid w:val="00786278"/>
    <w:rsid w:val="00790605"/>
    <w:rsid w:val="00790AA9"/>
    <w:rsid w:val="00791DDB"/>
    <w:rsid w:val="00793DC3"/>
    <w:rsid w:val="00794E03"/>
    <w:rsid w:val="0079544A"/>
    <w:rsid w:val="007972DC"/>
    <w:rsid w:val="007A04AE"/>
    <w:rsid w:val="007A0FFA"/>
    <w:rsid w:val="007A199F"/>
    <w:rsid w:val="007A1DDF"/>
    <w:rsid w:val="007A4B2F"/>
    <w:rsid w:val="007A4D40"/>
    <w:rsid w:val="007A7D7A"/>
    <w:rsid w:val="007B093A"/>
    <w:rsid w:val="007B3E5A"/>
    <w:rsid w:val="007B3F56"/>
    <w:rsid w:val="007B4670"/>
    <w:rsid w:val="007B6BD9"/>
    <w:rsid w:val="007B7DCA"/>
    <w:rsid w:val="007C01D2"/>
    <w:rsid w:val="007C19C2"/>
    <w:rsid w:val="007C2C4F"/>
    <w:rsid w:val="007C606D"/>
    <w:rsid w:val="007C6F35"/>
    <w:rsid w:val="007C7394"/>
    <w:rsid w:val="007D2DFC"/>
    <w:rsid w:val="007D32C6"/>
    <w:rsid w:val="007D33E3"/>
    <w:rsid w:val="007D35AA"/>
    <w:rsid w:val="007D42C1"/>
    <w:rsid w:val="007D442F"/>
    <w:rsid w:val="007D4EAF"/>
    <w:rsid w:val="007D5A19"/>
    <w:rsid w:val="007D63F5"/>
    <w:rsid w:val="007D6F7C"/>
    <w:rsid w:val="007D7D1E"/>
    <w:rsid w:val="007D7F10"/>
    <w:rsid w:val="007E0270"/>
    <w:rsid w:val="007E4BE4"/>
    <w:rsid w:val="007E50B0"/>
    <w:rsid w:val="007E63C1"/>
    <w:rsid w:val="007E7992"/>
    <w:rsid w:val="007F1DB7"/>
    <w:rsid w:val="007F3FEA"/>
    <w:rsid w:val="007F515B"/>
    <w:rsid w:val="007F5D4E"/>
    <w:rsid w:val="007F614E"/>
    <w:rsid w:val="007F68C6"/>
    <w:rsid w:val="00801EF8"/>
    <w:rsid w:val="00801FF4"/>
    <w:rsid w:val="0080216A"/>
    <w:rsid w:val="00802564"/>
    <w:rsid w:val="00802872"/>
    <w:rsid w:val="00803DEC"/>
    <w:rsid w:val="00803FED"/>
    <w:rsid w:val="008060C9"/>
    <w:rsid w:val="00810E3C"/>
    <w:rsid w:val="0081430E"/>
    <w:rsid w:val="00814C85"/>
    <w:rsid w:val="008167A4"/>
    <w:rsid w:val="0082044E"/>
    <w:rsid w:val="00821DDE"/>
    <w:rsid w:val="00821EB2"/>
    <w:rsid w:val="00822B02"/>
    <w:rsid w:val="00822BDB"/>
    <w:rsid w:val="008231A6"/>
    <w:rsid w:val="008242A8"/>
    <w:rsid w:val="00824DB8"/>
    <w:rsid w:val="008251F7"/>
    <w:rsid w:val="0082601B"/>
    <w:rsid w:val="0082650D"/>
    <w:rsid w:val="00826C08"/>
    <w:rsid w:val="00826CD3"/>
    <w:rsid w:val="00827CDC"/>
    <w:rsid w:val="00832E1F"/>
    <w:rsid w:val="0083523B"/>
    <w:rsid w:val="00836372"/>
    <w:rsid w:val="00836AD0"/>
    <w:rsid w:val="008372C7"/>
    <w:rsid w:val="00840419"/>
    <w:rsid w:val="008404D0"/>
    <w:rsid w:val="0084125D"/>
    <w:rsid w:val="008416C8"/>
    <w:rsid w:val="00841967"/>
    <w:rsid w:val="0084196B"/>
    <w:rsid w:val="0084449B"/>
    <w:rsid w:val="008444E3"/>
    <w:rsid w:val="00844DA7"/>
    <w:rsid w:val="0084548B"/>
    <w:rsid w:val="00845945"/>
    <w:rsid w:val="00846E9A"/>
    <w:rsid w:val="00847EAF"/>
    <w:rsid w:val="008500EF"/>
    <w:rsid w:val="00850FFF"/>
    <w:rsid w:val="00852216"/>
    <w:rsid w:val="00852CFF"/>
    <w:rsid w:val="008544AF"/>
    <w:rsid w:val="00854981"/>
    <w:rsid w:val="00854D2E"/>
    <w:rsid w:val="008551C0"/>
    <w:rsid w:val="008569B3"/>
    <w:rsid w:val="00861DD3"/>
    <w:rsid w:val="0086230A"/>
    <w:rsid w:val="0086308F"/>
    <w:rsid w:val="008670E6"/>
    <w:rsid w:val="00874846"/>
    <w:rsid w:val="00874E1C"/>
    <w:rsid w:val="008752D9"/>
    <w:rsid w:val="00875395"/>
    <w:rsid w:val="0087548A"/>
    <w:rsid w:val="00876F2A"/>
    <w:rsid w:val="00876F2E"/>
    <w:rsid w:val="008833A8"/>
    <w:rsid w:val="00883586"/>
    <w:rsid w:val="0088561B"/>
    <w:rsid w:val="00885D22"/>
    <w:rsid w:val="0088602F"/>
    <w:rsid w:val="00886BB9"/>
    <w:rsid w:val="008875F3"/>
    <w:rsid w:val="008922B3"/>
    <w:rsid w:val="00892C68"/>
    <w:rsid w:val="0089357B"/>
    <w:rsid w:val="00894727"/>
    <w:rsid w:val="00895FD2"/>
    <w:rsid w:val="008A0072"/>
    <w:rsid w:val="008A00A8"/>
    <w:rsid w:val="008A0478"/>
    <w:rsid w:val="008A0A19"/>
    <w:rsid w:val="008A1EB0"/>
    <w:rsid w:val="008A3D83"/>
    <w:rsid w:val="008A4812"/>
    <w:rsid w:val="008A4EAD"/>
    <w:rsid w:val="008A5BFF"/>
    <w:rsid w:val="008A5DD4"/>
    <w:rsid w:val="008A6AC0"/>
    <w:rsid w:val="008B05D0"/>
    <w:rsid w:val="008B2A3E"/>
    <w:rsid w:val="008B38ED"/>
    <w:rsid w:val="008B42DC"/>
    <w:rsid w:val="008B4921"/>
    <w:rsid w:val="008B4C91"/>
    <w:rsid w:val="008C29B2"/>
    <w:rsid w:val="008C6A81"/>
    <w:rsid w:val="008C7189"/>
    <w:rsid w:val="008C7520"/>
    <w:rsid w:val="008C7B31"/>
    <w:rsid w:val="008D057C"/>
    <w:rsid w:val="008D0C7C"/>
    <w:rsid w:val="008D17B8"/>
    <w:rsid w:val="008D1ADA"/>
    <w:rsid w:val="008D4DC8"/>
    <w:rsid w:val="008D6304"/>
    <w:rsid w:val="008D6B19"/>
    <w:rsid w:val="008D7856"/>
    <w:rsid w:val="008E03AD"/>
    <w:rsid w:val="008E0D6F"/>
    <w:rsid w:val="008E37DD"/>
    <w:rsid w:val="008E5690"/>
    <w:rsid w:val="008E5730"/>
    <w:rsid w:val="008F27FA"/>
    <w:rsid w:val="008F36FF"/>
    <w:rsid w:val="008F5913"/>
    <w:rsid w:val="008F5D25"/>
    <w:rsid w:val="008F5DB6"/>
    <w:rsid w:val="00901090"/>
    <w:rsid w:val="00907B3F"/>
    <w:rsid w:val="00912EE7"/>
    <w:rsid w:val="00913241"/>
    <w:rsid w:val="00914CA7"/>
    <w:rsid w:val="00917204"/>
    <w:rsid w:val="00917ADD"/>
    <w:rsid w:val="00920C0E"/>
    <w:rsid w:val="00921069"/>
    <w:rsid w:val="00921CA6"/>
    <w:rsid w:val="00924B07"/>
    <w:rsid w:val="00925B0E"/>
    <w:rsid w:val="009262E3"/>
    <w:rsid w:val="0092776C"/>
    <w:rsid w:val="00930053"/>
    <w:rsid w:val="00931401"/>
    <w:rsid w:val="00932BA9"/>
    <w:rsid w:val="00933D84"/>
    <w:rsid w:val="009348B2"/>
    <w:rsid w:val="00934E21"/>
    <w:rsid w:val="00935171"/>
    <w:rsid w:val="00935B2C"/>
    <w:rsid w:val="009360EE"/>
    <w:rsid w:val="0093640B"/>
    <w:rsid w:val="009423BD"/>
    <w:rsid w:val="00942876"/>
    <w:rsid w:val="009464CF"/>
    <w:rsid w:val="00946716"/>
    <w:rsid w:val="009505BA"/>
    <w:rsid w:val="00953901"/>
    <w:rsid w:val="00953A73"/>
    <w:rsid w:val="009613CD"/>
    <w:rsid w:val="00963EDF"/>
    <w:rsid w:val="00965E10"/>
    <w:rsid w:val="00970B18"/>
    <w:rsid w:val="00971582"/>
    <w:rsid w:val="00973C2B"/>
    <w:rsid w:val="00974725"/>
    <w:rsid w:val="00976237"/>
    <w:rsid w:val="00981B4B"/>
    <w:rsid w:val="00982128"/>
    <w:rsid w:val="00982330"/>
    <w:rsid w:val="00984AD5"/>
    <w:rsid w:val="00985469"/>
    <w:rsid w:val="009856C2"/>
    <w:rsid w:val="009859D5"/>
    <w:rsid w:val="0098630B"/>
    <w:rsid w:val="009868DC"/>
    <w:rsid w:val="0099068B"/>
    <w:rsid w:val="009909CB"/>
    <w:rsid w:val="00990B2F"/>
    <w:rsid w:val="00990EAC"/>
    <w:rsid w:val="00991678"/>
    <w:rsid w:val="00991F77"/>
    <w:rsid w:val="0099479F"/>
    <w:rsid w:val="009964CE"/>
    <w:rsid w:val="009972D9"/>
    <w:rsid w:val="0099794C"/>
    <w:rsid w:val="009A00BF"/>
    <w:rsid w:val="009A1600"/>
    <w:rsid w:val="009A1A24"/>
    <w:rsid w:val="009A2CDA"/>
    <w:rsid w:val="009A53B6"/>
    <w:rsid w:val="009A5734"/>
    <w:rsid w:val="009A5976"/>
    <w:rsid w:val="009A61BA"/>
    <w:rsid w:val="009B2821"/>
    <w:rsid w:val="009B28BC"/>
    <w:rsid w:val="009B3552"/>
    <w:rsid w:val="009B37E3"/>
    <w:rsid w:val="009B3959"/>
    <w:rsid w:val="009C496C"/>
    <w:rsid w:val="009C7A55"/>
    <w:rsid w:val="009D03D5"/>
    <w:rsid w:val="009D1C8C"/>
    <w:rsid w:val="009D4AE0"/>
    <w:rsid w:val="009D5F6E"/>
    <w:rsid w:val="009D611B"/>
    <w:rsid w:val="009E0AB7"/>
    <w:rsid w:val="009E65D0"/>
    <w:rsid w:val="009E686E"/>
    <w:rsid w:val="009F021D"/>
    <w:rsid w:val="009F1886"/>
    <w:rsid w:val="009F2917"/>
    <w:rsid w:val="009F2E91"/>
    <w:rsid w:val="009F384C"/>
    <w:rsid w:val="00A013EB"/>
    <w:rsid w:val="00A016B9"/>
    <w:rsid w:val="00A02274"/>
    <w:rsid w:val="00A022A2"/>
    <w:rsid w:val="00A027CF"/>
    <w:rsid w:val="00A027D9"/>
    <w:rsid w:val="00A03556"/>
    <w:rsid w:val="00A04E92"/>
    <w:rsid w:val="00A05033"/>
    <w:rsid w:val="00A07630"/>
    <w:rsid w:val="00A111CB"/>
    <w:rsid w:val="00A1182A"/>
    <w:rsid w:val="00A147C6"/>
    <w:rsid w:val="00A15E76"/>
    <w:rsid w:val="00A174C7"/>
    <w:rsid w:val="00A2018C"/>
    <w:rsid w:val="00A21D13"/>
    <w:rsid w:val="00A223F5"/>
    <w:rsid w:val="00A27BFA"/>
    <w:rsid w:val="00A30AEE"/>
    <w:rsid w:val="00A33508"/>
    <w:rsid w:val="00A33664"/>
    <w:rsid w:val="00A34637"/>
    <w:rsid w:val="00A3483F"/>
    <w:rsid w:val="00A34B87"/>
    <w:rsid w:val="00A34CCE"/>
    <w:rsid w:val="00A35E73"/>
    <w:rsid w:val="00A36404"/>
    <w:rsid w:val="00A36782"/>
    <w:rsid w:val="00A367E8"/>
    <w:rsid w:val="00A36B5E"/>
    <w:rsid w:val="00A36DCE"/>
    <w:rsid w:val="00A40D54"/>
    <w:rsid w:val="00A41305"/>
    <w:rsid w:val="00A44CA7"/>
    <w:rsid w:val="00A44FD6"/>
    <w:rsid w:val="00A45198"/>
    <w:rsid w:val="00A45E38"/>
    <w:rsid w:val="00A45EE2"/>
    <w:rsid w:val="00A47D93"/>
    <w:rsid w:val="00A5235C"/>
    <w:rsid w:val="00A525B5"/>
    <w:rsid w:val="00A5268E"/>
    <w:rsid w:val="00A53B20"/>
    <w:rsid w:val="00A576AE"/>
    <w:rsid w:val="00A61577"/>
    <w:rsid w:val="00A6437D"/>
    <w:rsid w:val="00A65DC7"/>
    <w:rsid w:val="00A70C68"/>
    <w:rsid w:val="00A72ADA"/>
    <w:rsid w:val="00A73DCB"/>
    <w:rsid w:val="00A75569"/>
    <w:rsid w:val="00A77C5B"/>
    <w:rsid w:val="00A77F81"/>
    <w:rsid w:val="00A8118B"/>
    <w:rsid w:val="00A821CF"/>
    <w:rsid w:val="00A855B1"/>
    <w:rsid w:val="00A8788D"/>
    <w:rsid w:val="00A9248F"/>
    <w:rsid w:val="00A92D40"/>
    <w:rsid w:val="00A92EAB"/>
    <w:rsid w:val="00A93908"/>
    <w:rsid w:val="00A956F4"/>
    <w:rsid w:val="00A96841"/>
    <w:rsid w:val="00A9689F"/>
    <w:rsid w:val="00A97025"/>
    <w:rsid w:val="00AA04A3"/>
    <w:rsid w:val="00AA0F28"/>
    <w:rsid w:val="00AA107B"/>
    <w:rsid w:val="00AA1B7A"/>
    <w:rsid w:val="00AA54C0"/>
    <w:rsid w:val="00AB1E28"/>
    <w:rsid w:val="00AB3146"/>
    <w:rsid w:val="00AB39D1"/>
    <w:rsid w:val="00AB4653"/>
    <w:rsid w:val="00AB6107"/>
    <w:rsid w:val="00AC0147"/>
    <w:rsid w:val="00AC0C28"/>
    <w:rsid w:val="00AC109B"/>
    <w:rsid w:val="00AC1418"/>
    <w:rsid w:val="00AC154D"/>
    <w:rsid w:val="00AC287B"/>
    <w:rsid w:val="00AC2BC9"/>
    <w:rsid w:val="00AC7727"/>
    <w:rsid w:val="00AD0231"/>
    <w:rsid w:val="00AD09A3"/>
    <w:rsid w:val="00AD2206"/>
    <w:rsid w:val="00AD4DA0"/>
    <w:rsid w:val="00AD593D"/>
    <w:rsid w:val="00AD7FFC"/>
    <w:rsid w:val="00AE2F70"/>
    <w:rsid w:val="00AE384E"/>
    <w:rsid w:val="00AE5695"/>
    <w:rsid w:val="00AF0646"/>
    <w:rsid w:val="00AF0FEA"/>
    <w:rsid w:val="00AF2F80"/>
    <w:rsid w:val="00AF3285"/>
    <w:rsid w:val="00AF3D06"/>
    <w:rsid w:val="00AF7D17"/>
    <w:rsid w:val="00B0201F"/>
    <w:rsid w:val="00B033CA"/>
    <w:rsid w:val="00B06F77"/>
    <w:rsid w:val="00B11198"/>
    <w:rsid w:val="00B14878"/>
    <w:rsid w:val="00B164F0"/>
    <w:rsid w:val="00B1677B"/>
    <w:rsid w:val="00B16F8E"/>
    <w:rsid w:val="00B21166"/>
    <w:rsid w:val="00B2403B"/>
    <w:rsid w:val="00B242FD"/>
    <w:rsid w:val="00B25042"/>
    <w:rsid w:val="00B25415"/>
    <w:rsid w:val="00B26AC5"/>
    <w:rsid w:val="00B27F52"/>
    <w:rsid w:val="00B33269"/>
    <w:rsid w:val="00B3694E"/>
    <w:rsid w:val="00B400AC"/>
    <w:rsid w:val="00B411FD"/>
    <w:rsid w:val="00B4232F"/>
    <w:rsid w:val="00B42A3D"/>
    <w:rsid w:val="00B43CEB"/>
    <w:rsid w:val="00B441CC"/>
    <w:rsid w:val="00B45F87"/>
    <w:rsid w:val="00B530B5"/>
    <w:rsid w:val="00B53254"/>
    <w:rsid w:val="00B547B2"/>
    <w:rsid w:val="00B54BE7"/>
    <w:rsid w:val="00B553E4"/>
    <w:rsid w:val="00B569A1"/>
    <w:rsid w:val="00B56E2D"/>
    <w:rsid w:val="00B65838"/>
    <w:rsid w:val="00B66B73"/>
    <w:rsid w:val="00B71011"/>
    <w:rsid w:val="00B726FB"/>
    <w:rsid w:val="00B72985"/>
    <w:rsid w:val="00B735F5"/>
    <w:rsid w:val="00B73720"/>
    <w:rsid w:val="00B758A4"/>
    <w:rsid w:val="00B75CE3"/>
    <w:rsid w:val="00B76808"/>
    <w:rsid w:val="00B802F0"/>
    <w:rsid w:val="00B80375"/>
    <w:rsid w:val="00B81623"/>
    <w:rsid w:val="00B81E00"/>
    <w:rsid w:val="00B826C6"/>
    <w:rsid w:val="00B83012"/>
    <w:rsid w:val="00B849A4"/>
    <w:rsid w:val="00B84B9D"/>
    <w:rsid w:val="00B87204"/>
    <w:rsid w:val="00B87C04"/>
    <w:rsid w:val="00B91AE1"/>
    <w:rsid w:val="00B92136"/>
    <w:rsid w:val="00B92E01"/>
    <w:rsid w:val="00B9415E"/>
    <w:rsid w:val="00B957C8"/>
    <w:rsid w:val="00B9657B"/>
    <w:rsid w:val="00B97348"/>
    <w:rsid w:val="00B97FA5"/>
    <w:rsid w:val="00BA077A"/>
    <w:rsid w:val="00BA1548"/>
    <w:rsid w:val="00BA2102"/>
    <w:rsid w:val="00BA48CB"/>
    <w:rsid w:val="00BA4B86"/>
    <w:rsid w:val="00BA58B5"/>
    <w:rsid w:val="00BA7BF7"/>
    <w:rsid w:val="00BB174A"/>
    <w:rsid w:val="00BB17F3"/>
    <w:rsid w:val="00BB1B7E"/>
    <w:rsid w:val="00BB1CEC"/>
    <w:rsid w:val="00BB4CAF"/>
    <w:rsid w:val="00BB6728"/>
    <w:rsid w:val="00BB7696"/>
    <w:rsid w:val="00BB76D8"/>
    <w:rsid w:val="00BC0AD9"/>
    <w:rsid w:val="00BC1511"/>
    <w:rsid w:val="00BC1954"/>
    <w:rsid w:val="00BC22EF"/>
    <w:rsid w:val="00BC7ECB"/>
    <w:rsid w:val="00BD425B"/>
    <w:rsid w:val="00BD4A0D"/>
    <w:rsid w:val="00BD55A6"/>
    <w:rsid w:val="00BE0925"/>
    <w:rsid w:val="00BE10BE"/>
    <w:rsid w:val="00BE2589"/>
    <w:rsid w:val="00BE5829"/>
    <w:rsid w:val="00BE59CA"/>
    <w:rsid w:val="00BE6228"/>
    <w:rsid w:val="00BE6CFB"/>
    <w:rsid w:val="00BF0DD8"/>
    <w:rsid w:val="00BF0FDC"/>
    <w:rsid w:val="00BF1B74"/>
    <w:rsid w:val="00BF22AB"/>
    <w:rsid w:val="00BF320E"/>
    <w:rsid w:val="00BF721A"/>
    <w:rsid w:val="00C01465"/>
    <w:rsid w:val="00C01B65"/>
    <w:rsid w:val="00C01F46"/>
    <w:rsid w:val="00C0478A"/>
    <w:rsid w:val="00C04B09"/>
    <w:rsid w:val="00C04B1B"/>
    <w:rsid w:val="00C04D0D"/>
    <w:rsid w:val="00C05127"/>
    <w:rsid w:val="00C05423"/>
    <w:rsid w:val="00C05540"/>
    <w:rsid w:val="00C0776C"/>
    <w:rsid w:val="00C10FBC"/>
    <w:rsid w:val="00C116B9"/>
    <w:rsid w:val="00C12F44"/>
    <w:rsid w:val="00C135B5"/>
    <w:rsid w:val="00C15616"/>
    <w:rsid w:val="00C20384"/>
    <w:rsid w:val="00C20D9D"/>
    <w:rsid w:val="00C20DD4"/>
    <w:rsid w:val="00C2162F"/>
    <w:rsid w:val="00C226E6"/>
    <w:rsid w:val="00C22FAB"/>
    <w:rsid w:val="00C238A3"/>
    <w:rsid w:val="00C23999"/>
    <w:rsid w:val="00C239F2"/>
    <w:rsid w:val="00C24AFF"/>
    <w:rsid w:val="00C274DD"/>
    <w:rsid w:val="00C27525"/>
    <w:rsid w:val="00C3099F"/>
    <w:rsid w:val="00C30C3E"/>
    <w:rsid w:val="00C31207"/>
    <w:rsid w:val="00C3758E"/>
    <w:rsid w:val="00C37EAC"/>
    <w:rsid w:val="00C42535"/>
    <w:rsid w:val="00C42EFA"/>
    <w:rsid w:val="00C43162"/>
    <w:rsid w:val="00C4478E"/>
    <w:rsid w:val="00C456B3"/>
    <w:rsid w:val="00C45BAB"/>
    <w:rsid w:val="00C46EA5"/>
    <w:rsid w:val="00C50974"/>
    <w:rsid w:val="00C50EAA"/>
    <w:rsid w:val="00C5167E"/>
    <w:rsid w:val="00C51D2F"/>
    <w:rsid w:val="00C5577C"/>
    <w:rsid w:val="00C607F8"/>
    <w:rsid w:val="00C608C4"/>
    <w:rsid w:val="00C61882"/>
    <w:rsid w:val="00C6349F"/>
    <w:rsid w:val="00C638EF"/>
    <w:rsid w:val="00C650B3"/>
    <w:rsid w:val="00C6583C"/>
    <w:rsid w:val="00C66E60"/>
    <w:rsid w:val="00C676E4"/>
    <w:rsid w:val="00C67747"/>
    <w:rsid w:val="00C678CF"/>
    <w:rsid w:val="00C70926"/>
    <w:rsid w:val="00C70F00"/>
    <w:rsid w:val="00C710FF"/>
    <w:rsid w:val="00C7349A"/>
    <w:rsid w:val="00C73B2A"/>
    <w:rsid w:val="00C75A89"/>
    <w:rsid w:val="00C812D5"/>
    <w:rsid w:val="00C82AC0"/>
    <w:rsid w:val="00C82C35"/>
    <w:rsid w:val="00C86213"/>
    <w:rsid w:val="00C87132"/>
    <w:rsid w:val="00C87438"/>
    <w:rsid w:val="00C90C4C"/>
    <w:rsid w:val="00C90F13"/>
    <w:rsid w:val="00C91BE0"/>
    <w:rsid w:val="00C94A50"/>
    <w:rsid w:val="00C95741"/>
    <w:rsid w:val="00C96B21"/>
    <w:rsid w:val="00CA072D"/>
    <w:rsid w:val="00CA2F1F"/>
    <w:rsid w:val="00CA3B59"/>
    <w:rsid w:val="00CA5DC7"/>
    <w:rsid w:val="00CA6075"/>
    <w:rsid w:val="00CA699E"/>
    <w:rsid w:val="00CA75A9"/>
    <w:rsid w:val="00CB1A89"/>
    <w:rsid w:val="00CB2611"/>
    <w:rsid w:val="00CB4147"/>
    <w:rsid w:val="00CB42BD"/>
    <w:rsid w:val="00CB45C7"/>
    <w:rsid w:val="00CB496C"/>
    <w:rsid w:val="00CB50AD"/>
    <w:rsid w:val="00CB6DA4"/>
    <w:rsid w:val="00CB76FF"/>
    <w:rsid w:val="00CB77A8"/>
    <w:rsid w:val="00CB7FB5"/>
    <w:rsid w:val="00CC1073"/>
    <w:rsid w:val="00CC10DD"/>
    <w:rsid w:val="00CC3D39"/>
    <w:rsid w:val="00CC41C1"/>
    <w:rsid w:val="00CC5FFB"/>
    <w:rsid w:val="00CC682D"/>
    <w:rsid w:val="00CC7E04"/>
    <w:rsid w:val="00CD0DAB"/>
    <w:rsid w:val="00CD171C"/>
    <w:rsid w:val="00CD1977"/>
    <w:rsid w:val="00CD2266"/>
    <w:rsid w:val="00CD6927"/>
    <w:rsid w:val="00CD7763"/>
    <w:rsid w:val="00CD79D5"/>
    <w:rsid w:val="00CE0232"/>
    <w:rsid w:val="00CE6D1A"/>
    <w:rsid w:val="00CE7D92"/>
    <w:rsid w:val="00CF3830"/>
    <w:rsid w:val="00CF5D7C"/>
    <w:rsid w:val="00CF61CC"/>
    <w:rsid w:val="00D0046B"/>
    <w:rsid w:val="00D03C28"/>
    <w:rsid w:val="00D0444A"/>
    <w:rsid w:val="00D04488"/>
    <w:rsid w:val="00D04B98"/>
    <w:rsid w:val="00D05414"/>
    <w:rsid w:val="00D06106"/>
    <w:rsid w:val="00D06251"/>
    <w:rsid w:val="00D0743F"/>
    <w:rsid w:val="00D12B87"/>
    <w:rsid w:val="00D12E7D"/>
    <w:rsid w:val="00D12EDE"/>
    <w:rsid w:val="00D133CD"/>
    <w:rsid w:val="00D1395F"/>
    <w:rsid w:val="00D15D3E"/>
    <w:rsid w:val="00D15F45"/>
    <w:rsid w:val="00D20D6C"/>
    <w:rsid w:val="00D21176"/>
    <w:rsid w:val="00D21F83"/>
    <w:rsid w:val="00D24444"/>
    <w:rsid w:val="00D25703"/>
    <w:rsid w:val="00D26588"/>
    <w:rsid w:val="00D27E73"/>
    <w:rsid w:val="00D27FC9"/>
    <w:rsid w:val="00D31858"/>
    <w:rsid w:val="00D32A9F"/>
    <w:rsid w:val="00D32E4C"/>
    <w:rsid w:val="00D3313B"/>
    <w:rsid w:val="00D3496C"/>
    <w:rsid w:val="00D3648F"/>
    <w:rsid w:val="00D36E2A"/>
    <w:rsid w:val="00D4027D"/>
    <w:rsid w:val="00D40ECC"/>
    <w:rsid w:val="00D4177A"/>
    <w:rsid w:val="00D422E4"/>
    <w:rsid w:val="00D433FA"/>
    <w:rsid w:val="00D501BE"/>
    <w:rsid w:val="00D50E3E"/>
    <w:rsid w:val="00D558D6"/>
    <w:rsid w:val="00D5769C"/>
    <w:rsid w:val="00D57B9F"/>
    <w:rsid w:val="00D57F70"/>
    <w:rsid w:val="00D63832"/>
    <w:rsid w:val="00D64CDE"/>
    <w:rsid w:val="00D66D1B"/>
    <w:rsid w:val="00D717A4"/>
    <w:rsid w:val="00D719C5"/>
    <w:rsid w:val="00D724D0"/>
    <w:rsid w:val="00D726C4"/>
    <w:rsid w:val="00D74311"/>
    <w:rsid w:val="00D76310"/>
    <w:rsid w:val="00D76943"/>
    <w:rsid w:val="00D77FC1"/>
    <w:rsid w:val="00D80845"/>
    <w:rsid w:val="00D85255"/>
    <w:rsid w:val="00D85F70"/>
    <w:rsid w:val="00D8610F"/>
    <w:rsid w:val="00D87C75"/>
    <w:rsid w:val="00D90326"/>
    <w:rsid w:val="00D91A92"/>
    <w:rsid w:val="00D92D85"/>
    <w:rsid w:val="00D9355B"/>
    <w:rsid w:val="00D95E11"/>
    <w:rsid w:val="00D9736B"/>
    <w:rsid w:val="00D9778A"/>
    <w:rsid w:val="00DA3143"/>
    <w:rsid w:val="00DA7862"/>
    <w:rsid w:val="00DA7AD8"/>
    <w:rsid w:val="00DB3193"/>
    <w:rsid w:val="00DB54DB"/>
    <w:rsid w:val="00DB55CB"/>
    <w:rsid w:val="00DC0807"/>
    <w:rsid w:val="00DC0BE5"/>
    <w:rsid w:val="00DC130F"/>
    <w:rsid w:val="00DC2271"/>
    <w:rsid w:val="00DC3BFD"/>
    <w:rsid w:val="00DC41A8"/>
    <w:rsid w:val="00DC41D3"/>
    <w:rsid w:val="00DD1120"/>
    <w:rsid w:val="00DD1C8B"/>
    <w:rsid w:val="00DD2B0C"/>
    <w:rsid w:val="00DD4A77"/>
    <w:rsid w:val="00DD58F4"/>
    <w:rsid w:val="00DD739A"/>
    <w:rsid w:val="00DE04CD"/>
    <w:rsid w:val="00DE0890"/>
    <w:rsid w:val="00DE0E6A"/>
    <w:rsid w:val="00DE17F9"/>
    <w:rsid w:val="00DE1CD5"/>
    <w:rsid w:val="00DE1E56"/>
    <w:rsid w:val="00DE3050"/>
    <w:rsid w:val="00DE4F5A"/>
    <w:rsid w:val="00DE5536"/>
    <w:rsid w:val="00DE5C80"/>
    <w:rsid w:val="00DE6A16"/>
    <w:rsid w:val="00DE70C1"/>
    <w:rsid w:val="00DE79B8"/>
    <w:rsid w:val="00DF39ED"/>
    <w:rsid w:val="00DF5BA0"/>
    <w:rsid w:val="00DF5D7E"/>
    <w:rsid w:val="00DF6394"/>
    <w:rsid w:val="00E01D5E"/>
    <w:rsid w:val="00E0255A"/>
    <w:rsid w:val="00E02EA7"/>
    <w:rsid w:val="00E031B3"/>
    <w:rsid w:val="00E03B2B"/>
    <w:rsid w:val="00E0439E"/>
    <w:rsid w:val="00E045D7"/>
    <w:rsid w:val="00E056B0"/>
    <w:rsid w:val="00E05CE8"/>
    <w:rsid w:val="00E06089"/>
    <w:rsid w:val="00E11418"/>
    <w:rsid w:val="00E11C74"/>
    <w:rsid w:val="00E1209B"/>
    <w:rsid w:val="00E1280E"/>
    <w:rsid w:val="00E138F1"/>
    <w:rsid w:val="00E220A1"/>
    <w:rsid w:val="00E22739"/>
    <w:rsid w:val="00E22990"/>
    <w:rsid w:val="00E24FC8"/>
    <w:rsid w:val="00E25A7B"/>
    <w:rsid w:val="00E25AD1"/>
    <w:rsid w:val="00E27F94"/>
    <w:rsid w:val="00E31CE8"/>
    <w:rsid w:val="00E3219E"/>
    <w:rsid w:val="00E33844"/>
    <w:rsid w:val="00E351D5"/>
    <w:rsid w:val="00E35261"/>
    <w:rsid w:val="00E36EEB"/>
    <w:rsid w:val="00E41B4E"/>
    <w:rsid w:val="00E44355"/>
    <w:rsid w:val="00E510C2"/>
    <w:rsid w:val="00E51EFA"/>
    <w:rsid w:val="00E522D9"/>
    <w:rsid w:val="00E53EB8"/>
    <w:rsid w:val="00E550C2"/>
    <w:rsid w:val="00E55F7A"/>
    <w:rsid w:val="00E5624F"/>
    <w:rsid w:val="00E56A86"/>
    <w:rsid w:val="00E57795"/>
    <w:rsid w:val="00E61D59"/>
    <w:rsid w:val="00E64009"/>
    <w:rsid w:val="00E66E09"/>
    <w:rsid w:val="00E66E18"/>
    <w:rsid w:val="00E673B8"/>
    <w:rsid w:val="00E7359A"/>
    <w:rsid w:val="00E73CD3"/>
    <w:rsid w:val="00E7498D"/>
    <w:rsid w:val="00E75A4A"/>
    <w:rsid w:val="00E75B58"/>
    <w:rsid w:val="00E767D1"/>
    <w:rsid w:val="00E779A2"/>
    <w:rsid w:val="00E80CB5"/>
    <w:rsid w:val="00E80F42"/>
    <w:rsid w:val="00E81300"/>
    <w:rsid w:val="00E8269B"/>
    <w:rsid w:val="00E82D7E"/>
    <w:rsid w:val="00E8568B"/>
    <w:rsid w:val="00E871D0"/>
    <w:rsid w:val="00E87B49"/>
    <w:rsid w:val="00E90CFC"/>
    <w:rsid w:val="00E910C0"/>
    <w:rsid w:val="00E9186D"/>
    <w:rsid w:val="00E92FB4"/>
    <w:rsid w:val="00E9433A"/>
    <w:rsid w:val="00E94546"/>
    <w:rsid w:val="00E94726"/>
    <w:rsid w:val="00E95689"/>
    <w:rsid w:val="00E95821"/>
    <w:rsid w:val="00E97965"/>
    <w:rsid w:val="00EA1114"/>
    <w:rsid w:val="00EA1D0B"/>
    <w:rsid w:val="00EA3565"/>
    <w:rsid w:val="00EA494E"/>
    <w:rsid w:val="00EA49FD"/>
    <w:rsid w:val="00EA55E9"/>
    <w:rsid w:val="00EA5E9F"/>
    <w:rsid w:val="00EA6053"/>
    <w:rsid w:val="00EB0E08"/>
    <w:rsid w:val="00EB2918"/>
    <w:rsid w:val="00EB3BF9"/>
    <w:rsid w:val="00EB4D32"/>
    <w:rsid w:val="00EB519F"/>
    <w:rsid w:val="00EB6FCE"/>
    <w:rsid w:val="00EB754C"/>
    <w:rsid w:val="00EB7B7B"/>
    <w:rsid w:val="00EB7EAE"/>
    <w:rsid w:val="00EC1A9F"/>
    <w:rsid w:val="00EC299D"/>
    <w:rsid w:val="00EC3D56"/>
    <w:rsid w:val="00EC41D9"/>
    <w:rsid w:val="00EC5322"/>
    <w:rsid w:val="00EC579A"/>
    <w:rsid w:val="00EC6C29"/>
    <w:rsid w:val="00EC6CA8"/>
    <w:rsid w:val="00EC6EFF"/>
    <w:rsid w:val="00ED0AE9"/>
    <w:rsid w:val="00ED1E40"/>
    <w:rsid w:val="00ED3833"/>
    <w:rsid w:val="00ED4D62"/>
    <w:rsid w:val="00ED4E1B"/>
    <w:rsid w:val="00ED7454"/>
    <w:rsid w:val="00EE1585"/>
    <w:rsid w:val="00EE1609"/>
    <w:rsid w:val="00EE2E20"/>
    <w:rsid w:val="00EE6DED"/>
    <w:rsid w:val="00EF6118"/>
    <w:rsid w:val="00EF7732"/>
    <w:rsid w:val="00EF7889"/>
    <w:rsid w:val="00EF7CA7"/>
    <w:rsid w:val="00F00660"/>
    <w:rsid w:val="00F00DF6"/>
    <w:rsid w:val="00F00F05"/>
    <w:rsid w:val="00F013FA"/>
    <w:rsid w:val="00F03039"/>
    <w:rsid w:val="00F03931"/>
    <w:rsid w:val="00F04D0E"/>
    <w:rsid w:val="00F0558D"/>
    <w:rsid w:val="00F07A1C"/>
    <w:rsid w:val="00F10B8F"/>
    <w:rsid w:val="00F1435B"/>
    <w:rsid w:val="00F147A2"/>
    <w:rsid w:val="00F154BB"/>
    <w:rsid w:val="00F16E2A"/>
    <w:rsid w:val="00F1720A"/>
    <w:rsid w:val="00F17A04"/>
    <w:rsid w:val="00F17BBB"/>
    <w:rsid w:val="00F21059"/>
    <w:rsid w:val="00F21632"/>
    <w:rsid w:val="00F225BD"/>
    <w:rsid w:val="00F25982"/>
    <w:rsid w:val="00F2691D"/>
    <w:rsid w:val="00F27141"/>
    <w:rsid w:val="00F27AE9"/>
    <w:rsid w:val="00F31EBB"/>
    <w:rsid w:val="00F3346A"/>
    <w:rsid w:val="00F340F1"/>
    <w:rsid w:val="00F3428B"/>
    <w:rsid w:val="00F3770A"/>
    <w:rsid w:val="00F401D3"/>
    <w:rsid w:val="00F4161C"/>
    <w:rsid w:val="00F42266"/>
    <w:rsid w:val="00F42605"/>
    <w:rsid w:val="00F435BC"/>
    <w:rsid w:val="00F43D7D"/>
    <w:rsid w:val="00F44670"/>
    <w:rsid w:val="00F50EC1"/>
    <w:rsid w:val="00F51548"/>
    <w:rsid w:val="00F51694"/>
    <w:rsid w:val="00F52F2D"/>
    <w:rsid w:val="00F533BF"/>
    <w:rsid w:val="00F549A7"/>
    <w:rsid w:val="00F54A37"/>
    <w:rsid w:val="00F61B91"/>
    <w:rsid w:val="00F63917"/>
    <w:rsid w:val="00F65ECF"/>
    <w:rsid w:val="00F66811"/>
    <w:rsid w:val="00F70088"/>
    <w:rsid w:val="00F70F68"/>
    <w:rsid w:val="00F70F84"/>
    <w:rsid w:val="00F7250A"/>
    <w:rsid w:val="00F73BF0"/>
    <w:rsid w:val="00F74D92"/>
    <w:rsid w:val="00F75B04"/>
    <w:rsid w:val="00F76426"/>
    <w:rsid w:val="00F76672"/>
    <w:rsid w:val="00F77C1D"/>
    <w:rsid w:val="00F8080B"/>
    <w:rsid w:val="00F82A0A"/>
    <w:rsid w:val="00F82FB6"/>
    <w:rsid w:val="00F85435"/>
    <w:rsid w:val="00F85490"/>
    <w:rsid w:val="00F868B7"/>
    <w:rsid w:val="00F87B17"/>
    <w:rsid w:val="00F90EBB"/>
    <w:rsid w:val="00F915A2"/>
    <w:rsid w:val="00F925B7"/>
    <w:rsid w:val="00F92906"/>
    <w:rsid w:val="00FA1033"/>
    <w:rsid w:val="00FA1E49"/>
    <w:rsid w:val="00FA3940"/>
    <w:rsid w:val="00FA3B06"/>
    <w:rsid w:val="00FA3FD9"/>
    <w:rsid w:val="00FA6CE2"/>
    <w:rsid w:val="00FB153E"/>
    <w:rsid w:val="00FB1CAA"/>
    <w:rsid w:val="00FB340E"/>
    <w:rsid w:val="00FB3FE3"/>
    <w:rsid w:val="00FB47D8"/>
    <w:rsid w:val="00FB756C"/>
    <w:rsid w:val="00FB78C7"/>
    <w:rsid w:val="00FC1356"/>
    <w:rsid w:val="00FC24A3"/>
    <w:rsid w:val="00FC2A30"/>
    <w:rsid w:val="00FC2DD2"/>
    <w:rsid w:val="00FC4BA2"/>
    <w:rsid w:val="00FC59E9"/>
    <w:rsid w:val="00FD0D9F"/>
    <w:rsid w:val="00FD2048"/>
    <w:rsid w:val="00FD29D3"/>
    <w:rsid w:val="00FD5C6D"/>
    <w:rsid w:val="00FD6F78"/>
    <w:rsid w:val="00FE024F"/>
    <w:rsid w:val="00FE0C8F"/>
    <w:rsid w:val="00FE0CBE"/>
    <w:rsid w:val="00FE40B8"/>
    <w:rsid w:val="00FE7767"/>
    <w:rsid w:val="00FF03AF"/>
    <w:rsid w:val="00FF58E5"/>
    <w:rsid w:val="00FF66EF"/>
    <w:rsid w:val="00FF76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1B212ED8"/>
  <w15:docId w15:val="{BE1C906C-0EB5-43B8-B885-96776654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BB"/>
    <w:rPr>
      <w:sz w:val="24"/>
      <w:szCs w:val="24"/>
      <w:lang w:val="es-ES" w:eastAsia="es-ES"/>
    </w:rPr>
  </w:style>
  <w:style w:type="paragraph" w:styleId="Ttulo1">
    <w:name w:val="heading 1"/>
    <w:aliases w:val="título 1,título 11,título 12"/>
    <w:basedOn w:val="Normal"/>
    <w:next w:val="Normal"/>
    <w:link w:val="Ttulo1Car"/>
    <w:qFormat/>
    <w:pPr>
      <w:keepNext/>
      <w:jc w:val="both"/>
      <w:outlineLvl w:val="0"/>
    </w:pPr>
    <w:rPr>
      <w:b/>
      <w:bCs/>
      <w:lang w:val="x-none" w:eastAsia="x-none"/>
    </w:rPr>
  </w:style>
  <w:style w:type="paragraph" w:styleId="Ttulo2">
    <w:name w:val="heading 2"/>
    <w:basedOn w:val="Normal"/>
    <w:next w:val="Normal"/>
    <w:link w:val="Ttulo2Car"/>
    <w:qFormat/>
    <w:pPr>
      <w:keepNext/>
      <w:jc w:val="center"/>
      <w:outlineLvl w:val="1"/>
    </w:pPr>
    <w:rPr>
      <w:b/>
      <w:bCs/>
      <w:lang w:val="x-none" w:eastAsia="x-none"/>
    </w:rPr>
  </w:style>
  <w:style w:type="paragraph" w:styleId="Ttulo3">
    <w:name w:val="heading 3"/>
    <w:basedOn w:val="Normal"/>
    <w:next w:val="Normal"/>
    <w:link w:val="Ttulo3Car"/>
    <w:uiPriority w:val="9"/>
    <w:qFormat/>
    <w:pPr>
      <w:keepNext/>
      <w:jc w:val="center"/>
      <w:outlineLvl w:val="2"/>
    </w:pPr>
    <w:rPr>
      <w:lang w:val="x-none" w:eastAsia="x-none"/>
    </w:rPr>
  </w:style>
  <w:style w:type="paragraph" w:styleId="Ttulo4">
    <w:name w:val="heading 4"/>
    <w:basedOn w:val="Normal"/>
    <w:next w:val="Normal"/>
    <w:link w:val="Ttulo4Car"/>
    <w:qFormat/>
    <w:pPr>
      <w:keepNext/>
      <w:tabs>
        <w:tab w:val="num" w:pos="426"/>
      </w:tabs>
      <w:ind w:left="426" w:hanging="54"/>
      <w:jc w:val="center"/>
      <w:outlineLvl w:val="3"/>
    </w:pPr>
    <w:rPr>
      <w:rFonts w:ascii="Arial" w:hAnsi="Arial"/>
      <w:sz w:val="16"/>
      <w:szCs w:val="16"/>
      <w:lang w:val="x-none" w:eastAsia="x-none"/>
    </w:rPr>
  </w:style>
  <w:style w:type="paragraph" w:styleId="Ttulo5">
    <w:name w:val="heading 5"/>
    <w:basedOn w:val="Normal"/>
    <w:next w:val="Normal"/>
    <w:link w:val="Ttulo5Car"/>
    <w:qFormat/>
    <w:pPr>
      <w:keepNext/>
      <w:ind w:firstLine="360"/>
      <w:jc w:val="center"/>
      <w:outlineLvl w:val="4"/>
    </w:pPr>
    <w:rPr>
      <w:b/>
      <w:bCs/>
      <w:lang w:val="x-none" w:eastAsia="x-none"/>
    </w:rPr>
  </w:style>
  <w:style w:type="paragraph" w:styleId="Ttulo6">
    <w:name w:val="heading 6"/>
    <w:basedOn w:val="Normal"/>
    <w:next w:val="Normal"/>
    <w:qFormat/>
    <w:pPr>
      <w:keepNext/>
      <w:tabs>
        <w:tab w:val="left" w:pos="993"/>
      </w:tabs>
      <w:ind w:left="993" w:hanging="567"/>
      <w:jc w:val="both"/>
      <w:outlineLvl w:val="5"/>
    </w:pPr>
    <w:rPr>
      <w:b/>
      <w:bCs/>
    </w:rPr>
  </w:style>
  <w:style w:type="paragraph" w:styleId="Ttulo7">
    <w:name w:val="heading 7"/>
    <w:basedOn w:val="Normal"/>
    <w:next w:val="Normal"/>
    <w:link w:val="Ttulo7Car"/>
    <w:qFormat/>
    <w:pPr>
      <w:keepNext/>
      <w:jc w:val="right"/>
      <w:outlineLvl w:val="6"/>
    </w:pPr>
    <w:rPr>
      <w:sz w:val="16"/>
      <w:lang w:val="x-none" w:eastAsia="x-none"/>
    </w:rPr>
  </w:style>
  <w:style w:type="paragraph" w:styleId="Ttulo8">
    <w:name w:val="heading 8"/>
    <w:basedOn w:val="Normal"/>
    <w:next w:val="Normal"/>
    <w:qFormat/>
    <w:pPr>
      <w:keepNext/>
      <w:widowControl w:val="0"/>
      <w:suppressLineNumbers/>
      <w:suppressAutoHyphens/>
      <w:jc w:val="both"/>
      <w:outlineLvl w:val="7"/>
    </w:pPr>
    <w:rPr>
      <w:b/>
      <w:bCs/>
      <w:iCs/>
      <w:color w:val="000000"/>
      <w:sz w:val="22"/>
      <w:szCs w:val="22"/>
      <w:lang w:val="es-AR"/>
    </w:rPr>
  </w:style>
  <w:style w:type="paragraph" w:styleId="Ttulo9">
    <w:name w:val="heading 9"/>
    <w:basedOn w:val="Normal"/>
    <w:next w:val="Normal"/>
    <w:link w:val="Ttulo9Car"/>
    <w:qFormat/>
    <w:pPr>
      <w:keepNext/>
      <w:jc w:val="center"/>
      <w:outlineLvl w:val="8"/>
    </w:pPr>
    <w:rPr>
      <w:rFonts w:ascii="Arial Black" w:hAnsi="Arial Black"/>
      <w:b/>
      <w:bCs/>
      <w:color w:val="FFFFFF"/>
      <w:spacing w:val="6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t,body text,b,Texto independienteR,Body Text1, Car,Texto independiente1,Block Text,Borrador,bt wide,Body Text Char1,Body Text Char Char,b Char Char,b Char1,Ctrl+1,5,s2,5(J),5s2(J),Second Heading 2,Second Heading,5(J,blk,5 L,51,s21"/>
    <w:basedOn w:val="Normal"/>
    <w:link w:val="TextoindependienteCar"/>
    <w:uiPriority w:val="99"/>
    <w:pPr>
      <w:jc w:val="both"/>
    </w:pPr>
    <w:rPr>
      <w:lang w:val="x-none" w:eastAsia="x-none"/>
    </w:rPr>
  </w:style>
  <w:style w:type="paragraph" w:styleId="Textoindependiente2">
    <w:name w:val="Body Text 2"/>
    <w:basedOn w:val="Normal"/>
    <w:link w:val="Textoindependiente2Car"/>
    <w:semiHidden/>
    <w:pPr>
      <w:jc w:val="both"/>
    </w:pPr>
    <w:rPr>
      <w:b/>
      <w:bCs/>
      <w:lang w:val="x-none" w:eastAsia="x-none"/>
    </w:rPr>
  </w:style>
  <w:style w:type="paragraph" w:customStyle="1" w:styleId="BodyText21">
    <w:name w:val="Body Text 21"/>
    <w:basedOn w:val="Normal"/>
    <w:pPr>
      <w:widowControl w:val="0"/>
      <w:jc w:val="both"/>
    </w:pPr>
    <w:rPr>
      <w:b/>
      <w:sz w:val="22"/>
      <w:szCs w:val="20"/>
      <w:lang w:val="es-AR"/>
    </w:rPr>
  </w:style>
  <w:style w:type="paragraph" w:styleId="Textonotapie">
    <w:name w:val="footnote text"/>
    <w:basedOn w:val="Normal"/>
    <w:link w:val="TextonotapieCar"/>
    <w:uiPriority w:val="99"/>
    <w:rPr>
      <w:sz w:val="20"/>
      <w:szCs w:val="20"/>
      <w:lang w:val="en-US"/>
    </w:rPr>
  </w:style>
  <w:style w:type="paragraph" w:customStyle="1" w:styleId="notaalpie">
    <w:name w:val="nota al pie"/>
    <w:basedOn w:val="Normal"/>
    <w:pPr>
      <w:jc w:val="both"/>
    </w:pPr>
    <w:rPr>
      <w:rFonts w:ascii="Arial" w:hAnsi="Arial"/>
      <w:sz w:val="20"/>
      <w:szCs w:val="20"/>
      <w:lang w:val="es-ES_tradnl"/>
    </w:rPr>
  </w:style>
  <w:style w:type="paragraph" w:styleId="Textoindependiente3">
    <w:name w:val="Body Text 3"/>
    <w:basedOn w:val="Normal"/>
    <w:link w:val="Textoindependiente3Car"/>
    <w:uiPriority w:val="99"/>
    <w:pPr>
      <w:jc w:val="center"/>
    </w:pPr>
    <w:rPr>
      <w:b/>
      <w:bCs/>
      <w:lang w:val="x-none" w:eastAsia="x-none"/>
    </w:rPr>
  </w:style>
  <w:style w:type="paragraph" w:styleId="Sangradetextonormal">
    <w:name w:val="Body Text Indent"/>
    <w:basedOn w:val="Normal"/>
    <w:link w:val="SangradetextonormalCar"/>
    <w:uiPriority w:val="99"/>
    <w:pPr>
      <w:ind w:left="360"/>
    </w:pPr>
    <w:rPr>
      <w:lang w:val="x-none" w:eastAsia="x-none"/>
    </w:rPr>
  </w:style>
  <w:style w:type="paragraph" w:styleId="Sangra2detindependiente">
    <w:name w:val="Body Text Indent 2"/>
    <w:basedOn w:val="Normal"/>
    <w:link w:val="Sangra2detindependienteCar"/>
    <w:uiPriority w:val="99"/>
    <w:semiHidden/>
    <w:pPr>
      <w:ind w:left="3600"/>
    </w:pPr>
    <w:rPr>
      <w:szCs w:val="20"/>
      <w:lang w:val="x-none" w:eastAsia="es-AR"/>
    </w:rPr>
  </w:style>
  <w:style w:type="paragraph" w:styleId="Textodebloque">
    <w:name w:val="Block Text"/>
    <w:basedOn w:val="Normal"/>
    <w:semiHidden/>
    <w:pPr>
      <w:widowControl w:val="0"/>
      <w:tabs>
        <w:tab w:val="left" w:pos="567"/>
        <w:tab w:val="left" w:pos="664"/>
      </w:tabs>
      <w:spacing w:before="120" w:after="60" w:line="220" w:lineRule="atLeast"/>
      <w:jc w:val="both"/>
    </w:pPr>
    <w:rPr>
      <w:rFonts w:ascii="Arial" w:hAnsi="Arial"/>
      <w:szCs w:val="20"/>
      <w:lang w:val="es-AR" w:eastAsia="en-US"/>
    </w:rPr>
  </w:style>
  <w:style w:type="paragraph" w:styleId="Sangra3detindependiente">
    <w:name w:val="Body Text Indent 3"/>
    <w:basedOn w:val="Normal"/>
    <w:semiHidden/>
    <w:pPr>
      <w:tabs>
        <w:tab w:val="left" w:pos="426"/>
      </w:tabs>
      <w:ind w:left="420"/>
      <w:jc w:val="both"/>
    </w:pPr>
  </w:style>
  <w:style w:type="paragraph" w:customStyle="1" w:styleId="Tabla">
    <w:name w:val="Tabla"/>
    <w:basedOn w:val="Normal"/>
    <w:pPr>
      <w:widowControl w:val="0"/>
      <w:tabs>
        <w:tab w:val="left" w:pos="664"/>
      </w:tabs>
      <w:spacing w:before="120" w:after="60"/>
      <w:ind w:right="357"/>
      <w:jc w:val="both"/>
    </w:pPr>
    <w:rPr>
      <w:rFonts w:ascii="CG Times (W1)" w:hAnsi="CG Times (W1)"/>
      <w:noProof/>
      <w:szCs w:val="20"/>
      <w:lang w:val="es-AR" w:eastAsia="en-US"/>
    </w:rPr>
  </w:style>
  <w:style w:type="character" w:styleId="Hipervnculo">
    <w:name w:val="Hyperlink"/>
    <w:uiPriority w:val="99"/>
    <w:rPr>
      <w:color w:val="0000FF"/>
      <w:u w:val="single"/>
    </w:rPr>
  </w:style>
  <w:style w:type="paragraph" w:styleId="Piedepgina">
    <w:name w:val="footer"/>
    <w:basedOn w:val="Normal"/>
    <w:link w:val="PiedepginaCar"/>
    <w:uiPriority w:val="99"/>
    <w:pPr>
      <w:tabs>
        <w:tab w:val="center" w:pos="4419"/>
        <w:tab w:val="right" w:pos="8838"/>
      </w:tabs>
    </w:pPr>
    <w:rPr>
      <w:lang w:val="x-none" w:eastAsia="x-none"/>
    </w:rPr>
  </w:style>
  <w:style w:type="character" w:styleId="Nmerodepgina">
    <w:name w:val="page number"/>
    <w:basedOn w:val="Fuentedeprrafopredeter"/>
    <w:semiHidden/>
  </w:style>
  <w:style w:type="paragraph" w:styleId="Textodeglobo">
    <w:name w:val="Balloon Text"/>
    <w:basedOn w:val="Normal"/>
    <w:link w:val="TextodegloboCar"/>
    <w:semiHidden/>
    <w:rPr>
      <w:rFonts w:ascii="Tahoma" w:hAnsi="Tahoma"/>
      <w:sz w:val="16"/>
      <w:szCs w:val="16"/>
      <w:lang w:val="x-none" w:eastAsia="x-none"/>
    </w:rPr>
  </w:style>
  <w:style w:type="paragraph" w:customStyle="1" w:styleId="OmniPage770">
    <w:name w:val="OmniPage #770"/>
    <w:pPr>
      <w:tabs>
        <w:tab w:val="left" w:pos="162"/>
        <w:tab w:val="right" w:pos="10668"/>
      </w:tabs>
      <w:jc w:val="both"/>
    </w:pPr>
    <w:rPr>
      <w:sz w:val="18"/>
      <w:lang w:val="en-US" w:eastAsia="es-ES"/>
    </w:rPr>
  </w:style>
  <w:style w:type="paragraph" w:customStyle="1" w:styleId="Style1">
    <w:name w:val="Style 1"/>
    <w:basedOn w:val="Normal"/>
    <w:pPr>
      <w:widowControl w:val="0"/>
      <w:autoSpaceDE w:val="0"/>
      <w:autoSpaceDN w:val="0"/>
      <w:adjustRightInd w:val="0"/>
    </w:pPr>
    <w:rPr>
      <w:lang w:val="en-US"/>
    </w:rPr>
  </w:style>
  <w:style w:type="paragraph" w:customStyle="1" w:styleId="Style3">
    <w:name w:val="Style 3"/>
    <w:basedOn w:val="Normal"/>
    <w:pPr>
      <w:widowControl w:val="0"/>
      <w:autoSpaceDE w:val="0"/>
      <w:autoSpaceDN w:val="0"/>
      <w:jc w:val="both"/>
    </w:pPr>
    <w:rPr>
      <w:lang w:val="en-US"/>
    </w:rPr>
  </w:style>
  <w:style w:type="paragraph" w:styleId="TDC1">
    <w:name w:val="toc 1"/>
    <w:basedOn w:val="Normal"/>
    <w:next w:val="Normal"/>
    <w:autoRedefine/>
    <w:uiPriority w:val="39"/>
    <w:pPr>
      <w:tabs>
        <w:tab w:val="left" w:pos="480"/>
        <w:tab w:val="left" w:pos="709"/>
        <w:tab w:val="right" w:leader="dot" w:pos="8850"/>
      </w:tabs>
    </w:pPr>
    <w:rPr>
      <w:sz w:val="22"/>
    </w:rPr>
  </w:style>
  <w:style w:type="paragraph" w:styleId="TDC2">
    <w:name w:val="toc 2"/>
    <w:basedOn w:val="Normal"/>
    <w:next w:val="Normal"/>
    <w:autoRedefine/>
    <w:semiHidden/>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Encabezado">
    <w:name w:val="header"/>
    <w:aliases w:val="encabezado,encabezado1,encabezado2"/>
    <w:basedOn w:val="Normal"/>
    <w:link w:val="EncabezadoCar"/>
    <w:uiPriority w:val="99"/>
    <w:pPr>
      <w:tabs>
        <w:tab w:val="center" w:pos="4419"/>
        <w:tab w:val="right" w:pos="8838"/>
      </w:tabs>
    </w:pPr>
    <w:rPr>
      <w:lang w:val="x-none" w:eastAsia="x-none"/>
    </w:rPr>
  </w:style>
  <w:style w:type="character" w:styleId="Hipervnculovisitado">
    <w:name w:val="FollowedHyperlink"/>
    <w:semiHidden/>
    <w:rPr>
      <w:color w:val="800080"/>
      <w:u w:val="single"/>
    </w:rPr>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cs="Tahoma"/>
    </w:rPr>
  </w:style>
  <w:style w:type="paragraph" w:styleId="Subttulo">
    <w:name w:val="Subtitle"/>
    <w:basedOn w:val="Normal"/>
    <w:qFormat/>
    <w:pPr>
      <w:jc w:val="both"/>
    </w:pPr>
    <w:rPr>
      <w:b/>
      <w:bCs/>
      <w:sz w:val="22"/>
    </w:rPr>
  </w:style>
  <w:style w:type="character" w:styleId="Textoennegrita">
    <w:name w:val="Strong"/>
    <w:qFormat/>
    <w:rPr>
      <w:b/>
      <w:bCs/>
    </w:rPr>
  </w:style>
  <w:style w:type="paragraph" w:styleId="NormalWeb">
    <w:name w:val="Normal (Web)"/>
    <w:basedOn w:val="Normal"/>
    <w:uiPriority w:val="99"/>
    <w:pPr>
      <w:spacing w:before="100" w:beforeAutospacing="1" w:after="100" w:afterAutospacing="1"/>
    </w:pPr>
    <w:rPr>
      <w:rFonts w:ascii="Arial Unicode MS" w:hAnsi="Arial Unicode MS"/>
      <w:color w:val="333333"/>
    </w:rPr>
  </w:style>
  <w:style w:type="paragraph" w:customStyle="1" w:styleId="Title4">
    <w:name w:val="Title 4"/>
    <w:basedOn w:val="Normal"/>
    <w:pPr>
      <w:keepNext/>
      <w:spacing w:after="240"/>
    </w:pPr>
    <w:rPr>
      <w:rFonts w:ascii="Times New (W1)" w:hAnsi="Times New (W1)"/>
      <w:b/>
      <w:i/>
      <w:sz w:val="20"/>
      <w:szCs w:val="20"/>
    </w:rPr>
  </w:style>
  <w:style w:type="character" w:styleId="Refdecomentario">
    <w:name w:val="annotation reference"/>
    <w:rPr>
      <w:sz w:val="16"/>
      <w:szCs w:val="16"/>
    </w:rPr>
  </w:style>
  <w:style w:type="paragraph" w:styleId="Textocomentario">
    <w:name w:val="annotation text"/>
    <w:basedOn w:val="Normal"/>
    <w:link w:val="TextocomentarioCar"/>
    <w:rPr>
      <w:sz w:val="20"/>
      <w:szCs w:val="20"/>
    </w:rPr>
  </w:style>
  <w:style w:type="paragraph" w:styleId="Asuntodelcomentario">
    <w:name w:val="annotation subject"/>
    <w:basedOn w:val="Textocomentario"/>
    <w:next w:val="Textocomentario"/>
    <w:link w:val="AsuntodelcomentarioCar"/>
    <w:semiHidden/>
    <w:rPr>
      <w:b/>
      <w:bCs/>
      <w:lang w:val="x-none" w:eastAsia="x-none"/>
    </w:rPr>
  </w:style>
  <w:style w:type="paragraph" w:customStyle="1" w:styleId="ListParagraph1">
    <w:name w:val="List Paragraph1"/>
    <w:basedOn w:val="Normal"/>
    <w:qFormat/>
    <w:pPr>
      <w:ind w:left="720"/>
    </w:pPr>
    <w:rPr>
      <w:rFonts w:ascii="Calibri" w:eastAsia="Calibri" w:hAnsi="Calibri"/>
      <w:sz w:val="22"/>
      <w:szCs w:val="22"/>
    </w:rPr>
  </w:style>
  <w:style w:type="paragraph" w:customStyle="1" w:styleId="Estndar">
    <w:name w:val="Estándar"/>
    <w:basedOn w:val="Normal"/>
    <w:rPr>
      <w:rFonts w:ascii="CG Times (W1)" w:hAnsi="CG Times (W1)"/>
      <w:noProof/>
      <w:sz w:val="20"/>
      <w:szCs w:val="20"/>
      <w:lang w:val="es-ES_tradnl"/>
      <w14:shadow w14:blurRad="50800" w14:dist="38100" w14:dir="2700000" w14:sx="100000" w14:sy="100000" w14:kx="0" w14:ky="0" w14:algn="tl">
        <w14:srgbClr w14:val="000000">
          <w14:alpha w14:val="60000"/>
        </w14:srgbClr>
      </w14:shadow>
    </w:rPr>
  </w:style>
  <w:style w:type="paragraph" w:customStyle="1" w:styleId="estndar0">
    <w:name w:val="estndar"/>
    <w:basedOn w:val="Normal"/>
    <w:pPr>
      <w:spacing w:before="100" w:beforeAutospacing="1" w:after="100" w:afterAutospacing="1"/>
    </w:pPr>
    <w:rPr>
      <w:rFonts w:eastAsia="Calibri"/>
      <w:lang w:val="en-US" w:eastAsia="en-US"/>
    </w:rPr>
  </w:style>
  <w:style w:type="paragraph" w:customStyle="1" w:styleId="textopredeterminado1">
    <w:name w:val="textopredeterminado1"/>
    <w:basedOn w:val="Normal"/>
    <w:pPr>
      <w:spacing w:before="100" w:beforeAutospacing="1" w:after="100" w:afterAutospacing="1"/>
    </w:pPr>
    <w:rPr>
      <w:rFonts w:eastAsia="Calibri"/>
      <w:lang w:val="en-US" w:eastAsia="en-US"/>
    </w:rPr>
  </w:style>
  <w:style w:type="paragraph" w:customStyle="1" w:styleId="Organizacin">
    <w:name w:val="Organización"/>
    <w:basedOn w:val="Normal"/>
    <w:next w:val="Ttulo"/>
    <w:pPr>
      <w:tabs>
        <w:tab w:val="left" w:pos="1440"/>
        <w:tab w:val="right" w:pos="6480"/>
      </w:tabs>
      <w:spacing w:before="220" w:line="220" w:lineRule="atLeast"/>
    </w:pPr>
    <w:rPr>
      <w:rFonts w:ascii="Garamond" w:hAnsi="Garamond"/>
      <w:sz w:val="22"/>
      <w:szCs w:val="20"/>
      <w:lang w:eastAsia="en-US"/>
    </w:rPr>
  </w:style>
  <w:style w:type="paragraph" w:styleId="Ttulo">
    <w:name w:val="Title"/>
    <w:basedOn w:val="Normal"/>
    <w:next w:val="Normal"/>
    <w:qFormat/>
    <w:rsid w:val="004F3DBB"/>
    <w:pPr>
      <w:spacing w:before="240" w:after="60"/>
      <w:jc w:val="center"/>
      <w:outlineLvl w:val="0"/>
    </w:pPr>
    <w:rPr>
      <w:rFonts w:ascii="Cambria" w:hAnsi="Cambria"/>
      <w:b/>
      <w:bCs/>
      <w:kern w:val="28"/>
      <w:sz w:val="32"/>
      <w:szCs w:val="32"/>
    </w:rPr>
  </w:style>
  <w:style w:type="paragraph" w:customStyle="1" w:styleId="Listavistosa-nfasis11">
    <w:name w:val="Lista vistosa - Énfasis 11"/>
    <w:basedOn w:val="Normal"/>
    <w:uiPriority w:val="34"/>
    <w:qFormat/>
    <w:pPr>
      <w:spacing w:after="200" w:line="276" w:lineRule="auto"/>
      <w:ind w:left="720"/>
    </w:pPr>
    <w:rPr>
      <w:rFonts w:ascii="Calibri" w:eastAsia="Calibri" w:hAnsi="Calibri"/>
      <w:sz w:val="22"/>
      <w:szCs w:val="22"/>
      <w:lang w:eastAsia="en-US"/>
    </w:rPr>
  </w:style>
  <w:style w:type="paragraph" w:customStyle="1" w:styleId="CPN-normal">
    <w:name w:val="CPN-normal"/>
    <w:pPr>
      <w:widowControl w:val="0"/>
      <w:tabs>
        <w:tab w:val="left" w:pos="-720"/>
      </w:tabs>
      <w:suppressAutoHyphens/>
      <w:jc w:val="both"/>
    </w:pPr>
    <w:rPr>
      <w:rFonts w:ascii="Arial" w:hAnsi="Arial"/>
      <w:snapToGrid w:val="0"/>
      <w:spacing w:val="-2"/>
      <w:sz w:val="22"/>
      <w:lang w:val="en-US" w:eastAsia="es-ES"/>
    </w:rPr>
  </w:style>
  <w:style w:type="paragraph" w:styleId="Textosinformato">
    <w:name w:val="Plain Text"/>
    <w:basedOn w:val="Normal"/>
    <w:uiPriority w:val="99"/>
    <w:unhideWhenUsed/>
    <w:rPr>
      <w:rFonts w:ascii="Consolas" w:eastAsia="Calibri" w:hAnsi="Consolas"/>
      <w:sz w:val="21"/>
      <w:szCs w:val="21"/>
      <w:lang w:eastAsia="en-US"/>
    </w:rPr>
  </w:style>
  <w:style w:type="character" w:customStyle="1" w:styleId="TextosinformatoCar">
    <w:name w:val="Texto sin formato Car"/>
    <w:uiPriority w:val="99"/>
    <w:rPr>
      <w:rFonts w:ascii="Consolas" w:eastAsia="Calibri" w:hAnsi="Consolas" w:cs="Times New Roman"/>
      <w:sz w:val="21"/>
      <w:szCs w:val="21"/>
      <w:lang w:eastAsia="en-US"/>
    </w:rPr>
  </w:style>
  <w:style w:type="paragraph" w:customStyle="1" w:styleId="omnipage7700">
    <w:name w:val="omnipage770"/>
    <w:basedOn w:val="Normal"/>
    <w:pPr>
      <w:spacing w:before="100" w:beforeAutospacing="1" w:after="100" w:afterAutospacing="1"/>
    </w:pPr>
    <w:rPr>
      <w:rFonts w:eastAsia="Calibri"/>
    </w:rPr>
  </w:style>
  <w:style w:type="character" w:customStyle="1" w:styleId="CarCar">
    <w:name w:val="Car Car"/>
    <w:rPr>
      <w:rFonts w:ascii="Cambria" w:eastAsia="Times New Roman" w:hAnsi="Cambria" w:cs="Times New Roman"/>
      <w:b/>
      <w:bCs/>
      <w:kern w:val="28"/>
      <w:sz w:val="32"/>
      <w:szCs w:val="32"/>
    </w:rPr>
  </w:style>
  <w:style w:type="paragraph" w:styleId="ndice1">
    <w:name w:val="index 1"/>
    <w:basedOn w:val="Normal"/>
    <w:next w:val="Normal"/>
    <w:autoRedefine/>
    <w:semiHidden/>
    <w:unhideWhenUsed/>
    <w:pPr>
      <w:ind w:left="240" w:hanging="240"/>
    </w:pPr>
    <w:rPr>
      <w:rFonts w:ascii="Calibri" w:hAnsi="Calibri"/>
      <w:sz w:val="18"/>
      <w:szCs w:val="18"/>
    </w:rPr>
  </w:style>
  <w:style w:type="paragraph" w:styleId="ndice2">
    <w:name w:val="index 2"/>
    <w:basedOn w:val="Normal"/>
    <w:next w:val="Normal"/>
    <w:autoRedefine/>
    <w:semiHidden/>
    <w:unhideWhenUsed/>
    <w:pPr>
      <w:ind w:left="480" w:hanging="240"/>
    </w:pPr>
    <w:rPr>
      <w:rFonts w:ascii="Calibri" w:hAnsi="Calibri"/>
      <w:sz w:val="18"/>
      <w:szCs w:val="18"/>
    </w:rPr>
  </w:style>
  <w:style w:type="paragraph" w:styleId="ndice3">
    <w:name w:val="index 3"/>
    <w:basedOn w:val="Normal"/>
    <w:next w:val="Normal"/>
    <w:autoRedefine/>
    <w:semiHidden/>
    <w:unhideWhenUsed/>
    <w:pPr>
      <w:ind w:left="720" w:hanging="240"/>
    </w:pPr>
    <w:rPr>
      <w:rFonts w:ascii="Calibri" w:hAnsi="Calibri"/>
      <w:sz w:val="18"/>
      <w:szCs w:val="18"/>
    </w:rPr>
  </w:style>
  <w:style w:type="paragraph" w:styleId="ndice4">
    <w:name w:val="index 4"/>
    <w:basedOn w:val="Normal"/>
    <w:next w:val="Normal"/>
    <w:autoRedefine/>
    <w:semiHidden/>
    <w:unhideWhenUsed/>
    <w:pPr>
      <w:ind w:left="960" w:hanging="240"/>
    </w:pPr>
    <w:rPr>
      <w:rFonts w:ascii="Calibri" w:hAnsi="Calibri"/>
      <w:sz w:val="18"/>
      <w:szCs w:val="18"/>
    </w:rPr>
  </w:style>
  <w:style w:type="paragraph" w:styleId="ndice5">
    <w:name w:val="index 5"/>
    <w:basedOn w:val="Normal"/>
    <w:next w:val="Normal"/>
    <w:autoRedefine/>
    <w:semiHidden/>
    <w:unhideWhenUsed/>
    <w:pPr>
      <w:ind w:left="1200" w:hanging="240"/>
    </w:pPr>
    <w:rPr>
      <w:rFonts w:ascii="Calibri" w:hAnsi="Calibri"/>
      <w:sz w:val="18"/>
      <w:szCs w:val="18"/>
    </w:rPr>
  </w:style>
  <w:style w:type="paragraph" w:styleId="ndice6">
    <w:name w:val="index 6"/>
    <w:basedOn w:val="Normal"/>
    <w:next w:val="Normal"/>
    <w:autoRedefine/>
    <w:semiHidden/>
    <w:unhideWhenUsed/>
    <w:pPr>
      <w:ind w:left="1440" w:hanging="240"/>
    </w:pPr>
    <w:rPr>
      <w:rFonts w:ascii="Calibri" w:hAnsi="Calibri"/>
      <w:sz w:val="18"/>
      <w:szCs w:val="18"/>
    </w:rPr>
  </w:style>
  <w:style w:type="paragraph" w:styleId="ndice7">
    <w:name w:val="index 7"/>
    <w:basedOn w:val="Normal"/>
    <w:next w:val="Normal"/>
    <w:autoRedefine/>
    <w:semiHidden/>
    <w:unhideWhenUsed/>
    <w:pPr>
      <w:ind w:left="1680" w:hanging="240"/>
    </w:pPr>
    <w:rPr>
      <w:rFonts w:ascii="Calibri" w:hAnsi="Calibri"/>
      <w:sz w:val="18"/>
      <w:szCs w:val="18"/>
    </w:rPr>
  </w:style>
  <w:style w:type="paragraph" w:styleId="ndice8">
    <w:name w:val="index 8"/>
    <w:basedOn w:val="Normal"/>
    <w:next w:val="Normal"/>
    <w:autoRedefine/>
    <w:semiHidden/>
    <w:unhideWhenUsed/>
    <w:pPr>
      <w:ind w:left="1920" w:hanging="240"/>
    </w:pPr>
    <w:rPr>
      <w:rFonts w:ascii="Calibri" w:hAnsi="Calibri"/>
      <w:sz w:val="18"/>
      <w:szCs w:val="18"/>
    </w:rPr>
  </w:style>
  <w:style w:type="paragraph" w:styleId="ndice9">
    <w:name w:val="index 9"/>
    <w:basedOn w:val="Normal"/>
    <w:next w:val="Normal"/>
    <w:autoRedefine/>
    <w:semiHidden/>
    <w:unhideWhenUsed/>
    <w:pPr>
      <w:ind w:left="2160" w:hanging="240"/>
    </w:pPr>
    <w:rPr>
      <w:rFonts w:ascii="Calibri" w:hAnsi="Calibri"/>
      <w:sz w:val="18"/>
      <w:szCs w:val="18"/>
    </w:rPr>
  </w:style>
  <w:style w:type="paragraph" w:styleId="Ttulodendice">
    <w:name w:val="index heading"/>
    <w:basedOn w:val="Normal"/>
    <w:next w:val="ndice1"/>
    <w:semiHidden/>
    <w:unhideWhenUsed/>
    <w:pPr>
      <w:spacing w:before="240" w:after="120"/>
      <w:jc w:val="center"/>
    </w:pPr>
    <w:rPr>
      <w:rFonts w:ascii="Calibri" w:hAnsi="Calibri"/>
      <w:b/>
      <w:bCs/>
      <w:sz w:val="26"/>
      <w:szCs w:val="26"/>
    </w:rPr>
  </w:style>
  <w:style w:type="paragraph" w:customStyle="1" w:styleId="TtulodeTDC1">
    <w:name w:val="Título de TDC1"/>
    <w:basedOn w:val="Ttulo1"/>
    <w:next w:val="Normal"/>
    <w:qFormat/>
    <w:pPr>
      <w:keepLines/>
      <w:spacing w:before="480" w:line="276" w:lineRule="auto"/>
      <w:jc w:val="left"/>
      <w:outlineLvl w:val="9"/>
    </w:pPr>
    <w:rPr>
      <w:rFonts w:ascii="Cambria" w:hAnsi="Cambria"/>
      <w:color w:val="365F91"/>
      <w:sz w:val="28"/>
      <w:szCs w:val="28"/>
      <w:lang w:eastAsia="en-US"/>
    </w:rPr>
  </w:style>
  <w:style w:type="paragraph" w:customStyle="1" w:styleId="SS">
    <w:name w:val="SS"/>
    <w:pPr>
      <w:keepNext/>
      <w:keepLines/>
      <w:tabs>
        <w:tab w:val="left" w:pos="480"/>
      </w:tabs>
      <w:overflowPunct w:val="0"/>
      <w:autoSpaceDE w:val="0"/>
      <w:autoSpaceDN w:val="0"/>
      <w:adjustRightInd w:val="0"/>
      <w:spacing w:before="120" w:after="120" w:line="240" w:lineRule="atLeast"/>
      <w:ind w:left="480" w:hanging="480"/>
      <w:textAlignment w:val="baseline"/>
    </w:pPr>
    <w:rPr>
      <w:rFonts w:ascii="CG Times" w:hAnsi="CG Times"/>
      <w:b/>
      <w:sz w:val="22"/>
      <w:lang w:val="en-GB" w:eastAsia="es-ES"/>
    </w:rPr>
  </w:style>
  <w:style w:type="paragraph" w:customStyle="1" w:styleId="ss0">
    <w:name w:val="ss"/>
    <w:basedOn w:val="Normal"/>
    <w:rPr>
      <w:rFonts w:eastAsia="Calibri"/>
    </w:rPr>
  </w:style>
  <w:style w:type="character" w:customStyle="1" w:styleId="Textoindependiente2Car">
    <w:name w:val="Texto independiente 2 Car"/>
    <w:link w:val="Textoindependiente2"/>
    <w:semiHidden/>
    <w:rsid w:val="002447F5"/>
    <w:rPr>
      <w:b/>
      <w:bCs/>
      <w:sz w:val="24"/>
      <w:szCs w:val="24"/>
    </w:rPr>
  </w:style>
  <w:style w:type="character" w:customStyle="1" w:styleId="TextoindependienteCar">
    <w:name w:val="Texto independiente Car"/>
    <w:aliases w:val="bt Car,body text Car,b Car,Texto independienteR Car,Body Text1 Car, Car Car,Texto independiente1 Car,Block Text Car,Borrador Car,bt wide Car,Body Text Char1 Car,Body Text Char Char Car,b Char Char Car,b Char1 Car,Ctrl+1 Car,5 Car"/>
    <w:link w:val="Textoindependiente"/>
    <w:rsid w:val="005C68BD"/>
    <w:rPr>
      <w:sz w:val="24"/>
      <w:szCs w:val="24"/>
    </w:rPr>
  </w:style>
  <w:style w:type="character" w:customStyle="1" w:styleId="Textoindependiente3Car">
    <w:name w:val="Texto independiente 3 Car"/>
    <w:link w:val="Textoindependiente3"/>
    <w:uiPriority w:val="99"/>
    <w:rsid w:val="00C22FAB"/>
    <w:rPr>
      <w:b/>
      <w:bCs/>
      <w:sz w:val="24"/>
      <w:szCs w:val="24"/>
    </w:rPr>
  </w:style>
  <w:style w:type="paragraph" w:customStyle="1" w:styleId="Topo1">
    <w:name w:val="Topo 1"/>
    <w:basedOn w:val="Normal"/>
    <w:rsid w:val="00C22FAB"/>
    <w:pPr>
      <w:overflowPunct w:val="0"/>
      <w:autoSpaceDE w:val="0"/>
      <w:autoSpaceDN w:val="0"/>
    </w:pPr>
    <w:rPr>
      <w:rFonts w:eastAsia="Calibri"/>
    </w:rPr>
  </w:style>
  <w:style w:type="paragraph" w:customStyle="1" w:styleId="BodyTextIndent31">
    <w:name w:val="Body Text Indent 31"/>
    <w:basedOn w:val="Normal"/>
    <w:rsid w:val="002B3E49"/>
    <w:pPr>
      <w:spacing w:before="240"/>
      <w:ind w:left="284" w:firstLine="481"/>
      <w:jc w:val="both"/>
    </w:pPr>
    <w:rPr>
      <w:rFonts w:ascii="Arial Unicode MS" w:eastAsia="Arial Unicode MS"/>
      <w:bCs/>
      <w:snapToGrid w:val="0"/>
      <w:color w:val="000000"/>
      <w:sz w:val="20"/>
    </w:rPr>
  </w:style>
  <w:style w:type="character" w:customStyle="1" w:styleId="msoins0">
    <w:name w:val="msoins"/>
    <w:basedOn w:val="Fuentedeprrafopredeter"/>
    <w:rsid w:val="00847EAF"/>
  </w:style>
  <w:style w:type="paragraph" w:customStyle="1" w:styleId="Sombreadovistoso-nfasis11">
    <w:name w:val="Sombreado vistoso - Énfasis 11"/>
    <w:hidden/>
    <w:uiPriority w:val="99"/>
    <w:semiHidden/>
    <w:rsid w:val="006F7A41"/>
    <w:rPr>
      <w:sz w:val="24"/>
      <w:szCs w:val="24"/>
      <w:lang w:val="es-ES" w:eastAsia="es-ES"/>
    </w:rPr>
  </w:style>
  <w:style w:type="paragraph" w:customStyle="1" w:styleId="Notaalpie0">
    <w:name w:val="Nota al pie"/>
    <w:basedOn w:val="Normal"/>
    <w:rsid w:val="006B0DB2"/>
    <w:pPr>
      <w:jc w:val="both"/>
    </w:pPr>
    <w:rPr>
      <w:rFonts w:ascii="Arial" w:hAnsi="Arial"/>
      <w:sz w:val="22"/>
      <w:szCs w:val="20"/>
      <w:lang w:val="es-AR"/>
    </w:rPr>
  </w:style>
  <w:style w:type="character" w:customStyle="1" w:styleId="DeltaViewInsertion">
    <w:name w:val="DeltaView Insertion"/>
    <w:uiPriority w:val="99"/>
    <w:rsid w:val="003E3CC9"/>
    <w:rPr>
      <w:rFonts w:cs="Times New Roman"/>
      <w:color w:val="0000FF"/>
      <w:spacing w:val="0"/>
      <w:u w:val="double"/>
    </w:rPr>
  </w:style>
  <w:style w:type="table" w:styleId="Tablaconcuadrcula">
    <w:name w:val="Table Grid"/>
    <w:basedOn w:val="Tablanormal"/>
    <w:uiPriority w:val="59"/>
    <w:rsid w:val="005B3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aliases w:val="encabezado Car,encabezado1 Car,encabezado2 Car"/>
    <w:link w:val="Encabezado"/>
    <w:uiPriority w:val="99"/>
    <w:rsid w:val="00AC7727"/>
    <w:rPr>
      <w:sz w:val="24"/>
      <w:szCs w:val="24"/>
    </w:rPr>
  </w:style>
  <w:style w:type="character" w:customStyle="1" w:styleId="TextocomentarioCar">
    <w:name w:val="Texto comentario Car"/>
    <w:link w:val="Textocomentario"/>
    <w:rsid w:val="00781249"/>
    <w:rPr>
      <w:lang w:val="es-ES" w:eastAsia="es-ES"/>
    </w:rPr>
  </w:style>
  <w:style w:type="character" w:customStyle="1" w:styleId="Ttulo9Car">
    <w:name w:val="Título 9 Car"/>
    <w:link w:val="Ttulo9"/>
    <w:rsid w:val="001243D0"/>
    <w:rPr>
      <w:rFonts w:ascii="Arial Black" w:hAnsi="Arial Black"/>
      <w:b/>
      <w:bCs/>
      <w:color w:val="FFFFFF"/>
      <w:spacing w:val="60"/>
      <w:szCs w:val="24"/>
      <w:lang w:val="es-ES" w:eastAsia="es-ES" w:bidi="ar-SA"/>
    </w:rPr>
  </w:style>
  <w:style w:type="paragraph" w:customStyle="1" w:styleId="Textoindependiente22">
    <w:name w:val="Texto independiente 22"/>
    <w:basedOn w:val="Normal"/>
    <w:rsid w:val="007B4670"/>
    <w:pPr>
      <w:widowControl w:val="0"/>
      <w:suppressAutoHyphens/>
      <w:jc w:val="center"/>
    </w:pPr>
    <w:rPr>
      <w:rFonts w:ascii="Verdana" w:eastAsia="Lucida Sans Unicode" w:hAnsi="Verdana"/>
      <w:kern w:val="1"/>
      <w:sz w:val="18"/>
    </w:rPr>
  </w:style>
  <w:style w:type="character" w:customStyle="1" w:styleId="TextodegloboCar">
    <w:name w:val="Texto de globo Car"/>
    <w:link w:val="Textodeglobo"/>
    <w:semiHidden/>
    <w:rsid w:val="00B3694E"/>
    <w:rPr>
      <w:rFonts w:ascii="Tahoma" w:hAnsi="Tahoma" w:cs="Tahoma"/>
      <w:sz w:val="16"/>
      <w:szCs w:val="16"/>
    </w:rPr>
  </w:style>
  <w:style w:type="paragraph" w:customStyle="1" w:styleId="Textoindependiente21">
    <w:name w:val="Texto independiente 21"/>
    <w:basedOn w:val="Normal"/>
    <w:rsid w:val="00E51EFA"/>
    <w:pPr>
      <w:widowControl w:val="0"/>
      <w:suppressAutoHyphens/>
      <w:jc w:val="center"/>
    </w:pPr>
    <w:rPr>
      <w:rFonts w:ascii="Verdana" w:eastAsia="Lucida Sans Unicode" w:hAnsi="Verdana"/>
      <w:kern w:val="1"/>
      <w:sz w:val="18"/>
    </w:rPr>
  </w:style>
  <w:style w:type="paragraph" w:customStyle="1" w:styleId="ISO">
    <w:name w:val="ISO"/>
    <w:basedOn w:val="Normal"/>
    <w:rsid w:val="005A2877"/>
    <w:pPr>
      <w:widowControl w:val="0"/>
      <w:suppressAutoHyphens/>
      <w:spacing w:before="120"/>
      <w:jc w:val="both"/>
    </w:pPr>
    <w:rPr>
      <w:rFonts w:ascii="Arial Narrow" w:eastAsia="Albany AMT" w:hAnsi="Arial Narrow"/>
      <w:sz w:val="22"/>
      <w:lang w:val="es-AR"/>
    </w:rPr>
  </w:style>
  <w:style w:type="paragraph" w:customStyle="1" w:styleId="Textoindependiente31">
    <w:name w:val="Texto independiente 31"/>
    <w:basedOn w:val="Normal"/>
    <w:rsid w:val="005A2877"/>
    <w:pPr>
      <w:widowControl w:val="0"/>
      <w:tabs>
        <w:tab w:val="left" w:pos="1134"/>
      </w:tabs>
      <w:suppressAutoHyphens/>
      <w:jc w:val="both"/>
    </w:pPr>
    <w:rPr>
      <w:rFonts w:ascii="Thorndale AMT" w:eastAsia="Albany AMT" w:hAnsi="Thorndale AMT"/>
      <w:sz w:val="20"/>
      <w:lang w:val="es-ES_tradnl"/>
    </w:rPr>
  </w:style>
  <w:style w:type="paragraph" w:customStyle="1" w:styleId="Textoindependiente23">
    <w:name w:val="Texto independiente 23"/>
    <w:basedOn w:val="Normal"/>
    <w:rsid w:val="005A2877"/>
    <w:pPr>
      <w:widowControl w:val="0"/>
      <w:suppressAutoHyphens/>
      <w:jc w:val="both"/>
    </w:pPr>
    <w:rPr>
      <w:rFonts w:ascii="Verdana" w:eastAsia="Lucida Sans Unicode" w:hAnsi="Verdana"/>
      <w:kern w:val="1"/>
      <w:sz w:val="22"/>
      <w:lang w:val="es-ES_tradnl"/>
    </w:rPr>
  </w:style>
  <w:style w:type="paragraph" w:customStyle="1" w:styleId="Default">
    <w:name w:val="Default"/>
    <w:rsid w:val="006B3049"/>
    <w:pPr>
      <w:autoSpaceDE w:val="0"/>
      <w:autoSpaceDN w:val="0"/>
      <w:adjustRightInd w:val="0"/>
    </w:pPr>
    <w:rPr>
      <w:color w:val="000000"/>
      <w:sz w:val="24"/>
      <w:szCs w:val="24"/>
    </w:rPr>
  </w:style>
  <w:style w:type="character" w:customStyle="1" w:styleId="Ttulo1Car">
    <w:name w:val="Título 1 Car"/>
    <w:aliases w:val="título 1 Car,título 11 Car,título 12 Car"/>
    <w:link w:val="Ttulo1"/>
    <w:rsid w:val="00544376"/>
    <w:rPr>
      <w:b/>
      <w:bCs/>
      <w:sz w:val="24"/>
      <w:szCs w:val="24"/>
    </w:rPr>
  </w:style>
  <w:style w:type="character" w:customStyle="1" w:styleId="Ttulo2Car">
    <w:name w:val="Título 2 Car"/>
    <w:link w:val="Ttulo2"/>
    <w:rsid w:val="00696F29"/>
    <w:rPr>
      <w:b/>
      <w:bCs/>
      <w:sz w:val="24"/>
      <w:szCs w:val="24"/>
    </w:rPr>
  </w:style>
  <w:style w:type="character" w:customStyle="1" w:styleId="Ttulo4Car">
    <w:name w:val="Título 4 Car"/>
    <w:link w:val="Ttulo4"/>
    <w:rsid w:val="00696F29"/>
    <w:rPr>
      <w:rFonts w:ascii="Arial" w:hAnsi="Arial" w:cs="Arial"/>
      <w:sz w:val="16"/>
      <w:szCs w:val="16"/>
    </w:rPr>
  </w:style>
  <w:style w:type="character" w:customStyle="1" w:styleId="Ttulo5Car">
    <w:name w:val="Título 5 Car"/>
    <w:link w:val="Ttulo5"/>
    <w:rsid w:val="00696F29"/>
    <w:rPr>
      <w:b/>
      <w:bCs/>
      <w:sz w:val="24"/>
      <w:szCs w:val="24"/>
    </w:rPr>
  </w:style>
  <w:style w:type="character" w:customStyle="1" w:styleId="Ttulo7Car">
    <w:name w:val="Título 7 Car"/>
    <w:link w:val="Ttulo7"/>
    <w:rsid w:val="00696F29"/>
    <w:rPr>
      <w:sz w:val="16"/>
      <w:szCs w:val="24"/>
    </w:rPr>
  </w:style>
  <w:style w:type="character" w:customStyle="1" w:styleId="SangradetextonormalCar">
    <w:name w:val="Sangría de texto normal Car"/>
    <w:link w:val="Sangradetextonormal"/>
    <w:uiPriority w:val="99"/>
    <w:rsid w:val="00696F29"/>
    <w:rPr>
      <w:sz w:val="24"/>
      <w:szCs w:val="24"/>
    </w:rPr>
  </w:style>
  <w:style w:type="character" w:customStyle="1" w:styleId="PiedepginaCar">
    <w:name w:val="Pie de página Car"/>
    <w:link w:val="Piedepgina"/>
    <w:uiPriority w:val="99"/>
    <w:rsid w:val="00696F29"/>
    <w:rPr>
      <w:sz w:val="24"/>
      <w:szCs w:val="24"/>
    </w:rPr>
  </w:style>
  <w:style w:type="character" w:customStyle="1" w:styleId="AsuntodelcomentarioCar">
    <w:name w:val="Asunto del comentario Car"/>
    <w:link w:val="Asuntodelcomentario"/>
    <w:semiHidden/>
    <w:rsid w:val="00696F29"/>
    <w:rPr>
      <w:b/>
      <w:bCs/>
    </w:rPr>
  </w:style>
  <w:style w:type="character" w:customStyle="1" w:styleId="CharacterStyle1">
    <w:name w:val="Character Style 1"/>
    <w:rsid w:val="00696F29"/>
    <w:rPr>
      <w:rFonts w:ascii="Bookman Old Style" w:hAnsi="Bookman Old Style" w:cs="Courier"/>
      <w:sz w:val="20"/>
      <w:szCs w:val="20"/>
    </w:rPr>
  </w:style>
  <w:style w:type="character" w:customStyle="1" w:styleId="SangradetextonormalCar1">
    <w:name w:val="Sangría de texto normal Car1"/>
    <w:semiHidden/>
    <w:rsid w:val="00696F29"/>
    <w:rPr>
      <w:rFonts w:ascii="Times New Roman" w:eastAsia="Times New Roman" w:hAnsi="Times New Roman"/>
      <w:lang w:val="es-AR" w:eastAsia="es-ES"/>
    </w:rPr>
  </w:style>
  <w:style w:type="paragraph" w:customStyle="1" w:styleId="BodyText22">
    <w:name w:val="Body Text 22"/>
    <w:basedOn w:val="Normal"/>
    <w:rsid w:val="00696F2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Cs w:val="20"/>
      <w:lang w:val="es-ES_tradnl"/>
    </w:rPr>
  </w:style>
  <w:style w:type="character" w:customStyle="1" w:styleId="contactcontent1">
    <w:name w:val="contact_content1"/>
    <w:rsid w:val="00696F29"/>
    <w:rPr>
      <w:rFonts w:ascii="Verdana" w:hAnsi="Verdana" w:hint="default"/>
      <w:vanish w:val="0"/>
      <w:webHidden w:val="0"/>
      <w:color w:val="576442"/>
      <w:sz w:val="18"/>
      <w:szCs w:val="18"/>
    </w:rPr>
  </w:style>
  <w:style w:type="paragraph" w:customStyle="1" w:styleId="bullettext">
    <w:name w:val="bullettext"/>
    <w:basedOn w:val="Normal"/>
    <w:autoRedefine/>
    <w:rsid w:val="00696F29"/>
    <w:pPr>
      <w:numPr>
        <w:numId w:val="13"/>
      </w:numPr>
      <w:autoSpaceDE w:val="0"/>
      <w:autoSpaceDN w:val="0"/>
      <w:adjustRightInd w:val="0"/>
      <w:jc w:val="both"/>
    </w:pPr>
    <w:rPr>
      <w:sz w:val="22"/>
      <w:szCs w:val="20"/>
      <w:lang w:val="es-AR"/>
    </w:rPr>
  </w:style>
  <w:style w:type="paragraph" w:customStyle="1" w:styleId="Textopredeterminado10">
    <w:name w:val="Texto predeterminado:1"/>
    <w:basedOn w:val="Normal"/>
    <w:rsid w:val="00696F29"/>
    <w:rPr>
      <w:snapToGrid w:val="0"/>
      <w:szCs w:val="20"/>
      <w:lang w:val="en-US" w:eastAsia="en-US"/>
    </w:rPr>
  </w:style>
  <w:style w:type="character" w:customStyle="1" w:styleId="Ttulo3Car">
    <w:name w:val="Título 3 Car"/>
    <w:link w:val="Ttulo3"/>
    <w:uiPriority w:val="9"/>
    <w:rsid w:val="00696F29"/>
    <w:rPr>
      <w:sz w:val="24"/>
      <w:szCs w:val="24"/>
    </w:rPr>
  </w:style>
  <w:style w:type="paragraph" w:customStyle="1" w:styleId="texto">
    <w:name w:val="texto"/>
    <w:basedOn w:val="Normal"/>
    <w:rsid w:val="00696F29"/>
    <w:pPr>
      <w:spacing w:after="120"/>
      <w:ind w:firstLine="397"/>
      <w:jc w:val="both"/>
    </w:pPr>
    <w:rPr>
      <w:rFonts w:ascii="Helvetica" w:hAnsi="Helvetica"/>
      <w:color w:val="000000"/>
      <w:sz w:val="22"/>
      <w:szCs w:val="20"/>
      <w:lang w:val="en-US"/>
    </w:rPr>
  </w:style>
  <w:style w:type="paragraph" w:customStyle="1" w:styleId="Timesnewroman">
    <w:name w:val="Times new roman"/>
    <w:basedOn w:val="Normal"/>
    <w:rsid w:val="00696F29"/>
    <w:rPr>
      <w:rFonts w:eastAsia="Calibri"/>
      <w:sz w:val="22"/>
      <w:szCs w:val="22"/>
    </w:rPr>
  </w:style>
  <w:style w:type="character" w:customStyle="1" w:styleId="Sangra2detindependienteCar">
    <w:name w:val="Sangría 2 de t. independiente Car"/>
    <w:link w:val="Sangra2detindependiente"/>
    <w:uiPriority w:val="99"/>
    <w:semiHidden/>
    <w:rsid w:val="00696F29"/>
    <w:rPr>
      <w:sz w:val="24"/>
      <w:lang w:eastAsia="es-AR"/>
    </w:rPr>
  </w:style>
  <w:style w:type="character" w:customStyle="1" w:styleId="object">
    <w:name w:val="object"/>
    <w:rsid w:val="00486D0F"/>
  </w:style>
  <w:style w:type="paragraph" w:customStyle="1" w:styleId="Normal11pt">
    <w:name w:val="Normal + 11 pt"/>
    <w:aliases w:val="Justificado"/>
    <w:basedOn w:val="Textoindependiente3"/>
    <w:link w:val="Normal11ptCar"/>
    <w:rsid w:val="00F73BF0"/>
    <w:pPr>
      <w:jc w:val="both"/>
    </w:pPr>
    <w:rPr>
      <w:sz w:val="22"/>
      <w:szCs w:val="22"/>
      <w:lang w:eastAsia="es-ES"/>
    </w:rPr>
  </w:style>
  <w:style w:type="character" w:customStyle="1" w:styleId="Normal11ptCar">
    <w:name w:val="Normal + 11 pt Car"/>
    <w:aliases w:val="Justificado Car"/>
    <w:link w:val="Normal11pt"/>
    <w:rsid w:val="00F73BF0"/>
    <w:rPr>
      <w:b/>
      <w:bCs/>
      <w:sz w:val="22"/>
      <w:szCs w:val="22"/>
      <w:lang w:eastAsia="es-ES"/>
    </w:rPr>
  </w:style>
  <w:style w:type="paragraph" w:customStyle="1" w:styleId="ecxmsonormal">
    <w:name w:val="ecxmsonormal"/>
    <w:basedOn w:val="Normal"/>
    <w:rsid w:val="00A02274"/>
    <w:pPr>
      <w:spacing w:after="324"/>
    </w:pPr>
    <w:rPr>
      <w:lang w:val="es-AR" w:eastAsia="es-AR"/>
    </w:rPr>
  </w:style>
  <w:style w:type="character" w:customStyle="1" w:styleId="FontStyle49">
    <w:name w:val="Font Style49"/>
    <w:rsid w:val="00AB39D1"/>
    <w:rPr>
      <w:rFonts w:ascii="Times New Roman" w:hAnsi="Times New Roman" w:cs="Times New Roman"/>
      <w:color w:val="000000"/>
      <w:sz w:val="18"/>
      <w:szCs w:val="18"/>
    </w:rPr>
  </w:style>
  <w:style w:type="paragraph" w:customStyle="1" w:styleId="Style25">
    <w:name w:val="Style25"/>
    <w:basedOn w:val="Normal"/>
    <w:rsid w:val="00A72ADA"/>
    <w:pPr>
      <w:widowControl w:val="0"/>
      <w:autoSpaceDE w:val="0"/>
      <w:autoSpaceDN w:val="0"/>
      <w:adjustRightInd w:val="0"/>
      <w:spacing w:line="230" w:lineRule="exact"/>
      <w:jc w:val="both"/>
    </w:pPr>
  </w:style>
  <w:style w:type="character" w:customStyle="1" w:styleId="DeltaViewMoveDestination">
    <w:name w:val="DeltaView Move Destination"/>
    <w:rsid w:val="00C46EA5"/>
    <w:rPr>
      <w:color w:val="00C000"/>
      <w:spacing w:val="0"/>
      <w:u w:val="double"/>
    </w:rPr>
  </w:style>
  <w:style w:type="paragraph" w:customStyle="1" w:styleId="yiv1484218430msobodytext">
    <w:name w:val="yiv1484218430msobodytext"/>
    <w:basedOn w:val="Normal"/>
    <w:rsid w:val="008C29B2"/>
    <w:pPr>
      <w:spacing w:before="100" w:beforeAutospacing="1" w:after="100" w:afterAutospacing="1"/>
    </w:pPr>
    <w:rPr>
      <w:lang w:val="es-AR"/>
    </w:rPr>
  </w:style>
  <w:style w:type="paragraph" w:styleId="Revisin">
    <w:name w:val="Revision"/>
    <w:hidden/>
    <w:uiPriority w:val="99"/>
    <w:semiHidden/>
    <w:rsid w:val="00C05423"/>
    <w:rPr>
      <w:sz w:val="24"/>
      <w:szCs w:val="24"/>
      <w:lang w:val="es-ES" w:eastAsia="es-ES"/>
    </w:rPr>
  </w:style>
  <w:style w:type="character" w:customStyle="1" w:styleId="TextonotapieCar">
    <w:name w:val="Texto nota pie Car"/>
    <w:link w:val="Textonotapie"/>
    <w:uiPriority w:val="99"/>
    <w:locked/>
    <w:rsid w:val="00662895"/>
    <w:rPr>
      <w:lang w:val="en-US" w:eastAsia="es-ES"/>
    </w:rPr>
  </w:style>
  <w:style w:type="paragraph" w:styleId="Textoindependienteprimerasangra">
    <w:name w:val="Body Text First Indent"/>
    <w:basedOn w:val="Textoindependiente"/>
    <w:link w:val="TextoindependienteprimerasangraCar"/>
    <w:uiPriority w:val="99"/>
    <w:semiHidden/>
    <w:unhideWhenUsed/>
    <w:rsid w:val="00973C2B"/>
    <w:pPr>
      <w:spacing w:after="120"/>
      <w:ind w:firstLine="210"/>
      <w:jc w:val="left"/>
    </w:pPr>
    <w:rPr>
      <w:lang w:val="es-ES" w:eastAsia="es-ES"/>
    </w:rPr>
  </w:style>
  <w:style w:type="character" w:customStyle="1" w:styleId="TextoindependienteprimerasangraCar">
    <w:name w:val="Texto independiente primera sangría Car"/>
    <w:link w:val="Textoindependienteprimerasangra"/>
    <w:uiPriority w:val="99"/>
    <w:semiHidden/>
    <w:rsid w:val="00973C2B"/>
    <w:rPr>
      <w:sz w:val="24"/>
      <w:szCs w:val="24"/>
      <w:lang w:val="es-ES" w:eastAsia="es-ES"/>
    </w:rPr>
  </w:style>
  <w:style w:type="paragraph" w:styleId="Saludo">
    <w:name w:val="Salutation"/>
    <w:basedOn w:val="Normal"/>
    <w:next w:val="Normal"/>
    <w:link w:val="SaludoCar"/>
    <w:rsid w:val="00CA3B59"/>
    <w:rPr>
      <w:sz w:val="20"/>
      <w:szCs w:val="20"/>
      <w:lang w:val="es-AR"/>
    </w:rPr>
  </w:style>
  <w:style w:type="character" w:customStyle="1" w:styleId="SaludoCar">
    <w:name w:val="Saludo Car"/>
    <w:link w:val="Saludo"/>
    <w:rsid w:val="00CA3B59"/>
    <w:rPr>
      <w:lang w:eastAsia="es-ES"/>
    </w:rPr>
  </w:style>
  <w:style w:type="paragraph" w:styleId="Prrafodelista">
    <w:name w:val="List Paragraph"/>
    <w:aliases w:val="Rainbow"/>
    <w:basedOn w:val="Normal"/>
    <w:uiPriority w:val="99"/>
    <w:qFormat/>
    <w:rsid w:val="008A6AC0"/>
    <w:pPr>
      <w:widowControl w:val="0"/>
      <w:autoSpaceDE w:val="0"/>
      <w:autoSpaceDN w:val="0"/>
      <w:ind w:left="384" w:hanging="360"/>
      <w:jc w:val="both"/>
    </w:pPr>
    <w:rPr>
      <w:sz w:val="22"/>
      <w:szCs w:val="22"/>
      <w:lang w:bidi="es-ES"/>
    </w:rPr>
  </w:style>
  <w:style w:type="character" w:customStyle="1" w:styleId="Mencinsinresolver1">
    <w:name w:val="Mención sin resolver1"/>
    <w:basedOn w:val="Fuentedeprrafopredeter"/>
    <w:uiPriority w:val="99"/>
    <w:semiHidden/>
    <w:unhideWhenUsed/>
    <w:rsid w:val="00487A7E"/>
    <w:rPr>
      <w:color w:val="605E5C"/>
      <w:shd w:val="clear" w:color="auto" w:fill="E1DFDD"/>
    </w:rPr>
  </w:style>
  <w:style w:type="paragraph" w:customStyle="1" w:styleId="Textonota2">
    <w:name w:val="Texto nota 2"/>
    <w:basedOn w:val="Normal"/>
    <w:rsid w:val="00100738"/>
    <w:pPr>
      <w:ind w:left="1152"/>
    </w:pPr>
    <w:rPr>
      <w:rFonts w:ascii="Arial" w:hAnsi="Arial"/>
      <w:sz w:val="19"/>
      <w:lang w:val="en-US" w:eastAsia="en-US"/>
    </w:rPr>
  </w:style>
  <w:style w:type="paragraph" w:styleId="TtuloTDC">
    <w:name w:val="TOC Heading"/>
    <w:basedOn w:val="Ttulo1"/>
    <w:next w:val="Normal"/>
    <w:uiPriority w:val="39"/>
    <w:unhideWhenUsed/>
    <w:qFormat/>
    <w:rsid w:val="0013538D"/>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673">
      <w:bodyDiv w:val="1"/>
      <w:marLeft w:val="0"/>
      <w:marRight w:val="0"/>
      <w:marTop w:val="0"/>
      <w:marBottom w:val="0"/>
      <w:divBdr>
        <w:top w:val="none" w:sz="0" w:space="0" w:color="auto"/>
        <w:left w:val="none" w:sz="0" w:space="0" w:color="auto"/>
        <w:bottom w:val="none" w:sz="0" w:space="0" w:color="auto"/>
        <w:right w:val="none" w:sz="0" w:space="0" w:color="auto"/>
      </w:divBdr>
    </w:div>
    <w:div w:id="86850149">
      <w:bodyDiv w:val="1"/>
      <w:marLeft w:val="0"/>
      <w:marRight w:val="0"/>
      <w:marTop w:val="0"/>
      <w:marBottom w:val="0"/>
      <w:divBdr>
        <w:top w:val="none" w:sz="0" w:space="0" w:color="auto"/>
        <w:left w:val="none" w:sz="0" w:space="0" w:color="auto"/>
        <w:bottom w:val="none" w:sz="0" w:space="0" w:color="auto"/>
        <w:right w:val="none" w:sz="0" w:space="0" w:color="auto"/>
      </w:divBdr>
    </w:div>
    <w:div w:id="98913636">
      <w:bodyDiv w:val="1"/>
      <w:marLeft w:val="0"/>
      <w:marRight w:val="0"/>
      <w:marTop w:val="0"/>
      <w:marBottom w:val="0"/>
      <w:divBdr>
        <w:top w:val="none" w:sz="0" w:space="0" w:color="auto"/>
        <w:left w:val="none" w:sz="0" w:space="0" w:color="auto"/>
        <w:bottom w:val="none" w:sz="0" w:space="0" w:color="auto"/>
        <w:right w:val="none" w:sz="0" w:space="0" w:color="auto"/>
      </w:divBdr>
    </w:div>
    <w:div w:id="119960295">
      <w:bodyDiv w:val="1"/>
      <w:marLeft w:val="0"/>
      <w:marRight w:val="0"/>
      <w:marTop w:val="0"/>
      <w:marBottom w:val="0"/>
      <w:divBdr>
        <w:top w:val="none" w:sz="0" w:space="0" w:color="auto"/>
        <w:left w:val="none" w:sz="0" w:space="0" w:color="auto"/>
        <w:bottom w:val="none" w:sz="0" w:space="0" w:color="auto"/>
        <w:right w:val="none" w:sz="0" w:space="0" w:color="auto"/>
      </w:divBdr>
    </w:div>
    <w:div w:id="127092949">
      <w:bodyDiv w:val="1"/>
      <w:marLeft w:val="0"/>
      <w:marRight w:val="0"/>
      <w:marTop w:val="0"/>
      <w:marBottom w:val="0"/>
      <w:divBdr>
        <w:top w:val="none" w:sz="0" w:space="0" w:color="auto"/>
        <w:left w:val="none" w:sz="0" w:space="0" w:color="auto"/>
        <w:bottom w:val="none" w:sz="0" w:space="0" w:color="auto"/>
        <w:right w:val="none" w:sz="0" w:space="0" w:color="auto"/>
      </w:divBdr>
    </w:div>
    <w:div w:id="165903564">
      <w:bodyDiv w:val="1"/>
      <w:marLeft w:val="0"/>
      <w:marRight w:val="0"/>
      <w:marTop w:val="0"/>
      <w:marBottom w:val="0"/>
      <w:divBdr>
        <w:top w:val="none" w:sz="0" w:space="0" w:color="auto"/>
        <w:left w:val="none" w:sz="0" w:space="0" w:color="auto"/>
        <w:bottom w:val="none" w:sz="0" w:space="0" w:color="auto"/>
        <w:right w:val="none" w:sz="0" w:space="0" w:color="auto"/>
      </w:divBdr>
    </w:div>
    <w:div w:id="193615621">
      <w:bodyDiv w:val="1"/>
      <w:marLeft w:val="0"/>
      <w:marRight w:val="0"/>
      <w:marTop w:val="0"/>
      <w:marBottom w:val="0"/>
      <w:divBdr>
        <w:top w:val="none" w:sz="0" w:space="0" w:color="auto"/>
        <w:left w:val="none" w:sz="0" w:space="0" w:color="auto"/>
        <w:bottom w:val="none" w:sz="0" w:space="0" w:color="auto"/>
        <w:right w:val="none" w:sz="0" w:space="0" w:color="auto"/>
      </w:divBdr>
    </w:div>
    <w:div w:id="220991366">
      <w:bodyDiv w:val="1"/>
      <w:marLeft w:val="0"/>
      <w:marRight w:val="0"/>
      <w:marTop w:val="0"/>
      <w:marBottom w:val="0"/>
      <w:divBdr>
        <w:top w:val="none" w:sz="0" w:space="0" w:color="auto"/>
        <w:left w:val="none" w:sz="0" w:space="0" w:color="auto"/>
        <w:bottom w:val="none" w:sz="0" w:space="0" w:color="auto"/>
        <w:right w:val="none" w:sz="0" w:space="0" w:color="auto"/>
      </w:divBdr>
    </w:div>
    <w:div w:id="353384496">
      <w:bodyDiv w:val="1"/>
      <w:marLeft w:val="0"/>
      <w:marRight w:val="0"/>
      <w:marTop w:val="0"/>
      <w:marBottom w:val="0"/>
      <w:divBdr>
        <w:top w:val="none" w:sz="0" w:space="0" w:color="auto"/>
        <w:left w:val="none" w:sz="0" w:space="0" w:color="auto"/>
        <w:bottom w:val="none" w:sz="0" w:space="0" w:color="auto"/>
        <w:right w:val="none" w:sz="0" w:space="0" w:color="auto"/>
      </w:divBdr>
    </w:div>
    <w:div w:id="429395646">
      <w:bodyDiv w:val="1"/>
      <w:marLeft w:val="0"/>
      <w:marRight w:val="0"/>
      <w:marTop w:val="0"/>
      <w:marBottom w:val="0"/>
      <w:divBdr>
        <w:top w:val="none" w:sz="0" w:space="0" w:color="auto"/>
        <w:left w:val="none" w:sz="0" w:space="0" w:color="auto"/>
        <w:bottom w:val="none" w:sz="0" w:space="0" w:color="auto"/>
        <w:right w:val="none" w:sz="0" w:space="0" w:color="auto"/>
      </w:divBdr>
    </w:div>
    <w:div w:id="523832097">
      <w:bodyDiv w:val="1"/>
      <w:marLeft w:val="0"/>
      <w:marRight w:val="0"/>
      <w:marTop w:val="0"/>
      <w:marBottom w:val="0"/>
      <w:divBdr>
        <w:top w:val="none" w:sz="0" w:space="0" w:color="auto"/>
        <w:left w:val="none" w:sz="0" w:space="0" w:color="auto"/>
        <w:bottom w:val="none" w:sz="0" w:space="0" w:color="auto"/>
        <w:right w:val="none" w:sz="0" w:space="0" w:color="auto"/>
      </w:divBdr>
    </w:div>
    <w:div w:id="654409376">
      <w:bodyDiv w:val="1"/>
      <w:marLeft w:val="0"/>
      <w:marRight w:val="0"/>
      <w:marTop w:val="0"/>
      <w:marBottom w:val="0"/>
      <w:divBdr>
        <w:top w:val="none" w:sz="0" w:space="0" w:color="auto"/>
        <w:left w:val="none" w:sz="0" w:space="0" w:color="auto"/>
        <w:bottom w:val="none" w:sz="0" w:space="0" w:color="auto"/>
        <w:right w:val="none" w:sz="0" w:space="0" w:color="auto"/>
      </w:divBdr>
    </w:div>
    <w:div w:id="693967927">
      <w:bodyDiv w:val="1"/>
      <w:marLeft w:val="0"/>
      <w:marRight w:val="0"/>
      <w:marTop w:val="0"/>
      <w:marBottom w:val="0"/>
      <w:divBdr>
        <w:top w:val="none" w:sz="0" w:space="0" w:color="auto"/>
        <w:left w:val="none" w:sz="0" w:space="0" w:color="auto"/>
        <w:bottom w:val="none" w:sz="0" w:space="0" w:color="auto"/>
        <w:right w:val="none" w:sz="0" w:space="0" w:color="auto"/>
      </w:divBdr>
    </w:div>
    <w:div w:id="722867462">
      <w:bodyDiv w:val="1"/>
      <w:marLeft w:val="0"/>
      <w:marRight w:val="0"/>
      <w:marTop w:val="0"/>
      <w:marBottom w:val="0"/>
      <w:divBdr>
        <w:top w:val="none" w:sz="0" w:space="0" w:color="auto"/>
        <w:left w:val="none" w:sz="0" w:space="0" w:color="auto"/>
        <w:bottom w:val="none" w:sz="0" w:space="0" w:color="auto"/>
        <w:right w:val="none" w:sz="0" w:space="0" w:color="auto"/>
      </w:divBdr>
    </w:div>
    <w:div w:id="735670367">
      <w:bodyDiv w:val="1"/>
      <w:marLeft w:val="0"/>
      <w:marRight w:val="0"/>
      <w:marTop w:val="0"/>
      <w:marBottom w:val="0"/>
      <w:divBdr>
        <w:top w:val="none" w:sz="0" w:space="0" w:color="auto"/>
        <w:left w:val="none" w:sz="0" w:space="0" w:color="auto"/>
        <w:bottom w:val="none" w:sz="0" w:space="0" w:color="auto"/>
        <w:right w:val="none" w:sz="0" w:space="0" w:color="auto"/>
      </w:divBdr>
    </w:div>
    <w:div w:id="750929900">
      <w:bodyDiv w:val="1"/>
      <w:marLeft w:val="0"/>
      <w:marRight w:val="0"/>
      <w:marTop w:val="0"/>
      <w:marBottom w:val="0"/>
      <w:divBdr>
        <w:top w:val="none" w:sz="0" w:space="0" w:color="auto"/>
        <w:left w:val="none" w:sz="0" w:space="0" w:color="auto"/>
        <w:bottom w:val="none" w:sz="0" w:space="0" w:color="auto"/>
        <w:right w:val="none" w:sz="0" w:space="0" w:color="auto"/>
      </w:divBdr>
    </w:div>
    <w:div w:id="809321411">
      <w:bodyDiv w:val="1"/>
      <w:marLeft w:val="0"/>
      <w:marRight w:val="0"/>
      <w:marTop w:val="0"/>
      <w:marBottom w:val="0"/>
      <w:divBdr>
        <w:top w:val="none" w:sz="0" w:space="0" w:color="auto"/>
        <w:left w:val="none" w:sz="0" w:space="0" w:color="auto"/>
        <w:bottom w:val="none" w:sz="0" w:space="0" w:color="auto"/>
        <w:right w:val="none" w:sz="0" w:space="0" w:color="auto"/>
      </w:divBdr>
    </w:div>
    <w:div w:id="809520876">
      <w:bodyDiv w:val="1"/>
      <w:marLeft w:val="0"/>
      <w:marRight w:val="0"/>
      <w:marTop w:val="0"/>
      <w:marBottom w:val="0"/>
      <w:divBdr>
        <w:top w:val="none" w:sz="0" w:space="0" w:color="auto"/>
        <w:left w:val="none" w:sz="0" w:space="0" w:color="auto"/>
        <w:bottom w:val="none" w:sz="0" w:space="0" w:color="auto"/>
        <w:right w:val="none" w:sz="0" w:space="0" w:color="auto"/>
      </w:divBdr>
    </w:div>
    <w:div w:id="841434961">
      <w:bodyDiv w:val="1"/>
      <w:marLeft w:val="0"/>
      <w:marRight w:val="0"/>
      <w:marTop w:val="0"/>
      <w:marBottom w:val="0"/>
      <w:divBdr>
        <w:top w:val="none" w:sz="0" w:space="0" w:color="auto"/>
        <w:left w:val="none" w:sz="0" w:space="0" w:color="auto"/>
        <w:bottom w:val="none" w:sz="0" w:space="0" w:color="auto"/>
        <w:right w:val="none" w:sz="0" w:space="0" w:color="auto"/>
      </w:divBdr>
    </w:div>
    <w:div w:id="844248662">
      <w:bodyDiv w:val="1"/>
      <w:marLeft w:val="0"/>
      <w:marRight w:val="0"/>
      <w:marTop w:val="0"/>
      <w:marBottom w:val="0"/>
      <w:divBdr>
        <w:top w:val="none" w:sz="0" w:space="0" w:color="auto"/>
        <w:left w:val="none" w:sz="0" w:space="0" w:color="auto"/>
        <w:bottom w:val="none" w:sz="0" w:space="0" w:color="auto"/>
        <w:right w:val="none" w:sz="0" w:space="0" w:color="auto"/>
      </w:divBdr>
    </w:div>
    <w:div w:id="887376591">
      <w:bodyDiv w:val="1"/>
      <w:marLeft w:val="0"/>
      <w:marRight w:val="0"/>
      <w:marTop w:val="0"/>
      <w:marBottom w:val="0"/>
      <w:divBdr>
        <w:top w:val="none" w:sz="0" w:space="0" w:color="auto"/>
        <w:left w:val="none" w:sz="0" w:space="0" w:color="auto"/>
        <w:bottom w:val="none" w:sz="0" w:space="0" w:color="auto"/>
        <w:right w:val="none" w:sz="0" w:space="0" w:color="auto"/>
      </w:divBdr>
    </w:div>
    <w:div w:id="916596110">
      <w:bodyDiv w:val="1"/>
      <w:marLeft w:val="0"/>
      <w:marRight w:val="0"/>
      <w:marTop w:val="0"/>
      <w:marBottom w:val="0"/>
      <w:divBdr>
        <w:top w:val="none" w:sz="0" w:space="0" w:color="auto"/>
        <w:left w:val="none" w:sz="0" w:space="0" w:color="auto"/>
        <w:bottom w:val="none" w:sz="0" w:space="0" w:color="auto"/>
        <w:right w:val="none" w:sz="0" w:space="0" w:color="auto"/>
      </w:divBdr>
    </w:div>
    <w:div w:id="953439282">
      <w:bodyDiv w:val="1"/>
      <w:marLeft w:val="0"/>
      <w:marRight w:val="0"/>
      <w:marTop w:val="0"/>
      <w:marBottom w:val="0"/>
      <w:divBdr>
        <w:top w:val="none" w:sz="0" w:space="0" w:color="auto"/>
        <w:left w:val="none" w:sz="0" w:space="0" w:color="auto"/>
        <w:bottom w:val="none" w:sz="0" w:space="0" w:color="auto"/>
        <w:right w:val="none" w:sz="0" w:space="0" w:color="auto"/>
      </w:divBdr>
    </w:div>
    <w:div w:id="988829366">
      <w:bodyDiv w:val="1"/>
      <w:marLeft w:val="0"/>
      <w:marRight w:val="0"/>
      <w:marTop w:val="0"/>
      <w:marBottom w:val="0"/>
      <w:divBdr>
        <w:top w:val="none" w:sz="0" w:space="0" w:color="auto"/>
        <w:left w:val="none" w:sz="0" w:space="0" w:color="auto"/>
        <w:bottom w:val="none" w:sz="0" w:space="0" w:color="auto"/>
        <w:right w:val="none" w:sz="0" w:space="0" w:color="auto"/>
      </w:divBdr>
    </w:div>
    <w:div w:id="1004742062">
      <w:bodyDiv w:val="1"/>
      <w:marLeft w:val="0"/>
      <w:marRight w:val="0"/>
      <w:marTop w:val="0"/>
      <w:marBottom w:val="0"/>
      <w:divBdr>
        <w:top w:val="none" w:sz="0" w:space="0" w:color="auto"/>
        <w:left w:val="none" w:sz="0" w:space="0" w:color="auto"/>
        <w:bottom w:val="none" w:sz="0" w:space="0" w:color="auto"/>
        <w:right w:val="none" w:sz="0" w:space="0" w:color="auto"/>
      </w:divBdr>
    </w:div>
    <w:div w:id="1037043319">
      <w:bodyDiv w:val="1"/>
      <w:marLeft w:val="0"/>
      <w:marRight w:val="0"/>
      <w:marTop w:val="0"/>
      <w:marBottom w:val="0"/>
      <w:divBdr>
        <w:top w:val="none" w:sz="0" w:space="0" w:color="auto"/>
        <w:left w:val="none" w:sz="0" w:space="0" w:color="auto"/>
        <w:bottom w:val="none" w:sz="0" w:space="0" w:color="auto"/>
        <w:right w:val="none" w:sz="0" w:space="0" w:color="auto"/>
      </w:divBdr>
    </w:div>
    <w:div w:id="1043941738">
      <w:bodyDiv w:val="1"/>
      <w:marLeft w:val="0"/>
      <w:marRight w:val="0"/>
      <w:marTop w:val="0"/>
      <w:marBottom w:val="0"/>
      <w:divBdr>
        <w:top w:val="none" w:sz="0" w:space="0" w:color="auto"/>
        <w:left w:val="none" w:sz="0" w:space="0" w:color="auto"/>
        <w:bottom w:val="none" w:sz="0" w:space="0" w:color="auto"/>
        <w:right w:val="none" w:sz="0" w:space="0" w:color="auto"/>
      </w:divBdr>
    </w:div>
    <w:div w:id="1102795400">
      <w:bodyDiv w:val="1"/>
      <w:marLeft w:val="0"/>
      <w:marRight w:val="0"/>
      <w:marTop w:val="0"/>
      <w:marBottom w:val="0"/>
      <w:divBdr>
        <w:top w:val="none" w:sz="0" w:space="0" w:color="auto"/>
        <w:left w:val="none" w:sz="0" w:space="0" w:color="auto"/>
        <w:bottom w:val="none" w:sz="0" w:space="0" w:color="auto"/>
        <w:right w:val="none" w:sz="0" w:space="0" w:color="auto"/>
      </w:divBdr>
    </w:div>
    <w:div w:id="1109544861">
      <w:bodyDiv w:val="1"/>
      <w:marLeft w:val="0"/>
      <w:marRight w:val="0"/>
      <w:marTop w:val="0"/>
      <w:marBottom w:val="0"/>
      <w:divBdr>
        <w:top w:val="none" w:sz="0" w:space="0" w:color="auto"/>
        <w:left w:val="none" w:sz="0" w:space="0" w:color="auto"/>
        <w:bottom w:val="none" w:sz="0" w:space="0" w:color="auto"/>
        <w:right w:val="none" w:sz="0" w:space="0" w:color="auto"/>
      </w:divBdr>
    </w:div>
    <w:div w:id="1117136026">
      <w:bodyDiv w:val="1"/>
      <w:marLeft w:val="0"/>
      <w:marRight w:val="0"/>
      <w:marTop w:val="0"/>
      <w:marBottom w:val="0"/>
      <w:divBdr>
        <w:top w:val="none" w:sz="0" w:space="0" w:color="auto"/>
        <w:left w:val="none" w:sz="0" w:space="0" w:color="auto"/>
        <w:bottom w:val="none" w:sz="0" w:space="0" w:color="auto"/>
        <w:right w:val="none" w:sz="0" w:space="0" w:color="auto"/>
      </w:divBdr>
    </w:div>
    <w:div w:id="1168325190">
      <w:bodyDiv w:val="1"/>
      <w:marLeft w:val="0"/>
      <w:marRight w:val="0"/>
      <w:marTop w:val="0"/>
      <w:marBottom w:val="0"/>
      <w:divBdr>
        <w:top w:val="none" w:sz="0" w:space="0" w:color="auto"/>
        <w:left w:val="none" w:sz="0" w:space="0" w:color="auto"/>
        <w:bottom w:val="none" w:sz="0" w:space="0" w:color="auto"/>
        <w:right w:val="none" w:sz="0" w:space="0" w:color="auto"/>
      </w:divBdr>
    </w:div>
    <w:div w:id="1193149238">
      <w:bodyDiv w:val="1"/>
      <w:marLeft w:val="0"/>
      <w:marRight w:val="0"/>
      <w:marTop w:val="0"/>
      <w:marBottom w:val="0"/>
      <w:divBdr>
        <w:top w:val="none" w:sz="0" w:space="0" w:color="auto"/>
        <w:left w:val="none" w:sz="0" w:space="0" w:color="auto"/>
        <w:bottom w:val="none" w:sz="0" w:space="0" w:color="auto"/>
        <w:right w:val="none" w:sz="0" w:space="0" w:color="auto"/>
      </w:divBdr>
    </w:div>
    <w:div w:id="1203714084">
      <w:bodyDiv w:val="1"/>
      <w:marLeft w:val="0"/>
      <w:marRight w:val="0"/>
      <w:marTop w:val="0"/>
      <w:marBottom w:val="0"/>
      <w:divBdr>
        <w:top w:val="none" w:sz="0" w:space="0" w:color="auto"/>
        <w:left w:val="none" w:sz="0" w:space="0" w:color="auto"/>
        <w:bottom w:val="none" w:sz="0" w:space="0" w:color="auto"/>
        <w:right w:val="none" w:sz="0" w:space="0" w:color="auto"/>
      </w:divBdr>
    </w:div>
    <w:div w:id="1205679877">
      <w:bodyDiv w:val="1"/>
      <w:marLeft w:val="0"/>
      <w:marRight w:val="0"/>
      <w:marTop w:val="0"/>
      <w:marBottom w:val="0"/>
      <w:divBdr>
        <w:top w:val="none" w:sz="0" w:space="0" w:color="auto"/>
        <w:left w:val="none" w:sz="0" w:space="0" w:color="auto"/>
        <w:bottom w:val="none" w:sz="0" w:space="0" w:color="auto"/>
        <w:right w:val="none" w:sz="0" w:space="0" w:color="auto"/>
      </w:divBdr>
    </w:div>
    <w:div w:id="1207375208">
      <w:bodyDiv w:val="1"/>
      <w:marLeft w:val="0"/>
      <w:marRight w:val="0"/>
      <w:marTop w:val="0"/>
      <w:marBottom w:val="0"/>
      <w:divBdr>
        <w:top w:val="none" w:sz="0" w:space="0" w:color="auto"/>
        <w:left w:val="none" w:sz="0" w:space="0" w:color="auto"/>
        <w:bottom w:val="none" w:sz="0" w:space="0" w:color="auto"/>
        <w:right w:val="none" w:sz="0" w:space="0" w:color="auto"/>
      </w:divBdr>
    </w:div>
    <w:div w:id="1235092043">
      <w:bodyDiv w:val="1"/>
      <w:marLeft w:val="0"/>
      <w:marRight w:val="0"/>
      <w:marTop w:val="0"/>
      <w:marBottom w:val="0"/>
      <w:divBdr>
        <w:top w:val="none" w:sz="0" w:space="0" w:color="auto"/>
        <w:left w:val="none" w:sz="0" w:space="0" w:color="auto"/>
        <w:bottom w:val="none" w:sz="0" w:space="0" w:color="auto"/>
        <w:right w:val="none" w:sz="0" w:space="0" w:color="auto"/>
      </w:divBdr>
    </w:div>
    <w:div w:id="1266227034">
      <w:bodyDiv w:val="1"/>
      <w:marLeft w:val="0"/>
      <w:marRight w:val="0"/>
      <w:marTop w:val="0"/>
      <w:marBottom w:val="0"/>
      <w:divBdr>
        <w:top w:val="none" w:sz="0" w:space="0" w:color="auto"/>
        <w:left w:val="none" w:sz="0" w:space="0" w:color="auto"/>
        <w:bottom w:val="none" w:sz="0" w:space="0" w:color="auto"/>
        <w:right w:val="none" w:sz="0" w:space="0" w:color="auto"/>
      </w:divBdr>
    </w:div>
    <w:div w:id="1361471821">
      <w:bodyDiv w:val="1"/>
      <w:marLeft w:val="0"/>
      <w:marRight w:val="0"/>
      <w:marTop w:val="0"/>
      <w:marBottom w:val="0"/>
      <w:divBdr>
        <w:top w:val="none" w:sz="0" w:space="0" w:color="auto"/>
        <w:left w:val="none" w:sz="0" w:space="0" w:color="auto"/>
        <w:bottom w:val="none" w:sz="0" w:space="0" w:color="auto"/>
        <w:right w:val="none" w:sz="0" w:space="0" w:color="auto"/>
      </w:divBdr>
    </w:div>
    <w:div w:id="1377704384">
      <w:bodyDiv w:val="1"/>
      <w:marLeft w:val="0"/>
      <w:marRight w:val="0"/>
      <w:marTop w:val="0"/>
      <w:marBottom w:val="0"/>
      <w:divBdr>
        <w:top w:val="none" w:sz="0" w:space="0" w:color="auto"/>
        <w:left w:val="none" w:sz="0" w:space="0" w:color="auto"/>
        <w:bottom w:val="none" w:sz="0" w:space="0" w:color="auto"/>
        <w:right w:val="none" w:sz="0" w:space="0" w:color="auto"/>
      </w:divBdr>
    </w:div>
    <w:div w:id="1389919426">
      <w:bodyDiv w:val="1"/>
      <w:marLeft w:val="0"/>
      <w:marRight w:val="0"/>
      <w:marTop w:val="0"/>
      <w:marBottom w:val="0"/>
      <w:divBdr>
        <w:top w:val="none" w:sz="0" w:space="0" w:color="auto"/>
        <w:left w:val="none" w:sz="0" w:space="0" w:color="auto"/>
        <w:bottom w:val="none" w:sz="0" w:space="0" w:color="auto"/>
        <w:right w:val="none" w:sz="0" w:space="0" w:color="auto"/>
      </w:divBdr>
    </w:div>
    <w:div w:id="1413627705">
      <w:bodyDiv w:val="1"/>
      <w:marLeft w:val="0"/>
      <w:marRight w:val="0"/>
      <w:marTop w:val="0"/>
      <w:marBottom w:val="0"/>
      <w:divBdr>
        <w:top w:val="none" w:sz="0" w:space="0" w:color="auto"/>
        <w:left w:val="none" w:sz="0" w:space="0" w:color="auto"/>
        <w:bottom w:val="none" w:sz="0" w:space="0" w:color="auto"/>
        <w:right w:val="none" w:sz="0" w:space="0" w:color="auto"/>
      </w:divBdr>
    </w:div>
    <w:div w:id="1414624715">
      <w:bodyDiv w:val="1"/>
      <w:marLeft w:val="0"/>
      <w:marRight w:val="0"/>
      <w:marTop w:val="0"/>
      <w:marBottom w:val="0"/>
      <w:divBdr>
        <w:top w:val="none" w:sz="0" w:space="0" w:color="auto"/>
        <w:left w:val="none" w:sz="0" w:space="0" w:color="auto"/>
        <w:bottom w:val="none" w:sz="0" w:space="0" w:color="auto"/>
        <w:right w:val="none" w:sz="0" w:space="0" w:color="auto"/>
      </w:divBdr>
    </w:div>
    <w:div w:id="1427269508">
      <w:bodyDiv w:val="1"/>
      <w:marLeft w:val="0"/>
      <w:marRight w:val="0"/>
      <w:marTop w:val="0"/>
      <w:marBottom w:val="0"/>
      <w:divBdr>
        <w:top w:val="none" w:sz="0" w:space="0" w:color="auto"/>
        <w:left w:val="none" w:sz="0" w:space="0" w:color="auto"/>
        <w:bottom w:val="none" w:sz="0" w:space="0" w:color="auto"/>
        <w:right w:val="none" w:sz="0" w:space="0" w:color="auto"/>
      </w:divBdr>
    </w:div>
    <w:div w:id="1442728122">
      <w:bodyDiv w:val="1"/>
      <w:marLeft w:val="0"/>
      <w:marRight w:val="0"/>
      <w:marTop w:val="0"/>
      <w:marBottom w:val="0"/>
      <w:divBdr>
        <w:top w:val="none" w:sz="0" w:space="0" w:color="auto"/>
        <w:left w:val="none" w:sz="0" w:space="0" w:color="auto"/>
        <w:bottom w:val="none" w:sz="0" w:space="0" w:color="auto"/>
        <w:right w:val="none" w:sz="0" w:space="0" w:color="auto"/>
      </w:divBdr>
    </w:div>
    <w:div w:id="1442798188">
      <w:bodyDiv w:val="1"/>
      <w:marLeft w:val="0"/>
      <w:marRight w:val="0"/>
      <w:marTop w:val="0"/>
      <w:marBottom w:val="0"/>
      <w:divBdr>
        <w:top w:val="none" w:sz="0" w:space="0" w:color="auto"/>
        <w:left w:val="none" w:sz="0" w:space="0" w:color="auto"/>
        <w:bottom w:val="none" w:sz="0" w:space="0" w:color="auto"/>
        <w:right w:val="none" w:sz="0" w:space="0" w:color="auto"/>
      </w:divBdr>
    </w:div>
    <w:div w:id="1448812509">
      <w:bodyDiv w:val="1"/>
      <w:marLeft w:val="0"/>
      <w:marRight w:val="0"/>
      <w:marTop w:val="0"/>
      <w:marBottom w:val="0"/>
      <w:divBdr>
        <w:top w:val="none" w:sz="0" w:space="0" w:color="auto"/>
        <w:left w:val="none" w:sz="0" w:space="0" w:color="auto"/>
        <w:bottom w:val="none" w:sz="0" w:space="0" w:color="auto"/>
        <w:right w:val="none" w:sz="0" w:space="0" w:color="auto"/>
      </w:divBdr>
    </w:div>
    <w:div w:id="1483236197">
      <w:bodyDiv w:val="1"/>
      <w:marLeft w:val="0"/>
      <w:marRight w:val="0"/>
      <w:marTop w:val="0"/>
      <w:marBottom w:val="0"/>
      <w:divBdr>
        <w:top w:val="none" w:sz="0" w:space="0" w:color="auto"/>
        <w:left w:val="none" w:sz="0" w:space="0" w:color="auto"/>
        <w:bottom w:val="none" w:sz="0" w:space="0" w:color="auto"/>
        <w:right w:val="none" w:sz="0" w:space="0" w:color="auto"/>
      </w:divBdr>
    </w:div>
    <w:div w:id="1540161800">
      <w:bodyDiv w:val="1"/>
      <w:marLeft w:val="0"/>
      <w:marRight w:val="0"/>
      <w:marTop w:val="0"/>
      <w:marBottom w:val="0"/>
      <w:divBdr>
        <w:top w:val="none" w:sz="0" w:space="0" w:color="auto"/>
        <w:left w:val="none" w:sz="0" w:space="0" w:color="auto"/>
        <w:bottom w:val="none" w:sz="0" w:space="0" w:color="auto"/>
        <w:right w:val="none" w:sz="0" w:space="0" w:color="auto"/>
      </w:divBdr>
    </w:div>
    <w:div w:id="1556816398">
      <w:bodyDiv w:val="1"/>
      <w:marLeft w:val="0"/>
      <w:marRight w:val="0"/>
      <w:marTop w:val="0"/>
      <w:marBottom w:val="0"/>
      <w:divBdr>
        <w:top w:val="none" w:sz="0" w:space="0" w:color="auto"/>
        <w:left w:val="none" w:sz="0" w:space="0" w:color="auto"/>
        <w:bottom w:val="none" w:sz="0" w:space="0" w:color="auto"/>
        <w:right w:val="none" w:sz="0" w:space="0" w:color="auto"/>
      </w:divBdr>
    </w:div>
    <w:div w:id="1579628761">
      <w:bodyDiv w:val="1"/>
      <w:marLeft w:val="0"/>
      <w:marRight w:val="0"/>
      <w:marTop w:val="0"/>
      <w:marBottom w:val="0"/>
      <w:divBdr>
        <w:top w:val="none" w:sz="0" w:space="0" w:color="auto"/>
        <w:left w:val="none" w:sz="0" w:space="0" w:color="auto"/>
        <w:bottom w:val="none" w:sz="0" w:space="0" w:color="auto"/>
        <w:right w:val="none" w:sz="0" w:space="0" w:color="auto"/>
      </w:divBdr>
    </w:div>
    <w:div w:id="1694958682">
      <w:bodyDiv w:val="1"/>
      <w:marLeft w:val="0"/>
      <w:marRight w:val="0"/>
      <w:marTop w:val="0"/>
      <w:marBottom w:val="0"/>
      <w:divBdr>
        <w:top w:val="none" w:sz="0" w:space="0" w:color="auto"/>
        <w:left w:val="none" w:sz="0" w:space="0" w:color="auto"/>
        <w:bottom w:val="none" w:sz="0" w:space="0" w:color="auto"/>
        <w:right w:val="none" w:sz="0" w:space="0" w:color="auto"/>
      </w:divBdr>
    </w:div>
    <w:div w:id="1721399812">
      <w:bodyDiv w:val="1"/>
      <w:marLeft w:val="0"/>
      <w:marRight w:val="0"/>
      <w:marTop w:val="0"/>
      <w:marBottom w:val="0"/>
      <w:divBdr>
        <w:top w:val="none" w:sz="0" w:space="0" w:color="auto"/>
        <w:left w:val="none" w:sz="0" w:space="0" w:color="auto"/>
        <w:bottom w:val="none" w:sz="0" w:space="0" w:color="auto"/>
        <w:right w:val="none" w:sz="0" w:space="0" w:color="auto"/>
      </w:divBdr>
    </w:div>
    <w:div w:id="1765225390">
      <w:bodyDiv w:val="1"/>
      <w:marLeft w:val="0"/>
      <w:marRight w:val="0"/>
      <w:marTop w:val="0"/>
      <w:marBottom w:val="0"/>
      <w:divBdr>
        <w:top w:val="none" w:sz="0" w:space="0" w:color="auto"/>
        <w:left w:val="none" w:sz="0" w:space="0" w:color="auto"/>
        <w:bottom w:val="none" w:sz="0" w:space="0" w:color="auto"/>
        <w:right w:val="none" w:sz="0" w:space="0" w:color="auto"/>
      </w:divBdr>
    </w:div>
    <w:div w:id="1852839599">
      <w:bodyDiv w:val="1"/>
      <w:marLeft w:val="0"/>
      <w:marRight w:val="0"/>
      <w:marTop w:val="0"/>
      <w:marBottom w:val="0"/>
      <w:divBdr>
        <w:top w:val="none" w:sz="0" w:space="0" w:color="auto"/>
        <w:left w:val="none" w:sz="0" w:space="0" w:color="auto"/>
        <w:bottom w:val="none" w:sz="0" w:space="0" w:color="auto"/>
        <w:right w:val="none" w:sz="0" w:space="0" w:color="auto"/>
      </w:divBdr>
    </w:div>
    <w:div w:id="1871868449">
      <w:bodyDiv w:val="1"/>
      <w:marLeft w:val="0"/>
      <w:marRight w:val="0"/>
      <w:marTop w:val="0"/>
      <w:marBottom w:val="0"/>
      <w:divBdr>
        <w:top w:val="none" w:sz="0" w:space="0" w:color="auto"/>
        <w:left w:val="none" w:sz="0" w:space="0" w:color="auto"/>
        <w:bottom w:val="none" w:sz="0" w:space="0" w:color="auto"/>
        <w:right w:val="none" w:sz="0" w:space="0" w:color="auto"/>
      </w:divBdr>
    </w:div>
    <w:div w:id="1924024955">
      <w:bodyDiv w:val="1"/>
      <w:marLeft w:val="0"/>
      <w:marRight w:val="0"/>
      <w:marTop w:val="0"/>
      <w:marBottom w:val="0"/>
      <w:divBdr>
        <w:top w:val="none" w:sz="0" w:space="0" w:color="auto"/>
        <w:left w:val="none" w:sz="0" w:space="0" w:color="auto"/>
        <w:bottom w:val="none" w:sz="0" w:space="0" w:color="auto"/>
        <w:right w:val="none" w:sz="0" w:space="0" w:color="auto"/>
      </w:divBdr>
    </w:div>
    <w:div w:id="1966933094">
      <w:bodyDiv w:val="1"/>
      <w:marLeft w:val="0"/>
      <w:marRight w:val="0"/>
      <w:marTop w:val="0"/>
      <w:marBottom w:val="0"/>
      <w:divBdr>
        <w:top w:val="none" w:sz="0" w:space="0" w:color="auto"/>
        <w:left w:val="none" w:sz="0" w:space="0" w:color="auto"/>
        <w:bottom w:val="none" w:sz="0" w:space="0" w:color="auto"/>
        <w:right w:val="none" w:sz="0" w:space="0" w:color="auto"/>
      </w:divBdr>
    </w:div>
    <w:div w:id="2058311567">
      <w:bodyDiv w:val="1"/>
      <w:marLeft w:val="0"/>
      <w:marRight w:val="0"/>
      <w:marTop w:val="0"/>
      <w:marBottom w:val="0"/>
      <w:divBdr>
        <w:top w:val="none" w:sz="0" w:space="0" w:color="auto"/>
        <w:left w:val="none" w:sz="0" w:space="0" w:color="auto"/>
        <w:bottom w:val="none" w:sz="0" w:space="0" w:color="auto"/>
        <w:right w:val="none" w:sz="0" w:space="0" w:color="auto"/>
      </w:divBdr>
    </w:div>
    <w:div w:id="2058896749">
      <w:bodyDiv w:val="1"/>
      <w:marLeft w:val="0"/>
      <w:marRight w:val="0"/>
      <w:marTop w:val="0"/>
      <w:marBottom w:val="0"/>
      <w:divBdr>
        <w:top w:val="none" w:sz="0" w:space="0" w:color="auto"/>
        <w:left w:val="none" w:sz="0" w:space="0" w:color="auto"/>
        <w:bottom w:val="none" w:sz="0" w:space="0" w:color="auto"/>
        <w:right w:val="none" w:sz="0" w:space="0" w:color="auto"/>
      </w:divBdr>
    </w:div>
    <w:div w:id="20595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zobacter.com.ar/" TargetMode="External"/><Relationship Id="rId18" Type="http://schemas.openxmlformats.org/officeDocument/2006/relationships/hyperlink" Target="http://www.cnv.gov.ar"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bolsar.com"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cnv.gov.ar" TargetMode="External"/><Relationship Id="rId20" Type="http://schemas.openxmlformats.org/officeDocument/2006/relationships/image" Target="media/image2.tif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jpg"/><Relationship Id="rId5" Type="http://schemas.openxmlformats.org/officeDocument/2006/relationships/customXml" Target="../customXml/item5.xml"/><Relationship Id="rId15" Type="http://schemas.openxmlformats.org/officeDocument/2006/relationships/hyperlink" Target="mailto:lescrina@biocerescrops.com" TargetMode="External"/><Relationship Id="rId23" Type="http://schemas.openxmlformats.org/officeDocument/2006/relationships/image" Target="media/image5.jpe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afip.gov.ar/aduana/arancelintegrad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wagner@rizobacter.com.ar" TargetMode="External"/><Relationship Id="rId22" Type="http://schemas.openxmlformats.org/officeDocument/2006/relationships/image" Target="media/image4.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2e1b88a-e3d8-4878-9c5e-9f3f5246e728">AH6PF2YDVWFM-689701343-37713</_dlc_DocId>
    <_dlc_DocIdUrl xmlns="52e1b88a-e3d8-4878-9c5e-9f3f5246e728">
      <Url>https://rizobactersa1.sharepoint.com/sites/legales/_layouts/15/DocIdRedir.aspx?ID=AH6PF2YDVWFM-689701343-37713</Url>
      <Description>AH6PF2YDVWFM-689701343-37713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E0703FE7204904FABC2DE4D4158B4B5" ma:contentTypeVersion="12" ma:contentTypeDescription="Crear nuevo documento." ma:contentTypeScope="" ma:versionID="a36e7d243fcf95bb082cd4c6cb0c2587">
  <xsd:schema xmlns:xsd="http://www.w3.org/2001/XMLSchema" xmlns:xs="http://www.w3.org/2001/XMLSchema" xmlns:p="http://schemas.microsoft.com/office/2006/metadata/properties" xmlns:ns2="52e1b88a-e3d8-4878-9c5e-9f3f5246e728" xmlns:ns3="80996b59-1eb4-4674-8c3a-5d9afa630c9e" targetNamespace="http://schemas.microsoft.com/office/2006/metadata/properties" ma:root="true" ma:fieldsID="b238ebc8e7e0ad206aaa39799f3dd060" ns2:_="" ns3:_="">
    <xsd:import namespace="52e1b88a-e3d8-4878-9c5e-9f3f5246e728"/>
    <xsd:import namespace="80996b59-1eb4-4674-8c3a-5d9afa630c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1b88a-e3d8-4878-9c5e-9f3f5246e728"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996b59-1eb4-4674-8c3a-5d9afa630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D754-8B22-4ECD-97FF-C501E53E0EA7}">
  <ds:schemaRefs>
    <ds:schemaRef ds:uri="http://schemas.microsoft.com/sharepoint/v3/contenttype/forms"/>
  </ds:schemaRefs>
</ds:datastoreItem>
</file>

<file path=customXml/itemProps2.xml><?xml version="1.0" encoding="utf-8"?>
<ds:datastoreItem xmlns:ds="http://schemas.openxmlformats.org/officeDocument/2006/customXml" ds:itemID="{D37AF2A4-CE5F-4496-ADCA-5FE9FB197DDE}">
  <ds:schemaRefs>
    <ds:schemaRef ds:uri="80996b59-1eb4-4674-8c3a-5d9afa630c9e"/>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52e1b88a-e3d8-4878-9c5e-9f3f5246e728"/>
    <ds:schemaRef ds:uri="http://purl.org/dc/terms/"/>
  </ds:schemaRefs>
</ds:datastoreItem>
</file>

<file path=customXml/itemProps3.xml><?xml version="1.0" encoding="utf-8"?>
<ds:datastoreItem xmlns:ds="http://schemas.openxmlformats.org/officeDocument/2006/customXml" ds:itemID="{BC130886-1E95-4D15-A4E3-00149B53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1b88a-e3d8-4878-9c5e-9f3f5246e728"/>
    <ds:schemaRef ds:uri="80996b59-1eb4-4674-8c3a-5d9afa630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7C525-060F-41DC-94CA-665BE9728D2A}">
  <ds:schemaRefs>
    <ds:schemaRef ds:uri="http://schemas.microsoft.com/sharepoint/events"/>
  </ds:schemaRefs>
</ds:datastoreItem>
</file>

<file path=customXml/itemProps5.xml><?xml version="1.0" encoding="utf-8"?>
<ds:datastoreItem xmlns:ds="http://schemas.openxmlformats.org/officeDocument/2006/customXml" ds:itemID="{BADBE4C9-DA61-4C31-990E-C15D6802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11520</Words>
  <Characters>62428</Characters>
  <Application>Microsoft Office Word</Application>
  <DocSecurity>0</DocSecurity>
  <Lines>520</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PROSPECTO PREELIMINAR</vt:lpstr>
      <vt:lpstr>PROSPECTO PREELIMINAR</vt:lpstr>
    </vt:vector>
  </TitlesOfParts>
  <Company>Deloitte Touche Tohmatsu Services, Inc.</Company>
  <LinksUpToDate>false</LinksUpToDate>
  <CharactersWithSpaces>73801</CharactersWithSpaces>
  <SharedDoc>false</SharedDoc>
  <HLinks>
    <vt:vector size="36" baseType="variant">
      <vt:variant>
        <vt:i4>6357027</vt:i4>
      </vt:variant>
      <vt:variant>
        <vt:i4>15</vt:i4>
      </vt:variant>
      <vt:variant>
        <vt:i4>0</vt:i4>
      </vt:variant>
      <vt:variant>
        <vt:i4>5</vt:i4>
      </vt:variant>
      <vt:variant>
        <vt:lpwstr>http://www.cnv.gov.ar/</vt:lpwstr>
      </vt:variant>
      <vt:variant>
        <vt:lpwstr/>
      </vt:variant>
      <vt:variant>
        <vt:i4>5832785</vt:i4>
      </vt:variant>
      <vt:variant>
        <vt:i4>12</vt:i4>
      </vt:variant>
      <vt:variant>
        <vt:i4>0</vt:i4>
      </vt:variant>
      <vt:variant>
        <vt:i4>5</vt:i4>
      </vt:variant>
      <vt:variant>
        <vt:lpwstr>http://www.bolsar.com.ar/</vt:lpwstr>
      </vt:variant>
      <vt:variant>
        <vt:lpwstr/>
      </vt:variant>
      <vt:variant>
        <vt:i4>6357027</vt:i4>
      </vt:variant>
      <vt:variant>
        <vt:i4>9</vt:i4>
      </vt:variant>
      <vt:variant>
        <vt:i4>0</vt:i4>
      </vt:variant>
      <vt:variant>
        <vt:i4>5</vt:i4>
      </vt:variant>
      <vt:variant>
        <vt:lpwstr>http://www.cnv.gov.ar/</vt:lpwstr>
      </vt:variant>
      <vt:variant>
        <vt:lpwstr/>
      </vt:variant>
      <vt:variant>
        <vt:i4>6881365</vt:i4>
      </vt:variant>
      <vt:variant>
        <vt:i4>6</vt:i4>
      </vt:variant>
      <vt:variant>
        <vt:i4>0</vt:i4>
      </vt:variant>
      <vt:variant>
        <vt:i4>5</vt:i4>
      </vt:variant>
      <vt:variant>
        <vt:lpwstr>mailto:lescrina@biocerescrops.com</vt:lpwstr>
      </vt:variant>
      <vt:variant>
        <vt:lpwstr/>
      </vt:variant>
      <vt:variant>
        <vt:i4>262257</vt:i4>
      </vt:variant>
      <vt:variant>
        <vt:i4>3</vt:i4>
      </vt:variant>
      <vt:variant>
        <vt:i4>0</vt:i4>
      </vt:variant>
      <vt:variant>
        <vt:i4>5</vt:i4>
      </vt:variant>
      <vt:variant>
        <vt:lpwstr>mailto:jwagner@rizobacter.com.ar</vt:lpwstr>
      </vt:variant>
      <vt:variant>
        <vt:lpwstr/>
      </vt:variant>
      <vt:variant>
        <vt:i4>5898334</vt:i4>
      </vt:variant>
      <vt:variant>
        <vt:i4>0</vt:i4>
      </vt:variant>
      <vt:variant>
        <vt:i4>0</vt:i4>
      </vt:variant>
      <vt:variant>
        <vt:i4>5</vt:i4>
      </vt:variant>
      <vt:variant>
        <vt:lpwstr>http://www.rizobacter.com.ar/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PROSPECTO PREELIMINAR</dc:title>
  <dc:creator>Nicholson y Cano Abogados</dc:creator>
  <cp:lastModifiedBy>Juan Martin Ferreiro</cp:lastModifiedBy>
  <cp:revision>2</cp:revision>
  <cp:lastPrinted>2020-02-06T13:58:00Z</cp:lastPrinted>
  <dcterms:created xsi:type="dcterms:W3CDTF">2020-02-10T19:35:00Z</dcterms:created>
  <dcterms:modified xsi:type="dcterms:W3CDTF">2020-02-10T19:35:00Z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CCAA6sHsCh+nbOsF08uglObVGFawprC6/jEVKDgCfOyK3MRLYQLiaDim9mY5f10zJXeyTkGc64XPkQlt_x000d_
0pxprge8FTDX4LgPXd+SWoNgkCJbSXyZf3lBSomSnLfLvXuDYLK7</vt:lpwstr>
  </property>
  <property fmtid="{D5CDD505-2E9C-101B-9397-08002B2CF9AE}" pid="3" name="MAIL_MSG_ID2">
    <vt:lpwstr>D31XiVFYyaRcAYMBAoMhaTcPEu6NjtNsu9zHa3ryWMx6ADf7KgOnroYGdEK_x000d_
z8CGfAb+7yr/SJjs15pnTsdacNc=</vt:lpwstr>
  </property>
  <property fmtid="{D5CDD505-2E9C-101B-9397-08002B2CF9AE}" pid="4" name="RESPONSE_SENDER_NAME">
    <vt:lpwstr>gAAAdya76B99d4hLGUR1rQ+8TxTv0GGEPdix</vt:lpwstr>
  </property>
  <property fmtid="{D5CDD505-2E9C-101B-9397-08002B2CF9AE}" pid="5" name="EMAIL_OWNER_ADDRESS">
    <vt:lpwstr>ABAAmJ+7jnJ2eOXzkkOnd7580/Sv2sn+OLFU2TzL6xDhoYkI0OzMUIYgpF7pm/P58ciL</vt:lpwstr>
  </property>
  <property fmtid="{D5CDD505-2E9C-101B-9397-08002B2CF9AE}" pid="6" name="ContentTypeId">
    <vt:lpwstr>0x0101009E0703FE7204904FABC2DE4D4158B4B5</vt:lpwstr>
  </property>
  <property fmtid="{D5CDD505-2E9C-101B-9397-08002B2CF9AE}" pid="7" name="_dlc_DocIdItemGuid">
    <vt:lpwstr>de32c0fa-6e16-45b3-8ec3-c4d995ed4fc9</vt:lpwstr>
  </property>
</Properties>
</file>